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9D5034">
      <w:pPr>
        <w:spacing w:line="600" w:lineRule="exact"/>
        <w:jc w:val="center"/>
        <w:rPr>
          <w:rFonts w:hint="eastAsia" w:ascii="宋体" w:hAnsi="宋体" w:eastAsia="宋体" w:cs="宋体"/>
          <w:b/>
          <w:sz w:val="44"/>
          <w:szCs w:val="44"/>
        </w:rPr>
      </w:pPr>
      <w:r>
        <w:rPr>
          <w:rFonts w:hint="eastAsia" w:ascii="宋体" w:hAnsi="宋体" w:cs="宋体"/>
          <w:b/>
          <w:sz w:val="44"/>
          <w:szCs w:val="44"/>
          <w:lang w:eastAsia="zh-CN"/>
        </w:rPr>
        <w:t>拟批准石家庄名方加油站有限公司方亿能源加油站建设项目环评文件</w:t>
      </w:r>
      <w:r>
        <w:rPr>
          <w:rFonts w:hint="eastAsia" w:ascii="宋体" w:hAnsi="宋体" w:eastAsia="宋体" w:cs="宋体"/>
          <w:b/>
          <w:sz w:val="44"/>
          <w:szCs w:val="44"/>
        </w:rPr>
        <w:t>基本情况</w:t>
      </w:r>
    </w:p>
    <w:p w14:paraId="34D1AD8E">
      <w:pPr>
        <w:spacing w:line="54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p>
    <w:p w14:paraId="30A1F3D2">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600" w:leftChars="0" w:firstLine="0" w:firstLineChars="0"/>
        <w:textAlignment w:val="auto"/>
        <w:outlineLvl w:val="9"/>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rPr>
        <w:t>基本情况</w:t>
      </w:r>
    </w:p>
    <w:p w14:paraId="44FAAC5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石家庄名方加油站有限公司方亿能源加油站建设项目位于石家庄高新区泰山大街以东、槐安东路以北。项目总投资2800万元，其中环保投资14万元。项目主要建设内容：本项目总占地 2673.64m</w:t>
      </w:r>
      <w:r>
        <w:rPr>
          <w:rFonts w:hint="eastAsia" w:ascii="仿宋_GB2312" w:hAnsi="Times New Roman" w:eastAsia="仿宋_GB2312" w:cs="Times New Roman"/>
          <w:sz w:val="32"/>
          <w:szCs w:val="32"/>
          <w:vertAlign w:val="superscript"/>
          <w:lang w:val="en-US" w:eastAsia="zh-CN"/>
        </w:rPr>
        <w:t>2</w:t>
      </w:r>
      <w:r>
        <w:rPr>
          <w:rFonts w:hint="eastAsia" w:ascii="仿宋_GB2312" w:hAnsi="Times New Roman" w:eastAsia="仿宋_GB2312" w:cs="Times New Roman"/>
          <w:sz w:val="32"/>
          <w:szCs w:val="32"/>
          <w:lang w:val="en-US" w:eastAsia="zh-CN"/>
        </w:rPr>
        <w:t>，建筑面积约610.64m</w:t>
      </w:r>
      <w:r>
        <w:rPr>
          <w:rFonts w:hint="eastAsia" w:ascii="仿宋_GB2312" w:hAnsi="Times New Roman" w:eastAsia="仿宋_GB2312" w:cs="Times New Roman"/>
          <w:sz w:val="32"/>
          <w:szCs w:val="32"/>
          <w:vertAlign w:val="superscript"/>
          <w:lang w:val="en-US" w:eastAsia="zh-CN"/>
        </w:rPr>
        <w:t>2</w:t>
      </w:r>
      <w:r>
        <w:rPr>
          <w:rFonts w:hint="eastAsia" w:ascii="仿宋_GB2312" w:hAnsi="Times New Roman" w:eastAsia="仿宋_GB2312" w:cs="Times New Roman"/>
          <w:sz w:val="32"/>
          <w:szCs w:val="32"/>
          <w:lang w:val="en-US" w:eastAsia="zh-CN"/>
        </w:rPr>
        <w:t>，其中包括新建站房，加油罩棚，配备加油机4台，其中3台4枪汽油加油机，1台4枪汽油、柴油加油机。新建埋地双层储油罐4座，其中2座50m</w:t>
      </w:r>
      <w:r>
        <w:rPr>
          <w:rFonts w:hint="eastAsia" w:ascii="仿宋_GB2312" w:hAnsi="Times New Roman" w:eastAsia="仿宋_GB2312" w:cs="Times New Roman"/>
          <w:sz w:val="32"/>
          <w:szCs w:val="32"/>
          <w:vertAlign w:val="superscript"/>
          <w:lang w:val="en-US" w:eastAsia="zh-CN"/>
        </w:rPr>
        <w:t>3</w:t>
      </w:r>
      <w:r>
        <w:rPr>
          <w:rFonts w:hint="eastAsia" w:ascii="仿宋_GB2312" w:hAnsi="Times New Roman" w:eastAsia="仿宋_GB2312" w:cs="Times New Roman"/>
          <w:sz w:val="32"/>
          <w:szCs w:val="32"/>
          <w:lang w:val="en-US" w:eastAsia="zh-CN"/>
        </w:rPr>
        <w:t>汽油罐、1座25m</w:t>
      </w:r>
      <w:r>
        <w:rPr>
          <w:rFonts w:hint="eastAsia" w:ascii="仿宋_GB2312" w:hAnsi="Times New Roman" w:eastAsia="仿宋_GB2312" w:cs="Times New Roman"/>
          <w:sz w:val="32"/>
          <w:szCs w:val="32"/>
          <w:vertAlign w:val="superscript"/>
          <w:lang w:val="en-US" w:eastAsia="zh-CN"/>
        </w:rPr>
        <w:t>3</w:t>
      </w:r>
      <w:r>
        <w:rPr>
          <w:rFonts w:hint="eastAsia" w:ascii="仿宋_GB2312" w:hAnsi="Times New Roman" w:eastAsia="仿宋_GB2312" w:cs="Times New Roman"/>
          <w:sz w:val="32"/>
          <w:szCs w:val="32"/>
          <w:lang w:val="en-US" w:eastAsia="zh-CN"/>
        </w:rPr>
        <w:t>汽油罐、1座50m</w:t>
      </w:r>
      <w:r>
        <w:rPr>
          <w:rFonts w:hint="eastAsia" w:ascii="仿宋_GB2312" w:hAnsi="Times New Roman" w:eastAsia="仿宋_GB2312" w:cs="Times New Roman"/>
          <w:sz w:val="32"/>
          <w:szCs w:val="32"/>
          <w:vertAlign w:val="superscript"/>
          <w:lang w:val="en-US" w:eastAsia="zh-CN"/>
        </w:rPr>
        <w:t>3</w:t>
      </w:r>
      <w:r>
        <w:rPr>
          <w:rFonts w:hint="eastAsia" w:ascii="仿宋_GB2312" w:hAnsi="Times New Roman" w:eastAsia="仿宋_GB2312" w:cs="Times New Roman"/>
          <w:sz w:val="32"/>
          <w:szCs w:val="32"/>
          <w:lang w:val="en-US" w:eastAsia="zh-CN"/>
        </w:rPr>
        <w:t>柴油罐，配套建设1台洗车机。加油管道、卸油管道、油气回收管道等安装，消防及站区电气线路设施，照明设施及排水系统安装，站区地面硬化及绿化，减速带和地面标识划线等其他工程。</w:t>
      </w:r>
    </w:p>
    <w:p w14:paraId="4CCEF924">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600" w:leftChars="0" w:firstLine="0" w:firstLineChars="0"/>
        <w:textAlignment w:val="auto"/>
        <w:outlineLvl w:val="9"/>
        <w:rPr>
          <w:rFonts w:hint="eastAsia" w:ascii="仿宋_GB2312" w:hAnsi="Times New Roman" w:eastAsia="仿宋_GB2312" w:cs="Times New Roman"/>
          <w:sz w:val="32"/>
          <w:szCs w:val="32"/>
        </w:rPr>
      </w:pPr>
      <w:r>
        <w:rPr>
          <w:rFonts w:hint="eastAsia" w:ascii="仿宋_GB2312" w:hAnsi="Times New Roman" w:eastAsia="仿宋_GB2312" w:cs="Times New Roman"/>
          <w:sz w:val="32"/>
          <w:szCs w:val="32"/>
        </w:rPr>
        <w:t>污染物排放执行标准</w:t>
      </w:r>
    </w:p>
    <w:p w14:paraId="5A38EC08">
      <w:pPr>
        <w:pStyle w:val="2"/>
        <w:ind w:left="0" w:leftChars="0" w:firstLine="640" w:firstLineChars="200"/>
        <w:rPr>
          <w:rFonts w:hint="eastAsia" w:ascii="仿宋_GB2312" w:eastAsia="仿宋_GB2312" w:cs="Times New Roman"/>
          <w:sz w:val="32"/>
          <w:szCs w:val="32"/>
          <w:lang w:eastAsia="zh-CN"/>
        </w:rPr>
      </w:pPr>
      <w:r>
        <w:rPr>
          <w:rFonts w:hint="eastAsia" w:ascii="仿宋_GB2312" w:eastAsia="仿宋_GB2312" w:cs="Times New Roman"/>
          <w:sz w:val="32"/>
          <w:szCs w:val="32"/>
          <w:lang w:eastAsia="zh-CN"/>
        </w:rPr>
        <w:t>施工期</w:t>
      </w:r>
    </w:p>
    <w:p w14:paraId="697E47B1">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施工期扬尘满足《施工场地扬尘排放标准》(DB13/2934-2019)表1扬尘排放浓度限值要求。</w:t>
      </w:r>
    </w:p>
    <w:p w14:paraId="63E3BF28">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施工噪声执行《建筑施工噪声排放标准》（GB12523-2025）表1中排放限值要求。</w:t>
      </w:r>
    </w:p>
    <w:p w14:paraId="7EE178C9">
      <w:pPr>
        <w:numPr>
          <w:ilvl w:val="0"/>
          <w:numId w:val="3"/>
        </w:numPr>
        <w:spacing w:line="600" w:lineRule="exact"/>
        <w:ind w:left="0" w:leftChars="0" w:firstLine="640" w:firstLineChars="200"/>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一般固体废物处置执行《一般工业固体废物贮存和填埋污染控制标准》（GB18599-2020）标准规定。生活垃圾执行《中华人民共和国生态环境法典》第二编第六分编第二十一章“生活垃圾污染防治”相关规定执行。</w:t>
      </w:r>
    </w:p>
    <w:p w14:paraId="1B33E32F">
      <w:pPr>
        <w:numPr>
          <w:numId w:val="0"/>
        </w:numPr>
        <w:spacing w:line="600" w:lineRule="exact"/>
        <w:ind w:firstLine="640" w:firstLineChars="200"/>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运营期</w:t>
      </w:r>
    </w:p>
    <w:p w14:paraId="0F4F3A4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1、</w:t>
      </w:r>
      <w:r>
        <w:rPr>
          <w:rFonts w:hint="default" w:ascii="仿宋_GB2312" w:hAnsi="Times New Roman" w:eastAsia="仿宋_GB2312" w:cs="Times New Roman"/>
          <w:sz w:val="32"/>
          <w:szCs w:val="32"/>
          <w:lang w:val="en-US" w:eastAsia="zh-CN"/>
        </w:rPr>
        <w:t>厂界非甲烷总烃执行《加油站大气污染物排放标准》(DB13/6081-2025)中加油站企业边界大气污染物浓度限值；厂区内非甲烷总烃无组织排放执行《工业企业挥发性有机物排放控制标准》（DB13/2322-2025）中表2厂区内VOCs无组织排放限值；油气处理装置油气排放浓度执行《加油站大气污染物排放标准》(DB13/6081-2025)油气处理装置排放限值</w:t>
      </w:r>
      <w:r>
        <w:rPr>
          <w:rFonts w:hint="eastAsia" w:ascii="仿宋_GB2312" w:hAnsi="Times New Roman" w:eastAsia="仿宋_GB2312" w:cs="Times New Roman"/>
          <w:kern w:val="2"/>
          <w:sz w:val="32"/>
          <w:szCs w:val="32"/>
          <w:lang w:val="en-US" w:eastAsia="zh-CN" w:bidi="ar-SA"/>
        </w:rPr>
        <w:t>。</w:t>
      </w:r>
    </w:p>
    <w:p w14:paraId="1BBAA96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lang w:val="en-US" w:eastAsia="zh-CN" w:bidi="ar-SA"/>
        </w:rPr>
        <w:t>2、废水排放执行《污水综合排放标准》(GB8978-1996)表4三级标准同时满足石家庄高新污水处理服务有限公司(石家庄高新第一污水处理厂)进水水质协议标准要求。</w:t>
      </w:r>
    </w:p>
    <w:p w14:paraId="1EE8699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3、东、南、北厂界噪声满足《工业企业厂界环境噪声排放标准》（GB12348-2008）3类标准，西厂界噪声满足《工业企业厂界环境噪声排放标准》（GB12348-2008）4类标准</w:t>
      </w:r>
      <w:r>
        <w:rPr>
          <w:rFonts w:hint="eastAsia" w:ascii="仿宋_GB2312" w:eastAsia="仿宋_GB2312"/>
          <w:sz w:val="32"/>
          <w:szCs w:val="32"/>
          <w:lang w:val="en-US" w:eastAsia="zh-CN"/>
        </w:rPr>
        <w:t>。</w:t>
      </w:r>
    </w:p>
    <w:p w14:paraId="19EF2AA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4、危险废物暂存执行《危险废物贮存污染控制标准》（GB18597-2023）中要求。一般工业固体废物暂存执行《一般工业固体废物贮存和填埋污染控制标准》（GB18599-2020）要求。生活垃圾处置参照《中华人民共和国生态环境法典》第二编第六分编第二十一章“生活垃圾污染防治”相关规定执行。</w:t>
      </w:r>
      <w:r>
        <w:rPr>
          <w:rFonts w:hint="eastAsia" w:ascii="仿宋_GB2312" w:hAnsi="Times New Roman" w:eastAsia="仿宋_GB2312" w:cs="Times New Roman"/>
          <w:sz w:val="32"/>
          <w:szCs w:val="32"/>
          <w:lang w:val="en-US" w:eastAsia="zh-CN"/>
        </w:rPr>
        <w:t xml:space="preserve">                                                                                                                                                                                                                                                                                                                                                                                                                                                                                                                                                                                                                                                                                                                                                                                                                                                                                                                                                                                                                                                                                                                                                                                                                                                                                                                                                                                                                                                                                                                                                                                                                                                                                                                                                                                                                                                                                                                                                                                                                                                                                                                                                                                                                                                                                                                                                                                                                                                                                                                                                                                                                                                                                                                                                                                                                                                                                                                                                                                                                                                                                                                                                                                                                                                                                                                                                                                                                                                                                                                                                                                                                                                                                                                                                                                                                                                                                                                                                                                                                                                                                                                                                                                                                </w:t>
      </w:r>
      <w:r>
        <w:rPr>
          <w:rFonts w:hint="eastAsia" w:ascii="仿宋_GB2312" w:hAnsi="Times New Roman" w:eastAsia="仿宋_GB2312" w:cs="Times New Roman"/>
          <w:sz w:val="32"/>
          <w:szCs w:val="32"/>
          <w:lang w:val="en-US" w:eastAsia="zh-CN"/>
        </w:rPr>
        <w:t xml:space="preserve">                                                                                                                                                                                                                                                                                                                                                                                                                                                                                                                                                                             </w:t>
      </w:r>
    </w:p>
    <w:p w14:paraId="4163FE6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仿宋_GB2312" w:hAnsi="Times New Roman" w:eastAsia="仿宋_GB2312" w:cs="Times New Roman"/>
          <w:sz w:val="32"/>
          <w:szCs w:val="32"/>
          <w:lang w:val="en-US" w:eastAsia="zh-CN"/>
        </w:rPr>
      </w:pPr>
      <w:r>
        <w:rPr>
          <w:rFonts w:hint="eastAsia" w:ascii="仿宋_GB2312" w:eastAsia="仿宋_GB2312" w:cs="Times New Roman"/>
          <w:sz w:val="32"/>
          <w:szCs w:val="32"/>
          <w:lang w:val="en-US" w:eastAsia="zh-CN"/>
        </w:rPr>
        <w:t>三、</w:t>
      </w:r>
      <w:r>
        <w:rPr>
          <w:rFonts w:hint="eastAsia" w:ascii="仿宋_GB2312" w:hAnsi="Times New Roman" w:eastAsia="仿宋_GB2312" w:cs="Times New Roman"/>
          <w:sz w:val="32"/>
          <w:szCs w:val="32"/>
          <w:lang w:val="en-US" w:eastAsia="zh-CN"/>
        </w:rPr>
        <w:t>建设项目拟采取的污染防治措施。</w:t>
      </w:r>
    </w:p>
    <w:p w14:paraId="2DB0D566">
      <w:pPr>
        <w:pStyle w:val="2"/>
        <w:ind w:left="0" w:leftChars="0"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施工期</w:t>
      </w:r>
    </w:p>
    <w:p w14:paraId="2CDFCB9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1、施工工地周边均设置施工围挡，裸露土方和细颗粒建筑材料均采取苫盖措施。施工工地出口处设置车辆冲洗设施并配套设置排水、泥浆沉淀设施。施工工地出入口、场内施工道路、材料加工堆放区使用混凝土硬化。合理控制施工进度，配备足够的洒水、喷雾等降尘设施，土方施工过程中，及时跟进抑尘措施。建筑材料运输中要采取遮盖措施或利用密闭性运输车。建筑垃圾等废弃物料采用专用运输车辆，车辆应按照批准的路线和时间进行建筑垃圾的运输。施工场地应设置扬尘监测点。施工现场出现四级及以上的大风天气时禁止进行土方施工。</w:t>
      </w:r>
    </w:p>
    <w:p w14:paraId="10383D0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2、施工废水经沉淀池沉淀后全部用于厂区泼洒抑尘，施工人员生活污水用于厂区内泼洒抑尘。</w:t>
      </w:r>
    </w:p>
    <w:p w14:paraId="56407EA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3、施工单位应合理安排施工时间。施工布置时将噪声源强较高的施工设备远离周边敏感点。运输车辆要选择合适的时间及路线进行运输，尽量避开居民点和环境敏感点，车辆进出现场时应减速、禁鸣。项目四周设置围挡。</w:t>
      </w:r>
    </w:p>
    <w:p w14:paraId="7EBCC99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4、施工过程中产生的建筑垃圾按要求送至指定地点统一处置。生活垃圾由环卫部门统一送至垃圾填埋场。</w:t>
      </w:r>
    </w:p>
    <w:p w14:paraId="4F6FFEA4">
      <w:pPr>
        <w:pStyle w:val="2"/>
        <w:ind w:left="0" w:leftChars="0" w:firstLine="640" w:firstLineChars="200"/>
        <w:rPr>
          <w:rFonts w:hint="eastAsia"/>
          <w:lang w:val="en-US" w:eastAsia="zh-CN"/>
        </w:rPr>
      </w:pPr>
      <w:r>
        <w:rPr>
          <w:rFonts w:hint="eastAsia" w:ascii="仿宋_GB2312" w:eastAsia="仿宋_GB2312" w:cs="Times New Roman"/>
          <w:sz w:val="32"/>
          <w:szCs w:val="32"/>
          <w:lang w:val="en-US" w:eastAsia="zh-CN"/>
        </w:rPr>
        <w:t>运营期</w:t>
      </w:r>
    </w:p>
    <w:p w14:paraId="5999FE34">
      <w:pPr>
        <w:numPr>
          <w:ilvl w:val="0"/>
          <w:numId w:val="0"/>
        </w:num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1、汽油卸油采用一次油气回收技术；汽油加油采用二次油气回收；汽油储罐采用三次油气回收即储罐油气回收装置，油气经“冷凝+膜分离”液化回流至储油罐，未被冷凝处理的油气后通过5m高排气口排放。</w:t>
      </w:r>
    </w:p>
    <w:p w14:paraId="7778DAEB">
      <w:pPr>
        <w:numPr>
          <w:ilvl w:val="0"/>
          <w:numId w:val="0"/>
        </w:num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2、洗车废水经一体式循环水处理设备处理后循环使用，半年排放一次，排入石家庄高新污水处理服务有限公司（石家庄高新第一污水处理厂）。</w:t>
      </w:r>
    </w:p>
    <w:p w14:paraId="23B1A7FE">
      <w:pPr>
        <w:numPr>
          <w:ilvl w:val="0"/>
          <w:numId w:val="0"/>
        </w:numPr>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3、运营期噪声噪声污染源主要为洗车机、加油机等运转时产生的噪。选用低噪声设备、加装基础减振、设置减速带，加强出入机动车管理，风机加隔声罩等措施。</w:t>
      </w:r>
    </w:p>
    <w:p w14:paraId="300A4740">
      <w:pPr>
        <w:numPr>
          <w:ilvl w:val="0"/>
          <w:numId w:val="4"/>
        </w:numPr>
        <w:ind w:firstLine="640" w:firstLineChars="200"/>
        <w:rPr>
          <w:rFonts w:hint="eastAsia" w:ascii="仿宋_GB2312" w:eastAsia="仿宋_GB2312" w:cs="Times New Roman"/>
          <w:sz w:val="32"/>
          <w:szCs w:val="32"/>
          <w:lang w:val="en-US" w:eastAsia="zh-CN"/>
        </w:rPr>
      </w:pPr>
      <w:r>
        <w:rPr>
          <w:rFonts w:hint="eastAsia" w:ascii="仿宋_GB2312" w:eastAsia="仿宋_GB2312" w:cs="Times New Roman"/>
          <w:sz w:val="32"/>
          <w:szCs w:val="32"/>
          <w:lang w:val="en-US" w:eastAsia="zh-CN"/>
        </w:rPr>
        <w:t>絮凝剂废包装收集后外售。含油废抹布统一收集后暂存危废间，委托有资质单位处置。废清洗剂桶暂存危废间，委托有资质处置。净水剂废包装、废过滤材料，暂存危废间，委托有资质处置。含油污泥暂存危废间，委托有资质处置。油气回收装置废膜暂存危废间，委托有资质处置。清罐油泥暂存危废间，委托有资质处置。</w:t>
      </w:r>
      <w:bookmarkStart w:id="0" w:name="_GoBack"/>
      <w:bookmarkEnd w:id="0"/>
    </w:p>
    <w:p w14:paraId="6C8345F1">
      <w:pPr>
        <w:numPr>
          <w:numId w:val="0"/>
        </w:numPr>
        <w:rPr>
          <w:rFonts w:hint="default" w:ascii="仿宋_GB2312" w:eastAsia="仿宋_GB2312" w:cs="Times New Roman"/>
          <w:sz w:val="32"/>
          <w:szCs w:val="32"/>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2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759923"/>
    <w:multiLevelType w:val="singleLevel"/>
    <w:tmpl w:val="DA759923"/>
    <w:lvl w:ilvl="0" w:tentative="0">
      <w:start w:val="1"/>
      <w:numFmt w:val="decimal"/>
      <w:suff w:val="nothing"/>
      <w:lvlText w:val="%1、"/>
      <w:lvlJc w:val="left"/>
    </w:lvl>
  </w:abstractNum>
  <w:abstractNum w:abstractNumId="1">
    <w:nsid w:val="1FDCBE5E"/>
    <w:multiLevelType w:val="singleLevel"/>
    <w:tmpl w:val="1FDCBE5E"/>
    <w:lvl w:ilvl="0" w:tentative="0">
      <w:start w:val="1"/>
      <w:numFmt w:val="bullet"/>
      <w:pStyle w:val="15"/>
      <w:lvlText w:val=""/>
      <w:lvlJc w:val="left"/>
      <w:pPr>
        <w:tabs>
          <w:tab w:val="left" w:pos="2040"/>
        </w:tabs>
        <w:ind w:left="2040" w:hanging="360"/>
      </w:pPr>
      <w:rPr>
        <w:rFonts w:hint="default" w:ascii="Wingdings" w:hAnsi="Wingdings"/>
      </w:rPr>
    </w:lvl>
  </w:abstractNum>
  <w:abstractNum w:abstractNumId="2">
    <w:nsid w:val="234D01BB"/>
    <w:multiLevelType w:val="singleLevel"/>
    <w:tmpl w:val="234D01BB"/>
    <w:lvl w:ilvl="0" w:tentative="0">
      <w:start w:val="1"/>
      <w:numFmt w:val="chineseCounting"/>
      <w:suff w:val="nothing"/>
      <w:lvlText w:val="%1、"/>
      <w:lvlJc w:val="left"/>
      <w:pPr>
        <w:ind w:left="600" w:leftChars="0" w:firstLine="0" w:firstLineChars="0"/>
      </w:pPr>
      <w:rPr>
        <w:rFonts w:hint="eastAsia"/>
      </w:rPr>
    </w:lvl>
  </w:abstractNum>
  <w:abstractNum w:abstractNumId="3">
    <w:nsid w:val="6C83AB30"/>
    <w:multiLevelType w:val="singleLevel"/>
    <w:tmpl w:val="6C83AB30"/>
    <w:lvl w:ilvl="0" w:tentative="0">
      <w:start w:val="4"/>
      <w:numFmt w:val="decimal"/>
      <w:suff w:val="nothing"/>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yMDIwMGFjZGYxZjFmZjlkMGU5NTUyOWQ5OTNiNjAifQ=="/>
  </w:docVars>
  <w:rsids>
    <w:rsidRoot w:val="00172A27"/>
    <w:rsid w:val="00022F87"/>
    <w:rsid w:val="000931F6"/>
    <w:rsid w:val="000A7F71"/>
    <w:rsid w:val="000C66A9"/>
    <w:rsid w:val="00121ECC"/>
    <w:rsid w:val="00135D1B"/>
    <w:rsid w:val="00172A27"/>
    <w:rsid w:val="00192517"/>
    <w:rsid w:val="002057AF"/>
    <w:rsid w:val="0024546D"/>
    <w:rsid w:val="00265BBC"/>
    <w:rsid w:val="00314FFB"/>
    <w:rsid w:val="0032486C"/>
    <w:rsid w:val="00330762"/>
    <w:rsid w:val="00373A34"/>
    <w:rsid w:val="003A3A2B"/>
    <w:rsid w:val="003C333B"/>
    <w:rsid w:val="003E184D"/>
    <w:rsid w:val="00412DF5"/>
    <w:rsid w:val="00451DF1"/>
    <w:rsid w:val="004C45A7"/>
    <w:rsid w:val="00515623"/>
    <w:rsid w:val="00520A5F"/>
    <w:rsid w:val="00534C0C"/>
    <w:rsid w:val="00552068"/>
    <w:rsid w:val="005571C5"/>
    <w:rsid w:val="00574D42"/>
    <w:rsid w:val="005E5A2D"/>
    <w:rsid w:val="00632DDB"/>
    <w:rsid w:val="00682CAE"/>
    <w:rsid w:val="00692780"/>
    <w:rsid w:val="00693F9C"/>
    <w:rsid w:val="00786480"/>
    <w:rsid w:val="00796569"/>
    <w:rsid w:val="007D2AA5"/>
    <w:rsid w:val="00826B35"/>
    <w:rsid w:val="00891627"/>
    <w:rsid w:val="008A00AC"/>
    <w:rsid w:val="008E5BA2"/>
    <w:rsid w:val="00934D6D"/>
    <w:rsid w:val="009F21C2"/>
    <w:rsid w:val="00A64338"/>
    <w:rsid w:val="00A86832"/>
    <w:rsid w:val="00B02E3E"/>
    <w:rsid w:val="00B204F6"/>
    <w:rsid w:val="00B667DF"/>
    <w:rsid w:val="00B85634"/>
    <w:rsid w:val="00BF6314"/>
    <w:rsid w:val="00C1045D"/>
    <w:rsid w:val="00C41F0C"/>
    <w:rsid w:val="00C44C48"/>
    <w:rsid w:val="00C84190"/>
    <w:rsid w:val="00DA46EE"/>
    <w:rsid w:val="00DE43AF"/>
    <w:rsid w:val="00F50C95"/>
    <w:rsid w:val="00F71797"/>
    <w:rsid w:val="016E0524"/>
    <w:rsid w:val="01813B4E"/>
    <w:rsid w:val="01D87778"/>
    <w:rsid w:val="01DC338D"/>
    <w:rsid w:val="0214411F"/>
    <w:rsid w:val="027F2F56"/>
    <w:rsid w:val="02B44EE1"/>
    <w:rsid w:val="02FB31F7"/>
    <w:rsid w:val="033162F5"/>
    <w:rsid w:val="03864AD5"/>
    <w:rsid w:val="03AF01E2"/>
    <w:rsid w:val="042B0D7C"/>
    <w:rsid w:val="045C0B52"/>
    <w:rsid w:val="04A3699D"/>
    <w:rsid w:val="04F25A54"/>
    <w:rsid w:val="05BA39F8"/>
    <w:rsid w:val="065B0CC2"/>
    <w:rsid w:val="06642AF7"/>
    <w:rsid w:val="06C57F44"/>
    <w:rsid w:val="06F445C4"/>
    <w:rsid w:val="07500070"/>
    <w:rsid w:val="07CD7683"/>
    <w:rsid w:val="07DE5786"/>
    <w:rsid w:val="083C1E43"/>
    <w:rsid w:val="08613B83"/>
    <w:rsid w:val="08E1753D"/>
    <w:rsid w:val="092203F6"/>
    <w:rsid w:val="094628A0"/>
    <w:rsid w:val="09933609"/>
    <w:rsid w:val="0A4A78FD"/>
    <w:rsid w:val="0A5751B1"/>
    <w:rsid w:val="0ABA1F25"/>
    <w:rsid w:val="0B1D5B16"/>
    <w:rsid w:val="0B225FB8"/>
    <w:rsid w:val="0B8D33CA"/>
    <w:rsid w:val="0B940862"/>
    <w:rsid w:val="0B9F654A"/>
    <w:rsid w:val="0C830F61"/>
    <w:rsid w:val="0CD10461"/>
    <w:rsid w:val="0D637787"/>
    <w:rsid w:val="0D6C7246"/>
    <w:rsid w:val="0DE35523"/>
    <w:rsid w:val="0DE57389"/>
    <w:rsid w:val="0DFD3706"/>
    <w:rsid w:val="0E8518F4"/>
    <w:rsid w:val="0EB42BDC"/>
    <w:rsid w:val="0EC052EE"/>
    <w:rsid w:val="0EDF2221"/>
    <w:rsid w:val="0F123727"/>
    <w:rsid w:val="0F252619"/>
    <w:rsid w:val="0FCF5951"/>
    <w:rsid w:val="0FDE0733"/>
    <w:rsid w:val="0FF267BE"/>
    <w:rsid w:val="10244941"/>
    <w:rsid w:val="107E06F7"/>
    <w:rsid w:val="115B40DB"/>
    <w:rsid w:val="11692C11"/>
    <w:rsid w:val="11B57FE2"/>
    <w:rsid w:val="126807D9"/>
    <w:rsid w:val="12683A21"/>
    <w:rsid w:val="130B50C0"/>
    <w:rsid w:val="134A4E93"/>
    <w:rsid w:val="137C36B1"/>
    <w:rsid w:val="140F4C4C"/>
    <w:rsid w:val="149B0605"/>
    <w:rsid w:val="14D01E46"/>
    <w:rsid w:val="152024E4"/>
    <w:rsid w:val="15F625C0"/>
    <w:rsid w:val="16391017"/>
    <w:rsid w:val="16627CFC"/>
    <w:rsid w:val="167A0961"/>
    <w:rsid w:val="16842350"/>
    <w:rsid w:val="16A36D39"/>
    <w:rsid w:val="16D21C82"/>
    <w:rsid w:val="1708590D"/>
    <w:rsid w:val="17533466"/>
    <w:rsid w:val="17555EC7"/>
    <w:rsid w:val="17A50EF0"/>
    <w:rsid w:val="17E97730"/>
    <w:rsid w:val="18380BCB"/>
    <w:rsid w:val="18AA59E6"/>
    <w:rsid w:val="18E06634"/>
    <w:rsid w:val="199003FF"/>
    <w:rsid w:val="19D068A8"/>
    <w:rsid w:val="19DE2414"/>
    <w:rsid w:val="19FE4C5D"/>
    <w:rsid w:val="1A1C3900"/>
    <w:rsid w:val="1A7B6249"/>
    <w:rsid w:val="1A826533"/>
    <w:rsid w:val="1AE97FE8"/>
    <w:rsid w:val="1B0B1DB0"/>
    <w:rsid w:val="1B141A9A"/>
    <w:rsid w:val="1B783E2D"/>
    <w:rsid w:val="1C0A6048"/>
    <w:rsid w:val="1C61720D"/>
    <w:rsid w:val="1CCD2A83"/>
    <w:rsid w:val="1D1E0C70"/>
    <w:rsid w:val="1DE358D0"/>
    <w:rsid w:val="1E1A7F95"/>
    <w:rsid w:val="1E476780"/>
    <w:rsid w:val="1E824D69"/>
    <w:rsid w:val="1E953955"/>
    <w:rsid w:val="1FCC65BC"/>
    <w:rsid w:val="1FFF3EF4"/>
    <w:rsid w:val="20BD49FC"/>
    <w:rsid w:val="20BE542E"/>
    <w:rsid w:val="215723F8"/>
    <w:rsid w:val="216F396E"/>
    <w:rsid w:val="21941B21"/>
    <w:rsid w:val="21A158BC"/>
    <w:rsid w:val="230C27FF"/>
    <w:rsid w:val="234277DD"/>
    <w:rsid w:val="23C47AFD"/>
    <w:rsid w:val="23F14F78"/>
    <w:rsid w:val="24043BE2"/>
    <w:rsid w:val="241A0CC3"/>
    <w:rsid w:val="241F298B"/>
    <w:rsid w:val="24684470"/>
    <w:rsid w:val="2491525D"/>
    <w:rsid w:val="250E3258"/>
    <w:rsid w:val="252D0733"/>
    <w:rsid w:val="258D5EAE"/>
    <w:rsid w:val="25A931E1"/>
    <w:rsid w:val="25BB6910"/>
    <w:rsid w:val="25DA3535"/>
    <w:rsid w:val="25F478D0"/>
    <w:rsid w:val="2611159E"/>
    <w:rsid w:val="26873886"/>
    <w:rsid w:val="26A41BD3"/>
    <w:rsid w:val="26A65CDD"/>
    <w:rsid w:val="26AF6DDF"/>
    <w:rsid w:val="26C73B47"/>
    <w:rsid w:val="26F121F0"/>
    <w:rsid w:val="274A407C"/>
    <w:rsid w:val="28161985"/>
    <w:rsid w:val="2888114B"/>
    <w:rsid w:val="289E31CB"/>
    <w:rsid w:val="28FE1D69"/>
    <w:rsid w:val="29CE3FD6"/>
    <w:rsid w:val="2A684DB2"/>
    <w:rsid w:val="2A9627F5"/>
    <w:rsid w:val="2B5D06C2"/>
    <w:rsid w:val="2CDA6F21"/>
    <w:rsid w:val="2CE463C7"/>
    <w:rsid w:val="2D7A041F"/>
    <w:rsid w:val="2DA11BDD"/>
    <w:rsid w:val="2DC73151"/>
    <w:rsid w:val="2E1435AD"/>
    <w:rsid w:val="2E241C91"/>
    <w:rsid w:val="2FDF3DF3"/>
    <w:rsid w:val="2FFD69CA"/>
    <w:rsid w:val="30407A02"/>
    <w:rsid w:val="30856D2E"/>
    <w:rsid w:val="30875B00"/>
    <w:rsid w:val="30B532A3"/>
    <w:rsid w:val="30B56301"/>
    <w:rsid w:val="30F66CDA"/>
    <w:rsid w:val="316B552D"/>
    <w:rsid w:val="32070475"/>
    <w:rsid w:val="321D37AA"/>
    <w:rsid w:val="324902C9"/>
    <w:rsid w:val="325D4B69"/>
    <w:rsid w:val="32EC4353"/>
    <w:rsid w:val="334C21B9"/>
    <w:rsid w:val="338D0333"/>
    <w:rsid w:val="33D3437C"/>
    <w:rsid w:val="35984167"/>
    <w:rsid w:val="35A912D8"/>
    <w:rsid w:val="35E02C48"/>
    <w:rsid w:val="37695FB2"/>
    <w:rsid w:val="37935240"/>
    <w:rsid w:val="379B59B0"/>
    <w:rsid w:val="37D73EB9"/>
    <w:rsid w:val="380E4716"/>
    <w:rsid w:val="38C77EC3"/>
    <w:rsid w:val="396A329B"/>
    <w:rsid w:val="398B17E8"/>
    <w:rsid w:val="3ACB4899"/>
    <w:rsid w:val="3AD82751"/>
    <w:rsid w:val="3BFD7FDB"/>
    <w:rsid w:val="3C320447"/>
    <w:rsid w:val="3C4648D7"/>
    <w:rsid w:val="3CAE05D4"/>
    <w:rsid w:val="3D771E7C"/>
    <w:rsid w:val="3DB64F42"/>
    <w:rsid w:val="3E171CC6"/>
    <w:rsid w:val="3E5C06F7"/>
    <w:rsid w:val="3EFC7BDA"/>
    <w:rsid w:val="3F272E49"/>
    <w:rsid w:val="3F3E5531"/>
    <w:rsid w:val="3F6653EC"/>
    <w:rsid w:val="3F9A42C5"/>
    <w:rsid w:val="3FDC2B18"/>
    <w:rsid w:val="402850DA"/>
    <w:rsid w:val="408F7318"/>
    <w:rsid w:val="41463646"/>
    <w:rsid w:val="414B4622"/>
    <w:rsid w:val="41526F1F"/>
    <w:rsid w:val="41AD4111"/>
    <w:rsid w:val="41B86DE1"/>
    <w:rsid w:val="41DF194E"/>
    <w:rsid w:val="41ED4B35"/>
    <w:rsid w:val="422A2602"/>
    <w:rsid w:val="42FA2FFE"/>
    <w:rsid w:val="430A53DF"/>
    <w:rsid w:val="435A582F"/>
    <w:rsid w:val="43C9033D"/>
    <w:rsid w:val="458E64AD"/>
    <w:rsid w:val="45B357DB"/>
    <w:rsid w:val="45C4203E"/>
    <w:rsid w:val="45E00051"/>
    <w:rsid w:val="462A632B"/>
    <w:rsid w:val="46366DB9"/>
    <w:rsid w:val="46CC7E93"/>
    <w:rsid w:val="4700217B"/>
    <w:rsid w:val="47080041"/>
    <w:rsid w:val="471624BA"/>
    <w:rsid w:val="473F5530"/>
    <w:rsid w:val="477140C4"/>
    <w:rsid w:val="493A24D0"/>
    <w:rsid w:val="4A7047E4"/>
    <w:rsid w:val="4A8A06A9"/>
    <w:rsid w:val="4BBF739F"/>
    <w:rsid w:val="4CC65390"/>
    <w:rsid w:val="4D6A3B5F"/>
    <w:rsid w:val="4D950F26"/>
    <w:rsid w:val="4DB10454"/>
    <w:rsid w:val="4DF4487A"/>
    <w:rsid w:val="4E13553A"/>
    <w:rsid w:val="4E6815C1"/>
    <w:rsid w:val="4EB80667"/>
    <w:rsid w:val="4EC47B2D"/>
    <w:rsid w:val="4F2F0721"/>
    <w:rsid w:val="4F4B2615"/>
    <w:rsid w:val="4F915E71"/>
    <w:rsid w:val="503001B4"/>
    <w:rsid w:val="509A2E5F"/>
    <w:rsid w:val="50FA16AF"/>
    <w:rsid w:val="514E08E2"/>
    <w:rsid w:val="51D058C8"/>
    <w:rsid w:val="52026A0D"/>
    <w:rsid w:val="52187BF1"/>
    <w:rsid w:val="5228363E"/>
    <w:rsid w:val="523A42F7"/>
    <w:rsid w:val="526C0CE6"/>
    <w:rsid w:val="527E7891"/>
    <w:rsid w:val="52C91A68"/>
    <w:rsid w:val="52CA1EB9"/>
    <w:rsid w:val="52FC76B1"/>
    <w:rsid w:val="53036CC3"/>
    <w:rsid w:val="53217704"/>
    <w:rsid w:val="53423403"/>
    <w:rsid w:val="540E5323"/>
    <w:rsid w:val="54286CFC"/>
    <w:rsid w:val="54894EC9"/>
    <w:rsid w:val="54906BFB"/>
    <w:rsid w:val="5498526F"/>
    <w:rsid w:val="54F956CF"/>
    <w:rsid w:val="55504A16"/>
    <w:rsid w:val="55544C4E"/>
    <w:rsid w:val="55D16179"/>
    <w:rsid w:val="561A117D"/>
    <w:rsid w:val="56772383"/>
    <w:rsid w:val="56905938"/>
    <w:rsid w:val="5714472D"/>
    <w:rsid w:val="574A4152"/>
    <w:rsid w:val="578F67C8"/>
    <w:rsid w:val="57D815DE"/>
    <w:rsid w:val="58823EF8"/>
    <w:rsid w:val="589E7B3A"/>
    <w:rsid w:val="595607D1"/>
    <w:rsid w:val="59956767"/>
    <w:rsid w:val="59D2277F"/>
    <w:rsid w:val="5A001279"/>
    <w:rsid w:val="5A5E3277"/>
    <w:rsid w:val="5B6A5AE9"/>
    <w:rsid w:val="5BA06707"/>
    <w:rsid w:val="5BE63DF2"/>
    <w:rsid w:val="5C2120EE"/>
    <w:rsid w:val="5C4A4928"/>
    <w:rsid w:val="5C6B3190"/>
    <w:rsid w:val="5CAD15F8"/>
    <w:rsid w:val="5CBC763A"/>
    <w:rsid w:val="5D3A4FF3"/>
    <w:rsid w:val="5D716BFF"/>
    <w:rsid w:val="5D733D8D"/>
    <w:rsid w:val="5D935DA4"/>
    <w:rsid w:val="5DDC260A"/>
    <w:rsid w:val="5EBB3562"/>
    <w:rsid w:val="5F0D4685"/>
    <w:rsid w:val="5F647FA3"/>
    <w:rsid w:val="5FFC1E36"/>
    <w:rsid w:val="600E0AF2"/>
    <w:rsid w:val="60155622"/>
    <w:rsid w:val="62323836"/>
    <w:rsid w:val="625C68EC"/>
    <w:rsid w:val="633F4A17"/>
    <w:rsid w:val="63407341"/>
    <w:rsid w:val="637C0EFD"/>
    <w:rsid w:val="64330C07"/>
    <w:rsid w:val="64591D19"/>
    <w:rsid w:val="64D60A4F"/>
    <w:rsid w:val="65827969"/>
    <w:rsid w:val="65CA1AD1"/>
    <w:rsid w:val="66392961"/>
    <w:rsid w:val="66DE0D17"/>
    <w:rsid w:val="671C7AD0"/>
    <w:rsid w:val="67817FB0"/>
    <w:rsid w:val="67DD3134"/>
    <w:rsid w:val="67FB0C9E"/>
    <w:rsid w:val="6810223E"/>
    <w:rsid w:val="685E2658"/>
    <w:rsid w:val="68B1462A"/>
    <w:rsid w:val="68C24C98"/>
    <w:rsid w:val="695A7B64"/>
    <w:rsid w:val="69891DC2"/>
    <w:rsid w:val="69F30B3D"/>
    <w:rsid w:val="6A944FF8"/>
    <w:rsid w:val="6AC86CED"/>
    <w:rsid w:val="6B896422"/>
    <w:rsid w:val="6BA06997"/>
    <w:rsid w:val="6C041EB5"/>
    <w:rsid w:val="6C5C1FAD"/>
    <w:rsid w:val="6CB92B50"/>
    <w:rsid w:val="6CC026BD"/>
    <w:rsid w:val="6D430BC4"/>
    <w:rsid w:val="6D46145F"/>
    <w:rsid w:val="6DB862DE"/>
    <w:rsid w:val="6DD2439B"/>
    <w:rsid w:val="6E1F4B01"/>
    <w:rsid w:val="6E1F4BFC"/>
    <w:rsid w:val="6E3B0FB7"/>
    <w:rsid w:val="6E4044A5"/>
    <w:rsid w:val="6E49106A"/>
    <w:rsid w:val="6E6C2864"/>
    <w:rsid w:val="6E775D3B"/>
    <w:rsid w:val="6EAD142D"/>
    <w:rsid w:val="6EE22D4E"/>
    <w:rsid w:val="6F1D1AF9"/>
    <w:rsid w:val="6F6C7A2E"/>
    <w:rsid w:val="70940320"/>
    <w:rsid w:val="70A83C51"/>
    <w:rsid w:val="714123C2"/>
    <w:rsid w:val="717D44A9"/>
    <w:rsid w:val="71E340F8"/>
    <w:rsid w:val="71F53485"/>
    <w:rsid w:val="72253E83"/>
    <w:rsid w:val="726D7F49"/>
    <w:rsid w:val="73265B6C"/>
    <w:rsid w:val="742C1224"/>
    <w:rsid w:val="742C150F"/>
    <w:rsid w:val="74992FC0"/>
    <w:rsid w:val="755E741F"/>
    <w:rsid w:val="75A70181"/>
    <w:rsid w:val="762052F3"/>
    <w:rsid w:val="765F27E9"/>
    <w:rsid w:val="76992D4A"/>
    <w:rsid w:val="76CE7F17"/>
    <w:rsid w:val="76E134A8"/>
    <w:rsid w:val="76FC7C04"/>
    <w:rsid w:val="776564EF"/>
    <w:rsid w:val="7770685D"/>
    <w:rsid w:val="777E5A14"/>
    <w:rsid w:val="77CD29D9"/>
    <w:rsid w:val="78297AB5"/>
    <w:rsid w:val="787C29C5"/>
    <w:rsid w:val="78B43059"/>
    <w:rsid w:val="79105564"/>
    <w:rsid w:val="79D423A6"/>
    <w:rsid w:val="7A77520D"/>
    <w:rsid w:val="7A9418FB"/>
    <w:rsid w:val="7A9A6350"/>
    <w:rsid w:val="7AAC75CB"/>
    <w:rsid w:val="7ABE23D6"/>
    <w:rsid w:val="7ABF1C82"/>
    <w:rsid w:val="7AEE0661"/>
    <w:rsid w:val="7B053770"/>
    <w:rsid w:val="7B5467AB"/>
    <w:rsid w:val="7B7C6467"/>
    <w:rsid w:val="7B8A15B0"/>
    <w:rsid w:val="7CDD44D5"/>
    <w:rsid w:val="7CED5108"/>
    <w:rsid w:val="7D4D0564"/>
    <w:rsid w:val="7DBA1ED7"/>
    <w:rsid w:val="7DE04BD6"/>
    <w:rsid w:val="7E045438"/>
    <w:rsid w:val="7F3C059B"/>
    <w:rsid w:val="7F681AF7"/>
    <w:rsid w:val="7FFF09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1"/>
    <w:qFormat/>
    <w:uiPriority w:val="0"/>
    <w:pPr>
      <w:keepNext/>
      <w:pageBreakBefore/>
      <w:spacing w:line="480" w:lineRule="exact"/>
      <w:outlineLvl w:val="0"/>
    </w:pPr>
    <w:rPr>
      <w:b/>
      <w:spacing w:val="4"/>
      <w:kern w:val="28"/>
      <w:sz w:val="30"/>
    </w:rPr>
  </w:style>
  <w:style w:type="paragraph" w:styleId="5">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3"/>
    <w:qFormat/>
    <w:uiPriority w:val="0"/>
    <w:pPr>
      <w:ind w:firstLine="420"/>
    </w:pPr>
  </w:style>
  <w:style w:type="paragraph" w:styleId="3">
    <w:name w:val="Note Heading"/>
    <w:basedOn w:val="1"/>
    <w:next w:val="1"/>
    <w:qFormat/>
    <w:uiPriority w:val="0"/>
    <w:pPr>
      <w:jc w:val="center"/>
    </w:pPr>
    <w:rPr>
      <w:rFonts w:hint="eastAsia" w:ascii="宋体"/>
    </w:rPr>
  </w:style>
  <w:style w:type="paragraph" w:styleId="6">
    <w:name w:val="index 5"/>
    <w:basedOn w:val="1"/>
    <w:next w:val="1"/>
    <w:qFormat/>
    <w:uiPriority w:val="0"/>
    <w:pPr>
      <w:ind w:left="1680"/>
    </w:pPr>
  </w:style>
  <w:style w:type="paragraph" w:styleId="7">
    <w:name w:val="Document Map"/>
    <w:basedOn w:val="1"/>
    <w:qFormat/>
    <w:uiPriority w:val="0"/>
    <w:pPr>
      <w:shd w:val="clear" w:color="auto" w:fill="000080"/>
    </w:pPr>
  </w:style>
  <w:style w:type="paragraph" w:styleId="8">
    <w:name w:val="annotation text"/>
    <w:basedOn w:val="1"/>
    <w:semiHidden/>
    <w:qFormat/>
    <w:uiPriority w:val="0"/>
    <w:pPr>
      <w:jc w:val="left"/>
    </w:pPr>
    <w:rPr>
      <w:kern w:val="0"/>
      <w:sz w:val="24"/>
    </w:rPr>
  </w:style>
  <w:style w:type="paragraph" w:styleId="9">
    <w:name w:val="Body Text"/>
    <w:basedOn w:val="1"/>
    <w:next w:val="1"/>
    <w:qFormat/>
    <w:uiPriority w:val="0"/>
    <w:pPr>
      <w:spacing w:after="120"/>
    </w:pPr>
  </w:style>
  <w:style w:type="paragraph" w:styleId="10">
    <w:name w:val="Body Text Indent"/>
    <w:basedOn w:val="1"/>
    <w:next w:val="11"/>
    <w:qFormat/>
    <w:uiPriority w:val="0"/>
    <w:pPr>
      <w:spacing w:after="120"/>
      <w:ind w:left="420" w:leftChars="200"/>
    </w:pPr>
    <w:rPr>
      <w:kern w:val="0"/>
      <w:sz w:val="24"/>
    </w:rPr>
  </w:style>
  <w:style w:type="paragraph" w:styleId="11">
    <w:name w:val="header"/>
    <w:basedOn w:val="1"/>
    <w:next w:val="12"/>
    <w:link w:val="38"/>
    <w:qFormat/>
    <w:uiPriority w:val="0"/>
    <w:pPr>
      <w:pBdr>
        <w:bottom w:val="single" w:color="auto" w:sz="6" w:space="1"/>
      </w:pBdr>
      <w:tabs>
        <w:tab w:val="center" w:pos="4153"/>
        <w:tab w:val="right" w:pos="8306"/>
      </w:tabs>
      <w:snapToGrid w:val="0"/>
      <w:jc w:val="center"/>
    </w:pPr>
    <w:rPr>
      <w:sz w:val="18"/>
      <w:szCs w:val="18"/>
    </w:rPr>
  </w:style>
  <w:style w:type="paragraph" w:customStyle="1" w:styleId="12">
    <w:name w:val="样式5"/>
    <w:basedOn w:val="13"/>
    <w:qFormat/>
    <w:uiPriority w:val="0"/>
    <w:pPr>
      <w:keepNext/>
      <w:spacing w:line="240" w:lineRule="auto"/>
      <w:jc w:val="left"/>
      <w:outlineLvl w:val="0"/>
    </w:pPr>
    <w:rPr>
      <w:rFonts w:ascii="黑体" w:hAnsi="黑体"/>
      <w:spacing w:val="5"/>
      <w:sz w:val="25"/>
      <w:szCs w:val="25"/>
    </w:rPr>
  </w:style>
  <w:style w:type="paragraph" w:customStyle="1" w:styleId="13">
    <w:name w:val="正文1"/>
    <w:basedOn w:val="1"/>
    <w:next w:val="1"/>
    <w:qFormat/>
    <w:uiPriority w:val="99"/>
    <w:pPr>
      <w:adjustRightInd w:val="0"/>
      <w:snapToGrid w:val="0"/>
      <w:spacing w:line="480" w:lineRule="exact"/>
      <w:ind w:firstLine="200" w:firstLineChars="200"/>
    </w:pPr>
    <w:rPr>
      <w:sz w:val="24"/>
    </w:rPr>
  </w:style>
  <w:style w:type="paragraph" w:styleId="14">
    <w:name w:val="Block Text"/>
    <w:basedOn w:val="1"/>
    <w:next w:val="7"/>
    <w:qFormat/>
    <w:uiPriority w:val="0"/>
    <w:pPr>
      <w:ind w:left="113" w:right="113" w:firstLine="595"/>
      <w:jc w:val="left"/>
    </w:pPr>
    <w:rPr>
      <w:sz w:val="28"/>
    </w:rPr>
  </w:style>
  <w:style w:type="paragraph" w:styleId="15">
    <w:name w:val="List Bullet 5"/>
    <w:basedOn w:val="1"/>
    <w:qFormat/>
    <w:uiPriority w:val="0"/>
    <w:pPr>
      <w:numPr>
        <w:ilvl w:val="0"/>
        <w:numId w:val="1"/>
      </w:numPr>
    </w:pPr>
  </w:style>
  <w:style w:type="paragraph" w:styleId="16">
    <w:name w:val="footer"/>
    <w:basedOn w:val="1"/>
    <w:link w:val="37"/>
    <w:qFormat/>
    <w:uiPriority w:val="0"/>
    <w:pPr>
      <w:tabs>
        <w:tab w:val="center" w:pos="4153"/>
        <w:tab w:val="right" w:pos="8306"/>
      </w:tabs>
      <w:snapToGrid w:val="0"/>
      <w:jc w:val="left"/>
    </w:pPr>
    <w:rPr>
      <w:sz w:val="18"/>
      <w:szCs w:val="18"/>
    </w:rPr>
  </w:style>
  <w:style w:type="paragraph" w:styleId="17">
    <w:name w:val="index heading"/>
    <w:basedOn w:val="1"/>
    <w:next w:val="18"/>
    <w:semiHidden/>
    <w:qFormat/>
    <w:uiPriority w:val="0"/>
    <w:rPr>
      <w:rFonts w:ascii="Arial" w:hAnsi="Arial"/>
      <w:b/>
      <w:bCs/>
    </w:rPr>
  </w:style>
  <w:style w:type="paragraph" w:styleId="18">
    <w:name w:val="index 1"/>
    <w:basedOn w:val="1"/>
    <w:next w:val="1"/>
    <w:semiHidden/>
    <w:qFormat/>
    <w:uiPriority w:val="0"/>
    <w:pPr>
      <w:tabs>
        <w:tab w:val="left" w:pos="3150"/>
        <w:tab w:val="center" w:pos="4212"/>
        <w:tab w:val="left" w:pos="5640"/>
      </w:tabs>
      <w:spacing w:line="440" w:lineRule="atLeast"/>
    </w:pPr>
    <w:rPr>
      <w:rFonts w:ascii="宋体" w:hAnsi="宋体"/>
      <w:color w:val="000000"/>
    </w:rPr>
  </w:style>
  <w:style w:type="paragraph" w:styleId="19">
    <w:name w:val="toc 2"/>
    <w:basedOn w:val="1"/>
    <w:next w:val="1"/>
    <w:qFormat/>
    <w:uiPriority w:val="39"/>
    <w:pPr>
      <w:ind w:left="420" w:leftChars="200"/>
    </w:pPr>
  </w:style>
  <w:style w:type="paragraph" w:styleId="20">
    <w:name w:val="Body Text 2"/>
    <w:basedOn w:val="1"/>
    <w:qFormat/>
    <w:uiPriority w:val="0"/>
    <w:pPr>
      <w:spacing w:after="120" w:line="480" w:lineRule="auto"/>
    </w:pPr>
  </w:style>
  <w:style w:type="paragraph" w:styleId="21">
    <w:name w:val="Body Text First Indent"/>
    <w:basedOn w:val="9"/>
    <w:next w:val="1"/>
    <w:qFormat/>
    <w:uiPriority w:val="0"/>
    <w:pPr>
      <w:ind w:firstLine="420" w:firstLineChars="100"/>
    </w:pPr>
    <w:rPr>
      <w:szCs w:val="24"/>
    </w:rPr>
  </w:style>
  <w:style w:type="paragraph" w:styleId="22">
    <w:name w:val="Body Text First Indent 2"/>
    <w:basedOn w:val="10"/>
    <w:next w:val="1"/>
    <w:qFormat/>
    <w:uiPriority w:val="0"/>
    <w:pPr>
      <w:ind w:firstLine="420" w:firstLineChars="200"/>
    </w:pPr>
  </w:style>
  <w:style w:type="table" w:styleId="24">
    <w:name w:val="Table Grid"/>
    <w:basedOn w:val="2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page number"/>
    <w:basedOn w:val="25"/>
    <w:qFormat/>
    <w:uiPriority w:val="0"/>
  </w:style>
  <w:style w:type="paragraph" w:customStyle="1" w:styleId="27">
    <w:name w:val="Default"/>
    <w:basedOn w:val="28"/>
    <w:next w:val="6"/>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28">
    <w:name w:val="表内容@"/>
    <w:basedOn w:val="1"/>
    <w:qFormat/>
    <w:uiPriority w:val="0"/>
    <w:pPr>
      <w:adjustRightInd w:val="0"/>
      <w:spacing w:line="0" w:lineRule="atLeast"/>
      <w:jc w:val="center"/>
    </w:pPr>
    <w:rPr>
      <w:rFonts w:ascii="宋体" w:hAnsi="宋体" w:cs="Arial"/>
      <w:szCs w:val="21"/>
    </w:rPr>
  </w:style>
  <w:style w:type="paragraph" w:customStyle="1" w:styleId="29">
    <w:name w:val="Char Char Char Char Char Char Char Char Char Char Char Char Char"/>
    <w:basedOn w:val="1"/>
    <w:next w:val="30"/>
    <w:qFormat/>
    <w:uiPriority w:val="0"/>
  </w:style>
  <w:style w:type="paragraph" w:customStyle="1" w:styleId="30">
    <w:name w:val="point101"/>
    <w:basedOn w:val="1"/>
    <w:next w:val="1"/>
    <w:qFormat/>
    <w:uiPriority w:val="0"/>
    <w:pPr>
      <w:widowControl/>
      <w:spacing w:before="100" w:beforeAutospacing="1" w:after="100" w:afterAutospacing="1" w:line="390" w:lineRule="atLeast"/>
    </w:pPr>
    <w:rPr>
      <w:rFonts w:ascii="宋体" w:hAnsi="宋体" w:cs="宋体"/>
      <w:spacing w:val="5"/>
      <w:sz w:val="18"/>
      <w:szCs w:val="18"/>
    </w:rPr>
  </w:style>
  <w:style w:type="paragraph" w:customStyle="1" w:styleId="31">
    <w:name w:val="样式 正文文本 + 首行缩进:  2 字符"/>
    <w:basedOn w:val="9"/>
    <w:qFormat/>
    <w:uiPriority w:val="0"/>
    <w:pPr>
      <w:keepNext/>
      <w:spacing w:before="100" w:beforeAutospacing="1" w:after="200" w:line="480" w:lineRule="exact"/>
      <w:ind w:firstLine="480" w:firstLineChars="200"/>
    </w:pPr>
    <w:rPr>
      <w:rFonts w:ascii="Calibri" w:hAnsi="Calibri"/>
    </w:rPr>
  </w:style>
  <w:style w:type="paragraph" w:customStyle="1" w:styleId="32">
    <w:name w:val="样式 样式 样式 四号 左侧:  1.53 厘米 + 首行缩进:  2 字符 + 居中 左侧:  2 字符 首行缩进:  2..."/>
    <w:basedOn w:val="33"/>
    <w:qFormat/>
    <w:uiPriority w:val="0"/>
    <w:pPr>
      <w:jc w:val="center"/>
    </w:pPr>
  </w:style>
  <w:style w:type="paragraph" w:customStyle="1" w:styleId="33">
    <w:name w:val="样式 样式 四号 左侧:  1.53 厘米 + 首行缩进:  2 字符"/>
    <w:basedOn w:val="34"/>
    <w:qFormat/>
    <w:uiPriority w:val="0"/>
    <w:pPr>
      <w:ind w:left="200" w:leftChars="200"/>
    </w:pPr>
    <w:rPr>
      <w:szCs w:val="20"/>
    </w:rPr>
  </w:style>
  <w:style w:type="paragraph" w:customStyle="1" w:styleId="34">
    <w:name w:val="样式 四号 左侧:  1.53 厘米"/>
    <w:basedOn w:val="1"/>
    <w:qFormat/>
    <w:uiPriority w:val="0"/>
    <w:pPr>
      <w:adjustRightInd w:val="0"/>
    </w:pPr>
    <w:rPr>
      <w:w w:val="90"/>
      <w:sz w:val="28"/>
      <w:szCs w:val="28"/>
    </w:rPr>
  </w:style>
  <w:style w:type="character" w:customStyle="1" w:styleId="35">
    <w:name w:val="正文文本缩进 2 Char"/>
    <w:link w:val="36"/>
    <w:semiHidden/>
    <w:qFormat/>
    <w:uiPriority w:val="0"/>
    <w:rPr>
      <w:rFonts w:ascii="宋体" w:hAnsi="Times New Roman" w:eastAsia="宋体" w:cs="Times New Roman"/>
      <w:sz w:val="28"/>
      <w:szCs w:val="20"/>
    </w:rPr>
  </w:style>
  <w:style w:type="paragraph" w:customStyle="1" w:styleId="36">
    <w:name w:val="正文文本缩进 21"/>
    <w:basedOn w:val="1"/>
    <w:link w:val="35"/>
    <w:qFormat/>
    <w:uiPriority w:val="0"/>
    <w:pPr>
      <w:ind w:firstLine="585"/>
    </w:pPr>
    <w:rPr>
      <w:rFonts w:ascii="宋体"/>
      <w:sz w:val="28"/>
    </w:rPr>
  </w:style>
  <w:style w:type="character" w:customStyle="1" w:styleId="37">
    <w:name w:val="页脚 Char"/>
    <w:link w:val="16"/>
    <w:semiHidden/>
    <w:qFormat/>
    <w:uiPriority w:val="0"/>
    <w:rPr>
      <w:rFonts w:ascii="Times New Roman" w:hAnsi="Times New Roman" w:eastAsia="宋体" w:cs="Times New Roman"/>
      <w:sz w:val="18"/>
      <w:szCs w:val="18"/>
    </w:rPr>
  </w:style>
  <w:style w:type="character" w:customStyle="1" w:styleId="38">
    <w:name w:val="页眉 Char"/>
    <w:link w:val="11"/>
    <w:semiHidden/>
    <w:qFormat/>
    <w:uiPriority w:val="0"/>
    <w:rPr>
      <w:rFonts w:ascii="Times New Roman" w:hAnsi="Times New Roman" w:eastAsia="宋体" w:cs="Times New Roman"/>
      <w:sz w:val="18"/>
      <w:szCs w:val="18"/>
    </w:rPr>
  </w:style>
  <w:style w:type="paragraph" w:customStyle="1" w:styleId="39">
    <w:name w:val="普通(网站)1"/>
    <w:basedOn w:val="1"/>
    <w:qFormat/>
    <w:uiPriority w:val="0"/>
    <w:pPr>
      <w:spacing w:beforeAutospacing="1" w:afterAutospacing="1"/>
      <w:jc w:val="left"/>
    </w:pPr>
    <w:rPr>
      <w:kern w:val="0"/>
      <w:sz w:val="24"/>
    </w:rPr>
  </w:style>
  <w:style w:type="paragraph" w:customStyle="1" w:styleId="40">
    <w:name w:val="正文缩进1"/>
    <w:basedOn w:val="1"/>
    <w:qFormat/>
    <w:uiPriority w:val="0"/>
    <w:pPr>
      <w:ind w:firstLine="420"/>
    </w:pPr>
  </w:style>
  <w:style w:type="character" w:customStyle="1" w:styleId="41">
    <w:name w:val="页码1"/>
    <w:basedOn w:val="25"/>
    <w:qFormat/>
    <w:uiPriority w:val="0"/>
  </w:style>
  <w:style w:type="paragraph" w:customStyle="1" w:styleId="42">
    <w:name w:val="报告书正文"/>
    <w:basedOn w:val="21"/>
    <w:qFormat/>
    <w:uiPriority w:val="0"/>
    <w:pPr>
      <w:spacing w:after="0" w:line="360" w:lineRule="auto"/>
      <w:ind w:firstLine="200" w:firstLineChars="200"/>
    </w:pPr>
    <w:rPr>
      <w:sz w:val="24"/>
    </w:rPr>
  </w:style>
  <w:style w:type="paragraph" w:customStyle="1" w:styleId="43">
    <w:name w:val="热电厂正文"/>
    <w:basedOn w:val="1"/>
    <w:qFormat/>
    <w:uiPriority w:val="0"/>
    <w:pPr>
      <w:spacing w:line="440" w:lineRule="exact"/>
      <w:ind w:firstLine="480" w:firstLineChars="200"/>
    </w:pPr>
    <w:rPr>
      <w:sz w:val="24"/>
      <w:szCs w:val="24"/>
    </w:rPr>
  </w:style>
  <w:style w:type="paragraph" w:customStyle="1" w:styleId="44">
    <w:name w:val="样式 样式 样式 样式 样式 正文@ + 首行缩进:  2 字符 字距调整小四 紧缩量  0.2 磅 + 首行缩进:  2 字符..."/>
    <w:basedOn w:val="45"/>
    <w:qFormat/>
    <w:uiPriority w:val="0"/>
    <w:pPr>
      <w:spacing w:line="360" w:lineRule="auto"/>
      <w:ind w:firstLine="200"/>
    </w:pPr>
  </w:style>
  <w:style w:type="paragraph" w:customStyle="1" w:styleId="45">
    <w:name w:val="样式 样式 样式 样式 正文@ + 首行缩进:  2 字符 字距调整小四 紧缩量  0.2 磅 + 首行缩进:  2 字符 + ...1"/>
    <w:basedOn w:val="46"/>
    <w:qFormat/>
    <w:uiPriority w:val="0"/>
    <w:pPr>
      <w:widowControl/>
      <w:spacing w:line="312" w:lineRule="auto"/>
      <w:jc w:val="left"/>
    </w:pPr>
  </w:style>
  <w:style w:type="paragraph" w:customStyle="1" w:styleId="46">
    <w:name w:val="样式 样式 样式 正文@ + 首行缩进:  2 字符 字距调整小四 紧缩量  0.2 磅 + 首行缩进:  2 字符 + 首行缩..."/>
    <w:basedOn w:val="47"/>
    <w:qFormat/>
    <w:uiPriority w:val="0"/>
    <w:pPr>
      <w:ind w:firstLine="438"/>
    </w:pPr>
    <w:rPr>
      <w:szCs w:val="20"/>
    </w:rPr>
  </w:style>
  <w:style w:type="paragraph" w:customStyle="1" w:styleId="47">
    <w:name w:val="样式 样式 正文@ + 首行缩进:  2 字符 字距调整小四 紧缩量  0.2 磅 + 首行缩进:  2 字符"/>
    <w:basedOn w:val="1"/>
    <w:qFormat/>
    <w:uiPriority w:val="0"/>
    <w:pPr>
      <w:spacing w:line="360" w:lineRule="auto"/>
      <w:ind w:firstLine="480" w:firstLineChars="200"/>
    </w:pPr>
    <w:rPr>
      <w:rFonts w:ascii="宋体" w:hAnsi="宋体" w:cs="宋体"/>
      <w:kern w:val="24"/>
      <w:sz w:val="24"/>
      <w:szCs w:val="24"/>
    </w:rPr>
  </w:style>
  <w:style w:type="paragraph" w:customStyle="1" w:styleId="48">
    <w:name w:val="哼"/>
    <w:basedOn w:val="1"/>
    <w:qFormat/>
    <w:uiPriority w:val="0"/>
    <w:pPr>
      <w:spacing w:line="480" w:lineRule="exact"/>
      <w:ind w:firstLine="1440" w:firstLineChars="200"/>
    </w:pPr>
    <w:rPr>
      <w:sz w:val="24"/>
    </w:rPr>
  </w:style>
  <w:style w:type="paragraph" w:customStyle="1" w:styleId="49">
    <w:name w:val="Normal_28"/>
    <w:qFormat/>
    <w:uiPriority w:val="0"/>
    <w:pPr>
      <w:spacing w:before="120" w:after="240"/>
      <w:jc w:val="both"/>
    </w:pPr>
    <w:rPr>
      <w:rFonts w:ascii="Calibri" w:hAnsi="Calibri" w:eastAsia="宋体" w:cs="Times New Roman"/>
      <w:sz w:val="22"/>
      <w:szCs w:val="22"/>
      <w:lang w:val="en-US" w:eastAsia="en-US" w:bidi="ar-SA"/>
    </w:rPr>
  </w:style>
  <w:style w:type="paragraph" w:customStyle="1" w:styleId="50">
    <w:name w:val="报告表正文文本"/>
    <w:basedOn w:val="1"/>
    <w:qFormat/>
    <w:uiPriority w:val="0"/>
    <w:pPr>
      <w:spacing w:line="500" w:lineRule="exact"/>
      <w:ind w:firstLine="720" w:firstLineChars="200"/>
    </w:pPr>
    <w:rPr>
      <w:rFonts w:ascii="Times New Roman" w:hAnsi="Times New Roman" w:eastAsia="宋体"/>
      <w:sz w:val="24"/>
    </w:rPr>
  </w:style>
  <w:style w:type="paragraph" w:customStyle="1" w:styleId="51">
    <w:name w:val="正文ZM"/>
    <w:basedOn w:val="1"/>
    <w:qFormat/>
    <w:uiPriority w:val="0"/>
    <w:pPr>
      <w:spacing w:line="500" w:lineRule="exact"/>
      <w:ind w:firstLine="480" w:firstLineChars="200"/>
    </w:pPr>
    <w:rPr>
      <w:rFonts w:ascii="Times New Roman" w:hAnsi="Times New Roman" w:eastAsia="宋体" w:cs="Times New Roman"/>
      <w:color w:val="auto"/>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2277</Words>
  <Characters>2494</Characters>
  <Lines>41</Lines>
  <Paragraphs>11</Paragraphs>
  <TotalTime>1</TotalTime>
  <ScaleCrop>false</ScaleCrop>
  <LinksUpToDate>false</LinksUpToDate>
  <CharactersWithSpaces>7106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2022-09-15T08:06:00Z</dcterms:created>
  <dc:creator>Windows 用户</dc:creator>
  <cp:lastModifiedBy>Administrator</cp:lastModifiedBy>
  <cp:lastPrinted>2024-08-14T03:14:00Z</cp:lastPrinted>
  <dcterms:modified xsi:type="dcterms:W3CDTF">2026-09-29T01:43:47Z</dcterms:modified>
  <dc:title>han</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BA696A9AA7264D0787AEF629B0120A63</vt:lpwstr>
  </property>
  <property fmtid="{D5CDD505-2E9C-101B-9397-08002B2CF9AE}" pid="4" name="KSOTemplateDocerSaveRecord">
    <vt:lpwstr>eyJoZGlkIjoiMTk0NzViNGY4MjI0NGIxYjBlMGY5MmMyODllMmNlZGUiLCJ1c2VySWQiOiIxNzExOTQzNzU1In0=</vt:lpwstr>
  </property>
</Properties>
</file>