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bookmarkStart w:id="0" w:name="_GoBack"/>
      <w:bookmarkEnd w:id="0"/>
      <w:r>
        <w:rPr>
          <w:rFonts w:hint="eastAsia"/>
        </w:rPr>
        <w:drawing>
          <wp:anchor distT="0" distB="0" distL="114300" distR="114300" simplePos="0" relativeHeight="251661312" behindDoc="1" locked="0" layoutInCell="1" allowOverlap="1">
            <wp:simplePos x="0" y="0"/>
            <wp:positionH relativeFrom="column">
              <wp:posOffset>-887730</wp:posOffset>
            </wp:positionH>
            <wp:positionV relativeFrom="page">
              <wp:posOffset>-201295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v:textbox>
              </v:shape>
            </w:pict>
          </mc:Fallback>
        </mc:AlternateContent>
      </w: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石家庄高新技术产业开发区行政审批局（汇总）</w:t>
      </w: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432</w:t>
      </w: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pPr>
        <w:spacing w:line="600" w:lineRule="auto"/>
        <w:jc w:val="center"/>
        <w:rPr>
          <w:rFonts w:hint="eastAsia" w:ascii="楷体_GB2312" w:hAnsi="楷体_GB2312" w:eastAsia="楷体_GB2312" w:cs="楷体_GB2312"/>
          <w:color w:val="000000"/>
          <w:sz w:val="40"/>
          <w:szCs w:val="40"/>
        </w:rPr>
      </w:pPr>
    </w:p>
    <w:p>
      <w:pPr>
        <w:rPr>
          <w:rFonts w:hint="eastAsia" w:ascii="黑体" w:hAnsi="黑体" w:eastAsia="黑体" w:cs="黑体"/>
          <w:b/>
          <w:bCs/>
          <w:sz w:val="32"/>
          <w:szCs w:val="36"/>
          <w:highlight w:val="yellow"/>
        </w:rPr>
      </w:pP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石家庄高新技术产业开发区行政审批局（汇总）</w:t>
      </w: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年度部门决算公开文本</w:t>
      </w:r>
    </w:p>
    <w:p>
      <w:pPr>
        <w:spacing w:line="360" w:lineRule="auto"/>
        <w:jc w:val="center"/>
        <w:rPr>
          <w:rFonts w:ascii="黑体" w:hAnsi="黑体" w:eastAsia="黑体" w:cs="黑体"/>
          <w:sz w:val="56"/>
          <w:szCs w:val="72"/>
        </w:rPr>
      </w:pPr>
    </w:p>
    <w:p>
      <w:pPr>
        <w:spacing w:line="480" w:lineRule="auto"/>
        <w:jc w:val="both"/>
        <w:rPr>
          <w:rFonts w:ascii="黑体" w:hAnsi="黑体" w:eastAsia="黑体" w:cs="黑体"/>
          <w:sz w:val="56"/>
          <w:szCs w:val="72"/>
        </w:rPr>
      </w:pPr>
    </w:p>
    <w:p>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石家庄高新技术产业开发区行政审批局（汇总）</w:t>
      </w:r>
    </w:p>
    <w:p>
      <w:pPr>
        <w:widowControl/>
        <w:spacing w:before="0" w:beforeLines="0" w:beforeAutospacing="0" w:after="0" w:afterLines="0" w:afterAutospacing="0" w:line="240" w:lineRule="auto"/>
        <w:jc w:val="center"/>
        <w:rPr>
          <w:rFonts w:ascii="Times New Roman" w:eastAsia="楷体_GB2312"/>
          <w:sz w:val="44"/>
          <w:szCs w:val="44"/>
        </w:rPr>
      </w:pPr>
      <w:r>
        <w:rPr>
          <w:rFonts w:ascii="Times New Roman" w:eastAsia="楷体_GB2312"/>
          <w:b w:val="0"/>
          <w:sz w:val="44"/>
          <w:szCs w:val="44"/>
        </w:rPr>
        <w:t>(加盖公章）</w:t>
      </w:r>
    </w:p>
    <w:p>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二〇二六年八月</w:t>
      </w:r>
    </w:p>
    <w:p>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第一部分部门概况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一、部门职责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第一部分部门概况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一、部门职责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从决算编报单位构成看，纳入2025年度本部门决算汇编范围的独立核算单位（以下简称“单位”）共个，具体情况如下：</w:t>
      </w: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石家庄高新技术产业开发区行政审批局（汇总）</w:t>
            </w:r>
          </w:p>
        </w:tc>
        <w:tc>
          <w:tcPr>
            <w:tcW w:w="2445" w:type="dxa"/>
          </w:tcPr>
          <w:p>
            <w:pPr>
              <w:spacing w:line="560" w:lineRule="exact"/>
              <w:jc w:val="center"/>
              <w:rPr>
                <w:rFonts w:ascii="仿宋_GB2312" w:hAnsi="Calibri" w:eastAsia="仿宋_GB2312" w:cs="ArialUnicodeMS"/>
                <w:kern w:val="0"/>
                <w:sz w:val="28"/>
                <w:szCs w:val="28"/>
              </w:rPr>
            </w:pPr>
          </w:p>
        </w:tc>
        <w:tc>
          <w:tcPr>
            <w:tcW w:w="2665" w:type="dxa"/>
          </w:tcPr>
          <w:p>
            <w:pPr>
              <w:spacing w:line="560" w:lineRule="exact"/>
              <w:jc w:val="center"/>
              <w:rPr>
                <w:rFonts w:ascii="仿宋_GB2312" w:hAnsi="Calibri" w:eastAsia="仿宋_GB2312" w:cs="ArialUnicodeMS"/>
                <w:kern w:val="0"/>
                <w:sz w:val="28"/>
                <w:szCs w:val="28"/>
              </w:rPr>
            </w:pPr>
          </w:p>
        </w:tc>
      </w:tr>
    </w:tbl>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bidi w:val="0"/>
        <w:rPr>
          <w:rFonts w:hint="default"/>
          <w:lang w:val="en-US" w:eastAsia="zh-CN"/>
        </w:rPr>
      </w:pPr>
    </w:p>
    <w:p>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部门（单位）：石家庄高新技术产业开发区行政审批局（汇总）</w:t>
            </w:r>
          </w:p>
        </w:tc>
        <w:tc>
          <w:tcPr>
            <w:tcW w:w="1262" w:type="pct"/>
            <w:gridSpan w:val="2"/>
            <w:tcBorders>
              <w:top w:val="nil"/>
              <w:left w:val="nil"/>
              <w:bottom w:val="single" w:color="000000" w:themeColor="text1" w:sz="8" w:space="0"/>
              <w:right w:val="nil"/>
            </w:tcBorders>
            <w:noWrap/>
            <w:vAlign w:val="bottom"/>
          </w:tcPr>
          <w:p>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2,707.85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116.19</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194.75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184.84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3,133.25</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3,133.25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3,133.25</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3,133.25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部门（单位）：石家庄高新技术产业开发区行政审批局（汇总）                                                                                                         </w:t>
            </w:r>
          </w:p>
        </w:tc>
        <w:tc>
          <w:tcPr>
            <w:tcW w:w="3405" w:type="dxa"/>
            <w:gridSpan w:val="4"/>
            <w:tcBorders>
              <w:top w:val="nil"/>
              <w:left w:val="nil"/>
              <w:bottom w:val="single" w:color="000000" w:themeColor="text1" w:sz="8" w:space="0"/>
              <w:right w:val="nil"/>
            </w:tcBorders>
            <w:noWrap/>
            <w:vAlign w:val="bottom"/>
          </w:tcPr>
          <w:p>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3,133.25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3,017.05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116.19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2,707.85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2,591.66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政府办公厅（室）及相关机构事务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2,707.85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2,591.66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政务公开审批</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2,707.85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2,591.66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116.19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194.75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194.75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163.13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163.13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行政单位离退休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29.22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29.22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事业单位离退休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18.96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18.96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91.34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91.34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机关事业单位职业年金缴费支出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23.61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抚恤</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2080801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死亡抚恤</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45.80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45.80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45.80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45.80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21.03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21.03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184.84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184.84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184.84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184.84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184.84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184.84</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部门（单位）：石家庄高新技术产业开发区行政审批局（汇总）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3,133.25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2,670.27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462.97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2,707.85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2,244.88</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462.97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2,707.85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2,244.88</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462.97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2,707.85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2,244.88</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462.97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194.75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194.75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163.13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163.13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事业单位离退休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18.96</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18.96</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91.34</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91.34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2080506</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机关事业单位职业年金缴费支出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抚恤</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2080801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死亡抚恤</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21.03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21.03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部门（单位）：石家庄高新技术产业开发区行政审批局（汇总）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2,591.66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2,591.66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194.75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194.75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45.80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45.80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184.84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184.84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cs="Times New Roman"/>
                <w:sz w:val="20"/>
                <w:szCs w:val="20"/>
                <w:highlight w:val="none"/>
              </w:rPr>
            </w:pPr>
          </w:p>
          <w:p>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3,017.05</w:t>
            </w:r>
          </w:p>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92"/>
        <w:gridCol w:w="3091"/>
        <w:gridCol w:w="1146"/>
        <w:gridCol w:w="482"/>
        <w:gridCol w:w="505"/>
        <w:gridCol w:w="347"/>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部门（单位）：石家庄高新技术产业开发区行政审批局（汇总）</w:t>
            </w:r>
          </w:p>
        </w:tc>
        <w:tc>
          <w:tcPr>
            <w:tcW w:w="1541" w:type="pct"/>
            <w:gridSpan w:val="2"/>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3,017.05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2,670.27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346.78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2,591.66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2,244.88</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2,591.66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2,244.88</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2,591.66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2,244.88</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194.75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194.75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163.13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163.13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事业单位离退休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18.96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18.96</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91.34</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91.34</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机关事业单位职业年金缴费支出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抚恤</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2080801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死亡抚恤</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45.80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21.03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21.03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184.84</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部门（单位）：石家庄高新技术产业开发区行政审批局（汇总）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2,000.61</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584.77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339.37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18.10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127.91</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992.79</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180.35</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92.14</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20.71</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23.61</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45.80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2.91</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184.84</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84.89</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48.18</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31.62</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497.76</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16.95</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6.20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0.04</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19.39</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5.05</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0.75</w:t>
            </w:r>
          </w:p>
        </w:tc>
        <w:tc>
          <w:tcPr>
            <w:tcW w:w="666" w:type="dxa"/>
            <w:tcBorders>
              <w:top w:val="nil"/>
              <w:left w:val="nil"/>
              <w:bottom w:val="single" w:color="000000" w:sz="8" w:space="0"/>
              <w:right w:val="single" w:color="000000" w:sz="8" w:space="0"/>
            </w:tcBorders>
            <w:shd w:val="clear" w:color="auto" w:fill="auto"/>
            <w:noWrap/>
            <w:vAlign w:val="center"/>
          </w:tcPr>
          <w:p>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pPr>
              <w:snapToGrid w:val="0"/>
              <w:jc w:val="righ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2,085.50</w:t>
            </w:r>
          </w:p>
        </w:tc>
        <w:tc>
          <w:tcPr>
            <w:tcW w:w="5811" w:type="dxa"/>
            <w:gridSpan w:val="6"/>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584.77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部门（单位）：石家庄高新技术产业开发区行政审批局（汇总）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部门（单位）：石家庄高新技术产业开发区行政审批局（汇总）</w:t>
            </w:r>
          </w:p>
        </w:tc>
        <w:tc>
          <w:tcPr>
            <w:tcW w:w="1421" w:type="pct"/>
            <w:gridSpan w:val="4"/>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部门（单位）：石家庄高新技术产业开发区行政审批局（汇总）</w:t>
            </w:r>
          </w:p>
        </w:tc>
        <w:tc>
          <w:tcPr>
            <w:tcW w:w="93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本部门2025年度收、支总计（含结转和结余）均为3,133.25万元。与2024年度决算相比，收支各减少128.51万元，下降3.9%，主要原因是。</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本年收入合计3,133.25万元，其中：财政拨款收入3,017.05万元，占96.3%；上级补助收入0.00万元，占0.0%；事业收入0.00万元，占0.0%；经营收入0.00万元，占0.0%；附属单位上缴收入0.00万元，占0.0%；其他收入116.19万元，占3.7%。</w:t>
      </w:r>
    </w:p>
    <w:p>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本部门2025年度本年支出合计3,133.25万元，其中：基本支出2,670.27万元，占85.2%；项目支出462.97万元，占14.8%；经营支出0.00万元，占0.0%；上缴上级支出0.00万元，占0.0%；对附属单位补助支出0.00万元，占0.0%。</w:t>
      </w:r>
    </w:p>
    <w:p>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本部门2025年度财政拨款收、支总计（含结转和结余）均为3,017.05万元。与2024年度相比，财政拨款收支各减少30.67万元，降低1.0%，主要原因是。</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本部门2025年度财政拨款本年收入3,017.05万元,比上年减少30.67万元，降低1.0%，主要原因是；本年支出3,017.05万元，比上年减少30.67万元，降低1.0%，主要原因是。具体情况如下：</w:t>
      </w:r>
    </w:p>
    <w:p>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一般公共预算财政拨款本年收入3,017.05万元,比上年减少30.67万元，降低1.0%，主要原因是；本年支出3,017.05万元，比上年减少30.67万元，降低1.0%，主要原因是。</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政府性基金预算财政拨款本年收入0.00万元，比上年增加0.00万元，增长0.00%，主要原因是；本年支出0.00万元，比上年增加0.00万元，增长0.00%，主要原因是。</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国有资本经营预算财政拨款本年收入0.00万元，比上年增加0.00万元，增长0.00%，主要原因是；本年支出0.00万元，比上年增加0.00万元，增长0.00%，主要原因是。</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本年收入3,017.05万元，完成年初预算的99.5%，比年初预算减少16.52万元，决算数小于预算数主要原因是；本年支出3,017.05万元，完成年初预算的99.5%，比年初预算减少16.52万元，决算数小于预算数主要原因是。具体情况如下：</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一般公共预算财政拨款本年收入完成年初预算的99.5%，比年初预算减少16.52万元，主要原因是；支出完成年初预算的99.5%，比年初预算减少16.52万元，主要原因是。</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政府性基金预算财政拨款本年收入完成年初预算的0.0%，比年初预算增加0.00万元，主要原因是；支出完成年初预算的0.0%，比年初预算增加0.00万元，主要原因是。</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国有资本经营预算财政拨款本年收入完成年初预算的0.0%，比年初预算增加0.00万元，主要原因是；支出完成年初预算的0.0%，比年初预算增加0.00万元，主要原因是。</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2025年度财政拨款支出3,017.05万元，主要用于以下方面：</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2,591.66万元，占85.9%，主要用于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194.75万元，占6.5%，主要用于等支出；卫生健康（类）支出45.80万元，占1.5%，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184.84万元，占6.1%，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2025年度财政拨款基本支出2,670.27万元，其中：</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2,085.50万元，主要包括基本工资、津贴补贴、奖金、伙食补助费、绩效工资、机关事业部门基本养老保险缴费、职业年金缴费、职工基本医疗保险缴费、公务员医疗补助缴费、住房公积金、医疗费、其他社会保障缴费、其他工资福利支出、离休费、 退休费、 抚恤金、生活补助、医疗费补助、奖励金、其他对个人和家庭的补助支出。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584.77万元，主要包括办公费、印刷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本部门2025年度“三公”经费财政拨款支出预算为0.00万元，支出决算为0.00万元，完成预算的0.0%，较预算增加0.00万元，增长0.0%，主要原因是；较2024年度决算增加0.00万元，增长0.00%，主要原因是。</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部门2025年度因公出国（境）费支出预算为0.00万元,支出决算0.00万元。完成预算的0.0%。因公出国（境）费支出较预算增加0.00万元，增长0.0%,主要原因是；较上年增加0.00万元，增长0.00%,主要原因是。因公出国（境）团组0个、共0人、参加其他单位组织的因公出国（境）团组个、共人/无本部门组织的出国（境）团组。</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本部门2025年度公务用车购置及运行维护费预算为0.00万元，支出决算0.00万元，完成预算的0.0%,较预算增加0.00万元，增长0.0%,主要原因是；较上年增加0.00万元，增长0.00%,主要原因是。其中：</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本部门2025年度公务用车购置量0辆，发生“公务用车购置”经费支出0.00万元。公务用车购置费支出较预算增加0.00万元，增长0.0%,主要原因是；较上年增加0.00万元，增长0.00%,主要原因是。</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公务用车运行维护费支出0.00万元：</w:t>
      </w:r>
      <w:r>
        <w:rPr>
          <w:rFonts w:ascii="Times New Roman" w:eastAsia="仿宋_GB2312"/>
          <w:b w:val="0"/>
          <w:sz w:val="32"/>
          <w:szCs w:val="32"/>
        </w:rPr>
        <w:t>本部门2025年度单位公务用车保有量0辆，发生运行维护费支出0.00万元。公车运行维护费支出较预算增加0.00万元，增长0.0%,主要原因是；较上年增加0.00万元，增长0.00%，主要原因是。</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部门2025年度公务接待费支出预算为0.00万元，支出决算0.00万元，完成预算的0.0%。公务接待费支出较预算增加0.00万元，增长0.0%,主要原因是；较上年度增加0.00万元，增长0.00%,主要原因是。本年度共发生公务接待0批次、0人次。</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本部门2025年度机关运行经费支出577.23万元，较2024年度增加493.72万元，增长591.2%。主要原因是。</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政府采购支出总额255.20万元，从采购类型来看，政府采购货物支出4.35万元、政府采购工程支出0.00万元、政府采购服务支出250.85万元。授予中小企业合同金额238.35万元，占政府采购支出总额的93.4%，其中授予小微企业合同金额238.35万元，占政府采购支出总额的93.4%。</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部门共有车辆3辆，比上年增加0辆，主要是。其中，副部（省）级及以上领导用车0辆，主要负责人用车0辆，机要通信用车0辆，应急保障用车1辆，执法执勤用车0辆，特种专业技术用车2辆，离退休干部用车0辆，其他用车0辆，其他用车主要是。单位价值100万元（含）以上设备（不含车辆）0台（套）。</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部门组织对2025年度本级预算项目支出全面开展绩效自评，共涉及资金万元（决算金额）。其中，一般公共预算项目个，涉及资金万元，占一般公共预算项目支出总额的%；政府性基金预算项目个，涉及资金万元，占政府性基金预算项目支出总额的%；国有资本经营预算项目个，涉及资金万元，占国有资本经营预算项目支出总额的%。</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组织对等个项目开展了部门重点评价，涉及一般公共预算支出万元，政府性基金预算支出万元，国有资本经营预算支出万元，从评价情况来看，。</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（二）部门决算中项目绩效自评结果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本部门在今年部门决算公开中反映等个项目绩效自评结果。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项目绩效自评情况：根据年初设定的绩效目标，项目绩效自评得分为分（绩效自评表附后）。全年预算数为万元，执行数为万元，完成预算的%。项目绩效目标完成情况：一是；二是。发现的主要问题及原因是：一是；二是。下一步改进措施：一是；二是。</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（三）部门评价项目绩效评价结果（如有）</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p>
    <w:p>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部门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指事业单位在专业业务活动及其辅助活动之外开展非独立核算经营活动发生的支出。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6B095CD-B033-436B-81E6-2A36AA25F217}"/>
  </w:font>
  <w:font w:name="黑体">
    <w:panose1 w:val="02010609060101010101"/>
    <w:charset w:val="86"/>
    <w:family w:val="auto"/>
    <w:pitch w:val="default"/>
    <w:sig w:usb0="800002BF" w:usb1="38CF7CFA" w:usb2="00000016" w:usb3="00000000" w:csb0="00040001" w:csb1="00000000"/>
    <w:embedRegular r:id="rId2" w:fontKey="{9F1B66A0-76DC-401D-ADB1-89DE7D0EC5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424876FF-F6DE-4731-A995-81F20F2FAB99}"/>
  </w:font>
  <w:font w:name="仿宋">
    <w:panose1 w:val="02010609060101010101"/>
    <w:charset w:val="86"/>
    <w:family w:val="modern"/>
    <w:pitch w:val="default"/>
    <w:sig w:usb0="800002BF" w:usb1="38CF7CFA" w:usb2="00000016" w:usb3="00000000" w:csb0="00040001" w:csb1="00000000"/>
    <w:embedRegular r:id="rId4" w:fontKey="{2FDD9684-63ED-4300-AFD2-ADC6736FC92D}"/>
  </w:font>
  <w:font w:name="Calibri Light">
    <w:panose1 w:val="020F0302020204030204"/>
    <w:charset w:val="00"/>
    <w:family w:val="auto"/>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1968B5E5-50A5-43C3-A063-54B9C18F5318}"/>
  </w:font>
  <w:font w:name="楷体_GB2312">
    <w:panose1 w:val="02010609030101010101"/>
    <w:charset w:val="86"/>
    <w:family w:val="auto"/>
    <w:pitch w:val="default"/>
    <w:sig w:usb0="00000001" w:usb1="080E0000" w:usb2="00000000" w:usb3="00000000" w:csb0="00040000" w:csb1="00000000"/>
    <w:embedRegular r:id="rId6" w:fontKey="{7C7793D8-7959-45C0-A349-F184F1D7D458}"/>
  </w:font>
  <w:font w:name="微软雅黑">
    <w:panose1 w:val="020B0503020204020204"/>
    <w:charset w:val="86"/>
    <w:family w:val="auto"/>
    <w:pitch w:val="default"/>
    <w:sig w:usb0="80000287" w:usb1="280F3C52" w:usb2="00000016" w:usb3="00000000" w:csb0="0004001F" w:csb1="00000000"/>
    <w:embedRegular r:id="rId7" w:fontKey="{CF8D035A-257E-4BEE-8DC5-6DF5B7A85B68}"/>
  </w:font>
  <w:font w:name="方正小标宋_GBK">
    <w:panose1 w:val="02000000000000000000"/>
    <w:charset w:val="86"/>
    <w:family w:val="script"/>
    <w:pitch w:val="default"/>
    <w:sig w:usb0="A00002BF" w:usb1="38CF7CFA" w:usb2="00082016" w:usb3="00000000" w:csb0="00040001" w:csb1="00000000"/>
    <w:embedRegular r:id="rId8" w:fontKey="{8240A6A7-6368-4350-B504-DAE0747A5DF7}"/>
  </w:font>
  <w:font w:name="仿宋_GB2312">
    <w:panose1 w:val="02010609030101010101"/>
    <w:charset w:val="86"/>
    <w:family w:val="auto"/>
    <w:pitch w:val="default"/>
    <w:sig w:usb0="00000001" w:usb1="080E0000" w:usb2="00000000" w:usb3="00000000" w:csb0="00040000" w:csb1="00000000"/>
    <w:embedRegular r:id="rId9" w:fontKey="{A1986333-F627-48A2-B935-1A3C541E5B00}"/>
  </w:font>
  <w:font w:name="ArialUnicodeMS">
    <w:altName w:val="Malgun Gothic"/>
    <w:panose1 w:val="00000000000000000000"/>
    <w:charset w:val="81"/>
    <w:family w:val="auto"/>
    <w:pitch w:val="default"/>
    <w:sig w:usb0="00000000" w:usb1="00000000" w:usb2="00000010" w:usb3="00000000" w:csb0="00080001" w:csb1="00000000"/>
    <w:embedRegular r:id="rId10" w:fontKey="{ADF2C58D-8143-4DF8-9E69-4A11EC643C1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822154"/>
    <w:rsid w:val="00C65689"/>
    <w:rsid w:val="00CC2C8E"/>
    <w:rsid w:val="0179546C"/>
    <w:rsid w:val="01A03C5A"/>
    <w:rsid w:val="01A5267D"/>
    <w:rsid w:val="01AE3368"/>
    <w:rsid w:val="01AF6A8D"/>
    <w:rsid w:val="024808A2"/>
    <w:rsid w:val="025C3821"/>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53AE2"/>
    <w:rsid w:val="0BB67D0A"/>
    <w:rsid w:val="0BC56230"/>
    <w:rsid w:val="0BCF21BD"/>
    <w:rsid w:val="0C481041"/>
    <w:rsid w:val="0C4E53E8"/>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7470AF"/>
    <w:rsid w:val="0F8751F8"/>
    <w:rsid w:val="0F891DB8"/>
    <w:rsid w:val="0F8D3287"/>
    <w:rsid w:val="0FAA3B86"/>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CC19E2"/>
    <w:rsid w:val="15CF053D"/>
    <w:rsid w:val="15E0131A"/>
    <w:rsid w:val="15E11DC0"/>
    <w:rsid w:val="16457D9F"/>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6261C3"/>
    <w:rsid w:val="1B731730"/>
    <w:rsid w:val="1B882BB5"/>
    <w:rsid w:val="1B9B33C7"/>
    <w:rsid w:val="1B9D7FEC"/>
    <w:rsid w:val="1BA55461"/>
    <w:rsid w:val="1BE74496"/>
    <w:rsid w:val="1BFB1448"/>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945583"/>
    <w:rsid w:val="3CBE41D5"/>
    <w:rsid w:val="3D446B0E"/>
    <w:rsid w:val="3D745844"/>
    <w:rsid w:val="3D8626D0"/>
    <w:rsid w:val="3D8C1AA8"/>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F1461D"/>
    <w:rsid w:val="50FE5411"/>
    <w:rsid w:val="510B072E"/>
    <w:rsid w:val="511B0BF4"/>
    <w:rsid w:val="51264306"/>
    <w:rsid w:val="514E62C9"/>
    <w:rsid w:val="516123CE"/>
    <w:rsid w:val="51932FAD"/>
    <w:rsid w:val="51B177A9"/>
    <w:rsid w:val="51E066EB"/>
    <w:rsid w:val="52640E8B"/>
    <w:rsid w:val="5267570A"/>
    <w:rsid w:val="52707792"/>
    <w:rsid w:val="52734B8D"/>
    <w:rsid w:val="528D02F2"/>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5363E67"/>
    <w:rsid w:val="556E6DF7"/>
    <w:rsid w:val="55965CE3"/>
    <w:rsid w:val="559D47CE"/>
    <w:rsid w:val="55BE1959"/>
    <w:rsid w:val="56232437"/>
    <w:rsid w:val="56541A75"/>
    <w:rsid w:val="56755377"/>
    <w:rsid w:val="568832FC"/>
    <w:rsid w:val="568C4181"/>
    <w:rsid w:val="570725A9"/>
    <w:rsid w:val="5714693E"/>
    <w:rsid w:val="571D0C9C"/>
    <w:rsid w:val="573A16CE"/>
    <w:rsid w:val="57482A8C"/>
    <w:rsid w:val="578D049F"/>
    <w:rsid w:val="579C7F80"/>
    <w:rsid w:val="57B30D7C"/>
    <w:rsid w:val="58166B03"/>
    <w:rsid w:val="583E3C94"/>
    <w:rsid w:val="58721734"/>
    <w:rsid w:val="58900246"/>
    <w:rsid w:val="58977358"/>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8C0E37"/>
    <w:rsid w:val="65A11EA3"/>
    <w:rsid w:val="65AC3D66"/>
    <w:rsid w:val="65BB5334"/>
    <w:rsid w:val="663E1DBA"/>
    <w:rsid w:val="665D0213"/>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3177841"/>
    <w:rsid w:val="733774FE"/>
    <w:rsid w:val="735231C7"/>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5E538F2"/>
    <w:rsid w:val="76120141"/>
    <w:rsid w:val="76510960"/>
    <w:rsid w:val="768216BE"/>
    <w:rsid w:val="76C23B43"/>
    <w:rsid w:val="76FD6F97"/>
    <w:rsid w:val="770218E8"/>
    <w:rsid w:val="779469CE"/>
    <w:rsid w:val="77C875A5"/>
    <w:rsid w:val="77D777E8"/>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656A39"/>
    <w:rsid w:val="7CAE7D7C"/>
    <w:rsid w:val="7CB93996"/>
    <w:rsid w:val="7CBE0F99"/>
    <w:rsid w:val="7CDF45C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3133.25</c:v>
                </c:pt>
                <c:pt idx="1">
                  <c:v>3261.76</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30170524.72</c:v>
                </c:pt>
                <c:pt idx="1">
                  <c:v>0</c:v>
                </c:pt>
                <c:pt idx="2">
                  <c:v>0</c:v>
                </c:pt>
                <c:pt idx="3">
                  <c:v>0</c:v>
                </c:pt>
                <c:pt idx="4">
                  <c:v>0</c:v>
                </c:pt>
                <c:pt idx="5">
                  <c:v>1161945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26702722.7</c:v>
                </c:pt>
                <c:pt idx="1">
                  <c:v>4629747.02</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3047.72</c:v>
                </c:pt>
                <c:pt idx="1">
                  <c:v>3047.72</c:v>
                </c:pt>
                <c:pt idx="2">
                  <c:v>3047.72</c:v>
                </c:pt>
                <c:pt idx="3">
                  <c:v>3047.72</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3017.05</c:v>
                </c:pt>
                <c:pt idx="1">
                  <c:v>3017.05</c:v>
                </c:pt>
                <c:pt idx="2">
                  <c:v>3017.05</c:v>
                </c:pt>
                <c:pt idx="3">
                  <c:v>3017.05</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3033.57</c:v>
                </c:pt>
                <c:pt idx="1">
                  <c:v>3033.57</c:v>
                </c:pt>
                <c:pt idx="2">
                  <c:v>3033.57</c:v>
                </c:pt>
                <c:pt idx="3">
                  <c:v>3033.57</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3017.05</c:v>
                </c:pt>
                <c:pt idx="1">
                  <c:v>3017.05</c:v>
                </c:pt>
                <c:pt idx="2">
                  <c:v>3017.05</c:v>
                </c:pt>
                <c:pt idx="3">
                  <c:v>3017.05</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29</Pages>
  <Words>1660</Words>
  <Characters>6225</Characters>
  <Lines>86</Lines>
  <Paragraphs>24</Paragraphs>
  <TotalTime>14</TotalTime>
  <ScaleCrop>false</ScaleCrop>
  <LinksUpToDate>false</LinksUpToDate>
  <CharactersWithSpaces>6550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spj</cp:lastModifiedBy>
  <cp:lastPrinted>2023-08-04T01:00:00Z</cp:lastPrinted>
  <dcterms:modified xsi:type="dcterms:W3CDTF">2026-08-21T07:49:01Z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495A911EBDF14C9298046237F06B522D</vt:lpwstr>
  </property>
  <property fmtid="{D5CDD505-2E9C-101B-9397-08002B2CF9AE}" pid="4" name="KSOTemplateUUID">
    <vt:lpwstr>v1.0_mb_S7ajbG3IpAnL1wSthNCxfw==</vt:lpwstr>
  </property>
  <property fmtid="{D5CDD505-2E9C-101B-9397-08002B2CF9AE}" pid="5" name="KSOTemplateDocerSaveRecord">
    <vt:lpwstr>eyJoZGlkIjoiMGUwMDdiZjE4MTAzNDUzMDk3OTAyNWU5OGVmNGE2MmMiLCJ1c2VySWQiOiIxNTIwMzY1OTkzIn0=</vt:lpwstr>
  </property>
</Properties>
</file>