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media/image6.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r>
        <w:drawing>
          <wp:anchor distT="0" distB="0" distL="114300" distR="114300" simplePos="0" relativeHeight="251665408" behindDoc="0" locked="0" layoutInCell="1" allowOverlap="1">
            <wp:simplePos x="0" y="0"/>
            <wp:positionH relativeFrom="column">
              <wp:posOffset>-406400</wp:posOffset>
            </wp:positionH>
            <wp:positionV relativeFrom="paragraph">
              <wp:posOffset>2153920</wp:posOffset>
            </wp:positionV>
            <wp:extent cx="2159000" cy="1310640"/>
            <wp:effectExtent l="0" t="0" r="12700" b="3810"/>
            <wp:wrapNone/>
            <wp:docPr id="12" name="https://photo-static-api.fotomore.com/creative/vcg/400/new/VCG211393708916.jpg" descr="templates\picture_hover\&amp;pky00203123560_sjzg_VCG211393708916&amp;2&amp;src_toppic_droprecen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ttps://photo-static-api.fotomore.com/creative/vcg/400/new/VCG211393708916.jpg" descr="templates\picture_hover\&amp;pky00203123560_sjzg_VCG211393708916&amp;2&amp;src_toppic_droprecent&amp;"/>
                    <pic:cNvPicPr>
                      <a:picLocks noChangeAspect="1"/>
                    </pic:cNvPicPr>
                  </pic:nvPicPr>
                  <pic:blipFill>
                    <a:blip r:embed="rId13"/>
                    <a:stretch>
                      <a:fillRect/>
                    </a:stretch>
                  </pic:blipFill>
                  <pic:spPr>
                    <a:xfrm>
                      <a:off x="0" y="0"/>
                      <a:ext cx="2159000" cy="1310640"/>
                    </a:xfrm>
                    <a:prstGeom prst="rect">
                      <a:avLst/>
                    </a:prstGeom>
                  </pic:spPr>
                </pic:pic>
              </a:graphicData>
            </a:graphic>
          </wp:anchor>
        </w:drawing>
      </w:r>
      <w:r>
        <w:drawing>
          <wp:anchor distT="0" distB="0" distL="114300" distR="114300" simplePos="0" relativeHeight="251666432" behindDoc="0" locked="0" layoutInCell="1" allowOverlap="1">
            <wp:simplePos x="0" y="0"/>
            <wp:positionH relativeFrom="column">
              <wp:posOffset>1800860</wp:posOffset>
            </wp:positionH>
            <wp:positionV relativeFrom="paragraph">
              <wp:posOffset>2153920</wp:posOffset>
            </wp:positionV>
            <wp:extent cx="2160270" cy="1310640"/>
            <wp:effectExtent l="0" t="0" r="11430" b="3810"/>
            <wp:wrapNone/>
            <wp:docPr id="14" name="https://photo-static-api.fotomore.com/creative/vcg/400/version23/VCG41520173064.jpg" descr="templates\picture_hover\&amp;pky94109459339_sjzg_VCG41520173064&amp;2&amp;src_toppic_droprecent&amp;"/>
            <wp:cNvGraphicFramePr/>
            <a:graphic xmlns:a="http://schemas.openxmlformats.org/drawingml/2006/main">
              <a:graphicData uri="http://schemas.openxmlformats.org/drawingml/2006/picture">
                <pic:pic xmlns:pic="http://schemas.openxmlformats.org/drawingml/2006/picture">
                  <pic:nvPicPr>
                    <pic:cNvPr id="14" name="https://photo-static-api.fotomore.com/creative/vcg/400/version23/VCG41520173064.jpg" descr="templates\picture_hover\&amp;pky94109459339_sjzg_VCG41520173064&amp;2&amp;src_toppic_droprecent&amp;"/>
                    <pic:cNvPicPr/>
                  </pic:nvPicPr>
                  <pic:blipFill>
                    <a:blip r:embed="rId14"/>
                    <a:stretch>
                      <a:fillRect/>
                    </a:stretch>
                  </pic:blipFill>
                  <pic:spPr>
                    <a:xfrm>
                      <a:off x="0" y="0"/>
                      <a:ext cx="2160270" cy="1310640"/>
                    </a:xfrm>
                    <a:prstGeom prst="rect">
                      <a:avLst/>
                    </a:prstGeom>
                  </pic:spPr>
                </pic:pic>
              </a:graphicData>
            </a:graphic>
          </wp:anchor>
        </w:drawing>
      </w:r>
      <w:r>
        <w:drawing>
          <wp:anchor distT="0" distB="0" distL="114300" distR="114300" simplePos="0" relativeHeight="251664384" behindDoc="0" locked="0" layoutInCell="1" allowOverlap="1">
            <wp:simplePos x="0" y="0"/>
            <wp:positionH relativeFrom="column">
              <wp:posOffset>4027805</wp:posOffset>
            </wp:positionH>
            <wp:positionV relativeFrom="paragraph">
              <wp:posOffset>2141220</wp:posOffset>
            </wp:positionV>
            <wp:extent cx="2162810" cy="1310640"/>
            <wp:effectExtent l="0" t="0" r="8890" b="3810"/>
            <wp:wrapNone/>
            <wp:docPr id="8" name="https://photo-static-api.fotomore.com/creative/vcg/400/new/VCG41N1489769134.jpg?uid=386&amp;timestamp=1686554386&amp;sign=5f45ccbb5851510551cea00294a903df" descr="templates\picture_hover\&amp;pky17209834312_sjzg_VCG41N1489769134&amp;2&amp;src_toppic_droprecen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ttps://photo-static-api.fotomore.com/creative/vcg/400/new/VCG41N1489769134.jpg?uid=386&amp;timestamp=1686554386&amp;sign=5f45ccbb5851510551cea00294a903df" descr="templates\picture_hover\&amp;pky17209834312_sjzg_VCG41N1489769134&amp;2&amp;src_toppic_droprecent&amp;"/>
                    <pic:cNvPicPr>
                      <a:picLocks noChangeAspect="1"/>
                    </pic:cNvPicPr>
                  </pic:nvPicPr>
                  <pic:blipFill>
                    <a:blip r:embed="rId15"/>
                    <a:stretch>
                      <a:fillRect/>
                    </a:stretch>
                  </pic:blipFill>
                  <pic:spPr>
                    <a:xfrm>
                      <a:off x="0" y="0"/>
                      <a:ext cx="2162810" cy="1310640"/>
                    </a:xfrm>
                    <a:prstGeom prst="rect">
                      <a:avLst/>
                    </a:prstGeom>
                  </pic:spPr>
                </pic:pic>
              </a:graphicData>
            </a:graphic>
          </wp:anchor>
        </w:drawing>
      </w:r>
      <w:r>
        <mc:AlternateContent>
          <mc:Choice Requires="wpg">
            <w:drawing>
              <wp:anchor distT="0" distB="0" distL="114300" distR="114300" simplePos="0" relativeHeight="251662336" behindDoc="0" locked="0" layoutInCell="1" allowOverlap="1">
                <wp:simplePos x="0" y="0"/>
                <wp:positionH relativeFrom="column">
                  <wp:posOffset>-2783205</wp:posOffset>
                </wp:positionH>
                <wp:positionV relativeFrom="paragraph">
                  <wp:posOffset>2138680</wp:posOffset>
                </wp:positionV>
                <wp:extent cx="9053195" cy="1447165"/>
                <wp:effectExtent l="0" t="0" r="14605" b="635"/>
                <wp:wrapNone/>
                <wp:docPr id="2" name="组合 2"/>
                <wp:cNvGraphicFramePr/>
                <a:graphic xmlns:a="http://schemas.openxmlformats.org/drawingml/2006/main">
                  <a:graphicData uri="http://schemas.microsoft.com/office/word/2010/wordprocessingGroup">
                    <wpg:wgp>
                      <wpg:cNvGrpSpPr/>
                      <wpg:grpSpPr>
                        <a:xfrm>
                          <a:off x="0" y="0"/>
                          <a:ext cx="9053195" cy="1447017"/>
                          <a:chOff x="-3504" y="4387"/>
                          <a:chExt cx="19200" cy="2716"/>
                        </a:xfrm>
                      </wpg:grpSpPr>
                      <wps:wsp>
                        <wps:cNvPr id="3075" name="矩形 19"/>
                        <wps:cNvSpPr/>
                        <wps:spPr>
                          <a:xfrm>
                            <a:off x="-381" y="4387"/>
                            <a:ext cx="1834" cy="2457"/>
                          </a:xfrm>
                          <a:prstGeom prst="rect">
                            <a:avLst/>
                          </a:prstGeom>
                          <a:solidFill>
                            <a:srgbClr val="0176AB"/>
                          </a:solidFill>
                          <a:ln w="9525">
                            <a:noFill/>
                          </a:ln>
                        </wps:spPr>
                        <wps:bodyPr anchor="ctr" anchorCtr="0"/>
                      </wps:wsp>
                      <wps:wsp>
                        <wps:cNvPr id="3079" name="矩形 24"/>
                        <wps:cNvSpPr/>
                        <wps:spPr>
                          <a:xfrm>
                            <a:off x="-3504" y="6953"/>
                            <a:ext cx="11815" cy="150"/>
                          </a:xfrm>
                          <a:custGeom>
                            <a:avLst/>
                            <a:gdLst/>
                            <a:ahLst/>
                            <a:cxnLst>
                              <a:cxn ang="0">
                                <a:pos x="0" y="0"/>
                              </a:cxn>
                              <a:cxn ang="0">
                                <a:pos x="7463453" y="6619"/>
                              </a:cxn>
                              <a:cxn ang="0">
                                <a:pos x="7506490" y="98604"/>
                              </a:cxn>
                              <a:cxn ang="0">
                                <a:pos x="0" y="98604"/>
                              </a:cxn>
                              <a:cxn ang="0">
                                <a:pos x="0" y="0"/>
                              </a:cxn>
                            </a:cxnLst>
                            <a:rect l="0" t="0" r="0" b="0"/>
                            <a:pathLst>
                              <a:path w="7501732" h="94593">
                                <a:moveTo>
                                  <a:pt x="0" y="0"/>
                                </a:moveTo>
                                <a:lnTo>
                                  <a:pt x="7458720" y="6350"/>
                                </a:lnTo>
                                <a:lnTo>
                                  <a:pt x="7501732" y="94593"/>
                                </a:lnTo>
                                <a:lnTo>
                                  <a:pt x="0" y="94593"/>
                                </a:lnTo>
                                <a:lnTo>
                                  <a:pt x="0" y="0"/>
                                </a:lnTo>
                                <a:close/>
                              </a:path>
                            </a:pathLst>
                          </a:custGeom>
                          <a:solidFill>
                            <a:srgbClr val="E5AA57">
                              <a:alpha val="100000"/>
                            </a:srgbClr>
                          </a:solidFill>
                          <a:ln w="9525">
                            <a:noFill/>
                          </a:ln>
                        </wps:spPr>
                        <wps:bodyPr/>
                      </wps:wsp>
                      <wps:wsp>
                        <wps:cNvPr id="3080" name="矩形 25"/>
                        <wps:cNvSpPr/>
                        <wps:spPr>
                          <a:xfrm>
                            <a:off x="8331" y="6953"/>
                            <a:ext cx="7365" cy="150"/>
                          </a:xfrm>
                          <a:custGeom>
                            <a:avLst/>
                            <a:gdLst/>
                            <a:ahLst/>
                            <a:cxnLst>
                              <a:cxn ang="0">
                                <a:pos x="0" y="0"/>
                              </a:cxn>
                              <a:cxn ang="0">
                                <a:pos x="4679715" y="0"/>
                              </a:cxn>
                              <a:cxn ang="0">
                                <a:pos x="4679715" y="98599"/>
                              </a:cxn>
                              <a:cxn ang="0">
                                <a:pos x="57552" y="98599"/>
                              </a:cxn>
                              <a:cxn ang="0">
                                <a:pos x="0" y="0"/>
                              </a:cxn>
                            </a:cxnLst>
                            <a:rect l="0" t="0" r="0" b="0"/>
                            <a:pathLst>
                              <a:path w="4676187" h="94594">
                                <a:moveTo>
                                  <a:pt x="0" y="0"/>
                                </a:moveTo>
                                <a:lnTo>
                                  <a:pt x="4676187" y="0"/>
                                </a:lnTo>
                                <a:lnTo>
                                  <a:pt x="4676187" y="94594"/>
                                </a:lnTo>
                                <a:lnTo>
                                  <a:pt x="57510" y="94594"/>
                                </a:lnTo>
                                <a:lnTo>
                                  <a:pt x="0" y="0"/>
                                </a:lnTo>
                                <a:close/>
                              </a:path>
                            </a:pathLst>
                          </a:custGeom>
                          <a:solidFill>
                            <a:srgbClr val="0176AB">
                              <a:alpha val="100000"/>
                            </a:srgbClr>
                          </a:solidFill>
                          <a:ln w="9525">
                            <a:noFill/>
                          </a:ln>
                        </wps:spPr>
                        <wps:bodyPr/>
                      </wps:wsp>
                    </wpg:wgp>
                  </a:graphicData>
                </a:graphic>
              </wp:anchor>
            </w:drawing>
          </mc:Choice>
          <mc:Fallback>
            <w:pict>
              <v:group id="_x0000_s1026" o:spid="_x0000_s1026" o:spt="203" style="position:absolute;left:0pt;margin-left:-219.15pt;margin-top:168.4pt;height:113.95pt;width:712.85pt;z-index:251662336;mso-width-relative:page;mso-height-relative:page;" coordorigin="-3504,4387" coordsize="19200,2716" o:gfxdata="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">
                <o:lock v:ext="edit" aspectratio="f"/>
                <v:rect id="矩形 19" o:spid="_x0000_s1026" o:spt="1" style="position:absolute;left:-381;top:4387;height:2457;width:1834;v-text-anchor:middle;" fillcolor="#0176AB" filled="t" stroked="f" coordsize="21600,21600" o:gfxdata="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P3v&#10;wAAAAN0AAAAPAAAAAAAAAAEAIAAAACIAAABkcnMvZG93bnJldi54bWxQSwECFAAUAAAACACHTuJA&#10;My8FnjsAAAA5AAAAEAAAAAAAAAABACAAAAAPAQAAZHJzL3NoYXBleG1sLnhtbFBLBQYAAAAABgAG&#10;AFsBAAC5AwAAAAA=&#10;">
                  <v:fill on="t" focussize="0,0"/>
                  <v:stroke on="f"/>
                  <v:imagedata o:title=""/>
                  <o:lock v:ext="edit" aspectratio="f"/>
                </v:rect>
                <v:shape id="矩形 24" o:spid="_x0000_s1026" o:spt="100" style="position:absolute;left:-3504;top:6953;height:150;width:11815;" fillcolor="#E5AA57" filled="t" stroked="f" coordsize="7501732,94593" o:gfxdata="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dX6O&#10;wAAAAN0AAAAPAAAAAAAAAAEAIAAAACIAAABkcnMvZG93bnJldi54bWxQSwECFAAUAAAACACHTuJA&#10;My8FnjsAAAA5AAAAEAAAAAAAAAABACAAAAAPAQAAZHJzL3NoYXBleG1sLnhtbFBLBQYAAAAABgAG&#10;AFsBAAC5AwAAAAA=&#10;" path="m0,0l7458720,6350,7501732,94593,0,94593,0,0xe">
                  <v:path o:connectlocs="0,0;7463453,6619;7506490,98604;0,98604;0,0" o:connectangles="0,0,0,0,0"/>
                  <v:fill on="t" focussize="0,0"/>
                  <v:stroke on="f"/>
                  <v:imagedata o:title=""/>
                  <o:lock v:ext="edit" aspectratio="f"/>
                </v:shape>
                <v:shape id="矩形 25" o:spid="_x0000_s1026" o:spt="100" style="position:absolute;left:8331;top:6953;height:150;width:7365;" fillcolor="#0176AB" filled="t" stroked="f" coordsize="4676187,94594" o:gfxdata="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9GhB25AAAA3QAA&#10;AA8AAAAAAAAAAQAgAAAAIgAAAGRycy9kb3ducmV2LnhtbFBLAQIUABQAAAAIAIdO4kAzLwWeOwAA&#10;ADkAAAAQAAAAAAAAAAEAIAAAAAgBAABkcnMvc2hhcGV4bWwueG1sUEsFBgAAAAAGAAYAWwEAALID&#10;AAAAAA==&#10;" path="m0,0l4676187,0,4676187,94594,57510,94594,0,0xe">
                  <v:path o:connectlocs="0,0;4679715,0;4679715,98599;57552,98599;0,0" o:connectangles="0,0,0,0,0"/>
                  <v:fill on="t" focussize="0,0"/>
                  <v:stroke on="f"/>
                  <v:imagedata o:title=""/>
                  <o:lock v:ext="edit" aspectratio="f"/>
                </v:shape>
              </v:group>
            </w:pict>
          </mc:Fallback>
        </mc:AlternateContent>
      </w:r>
      <w:r>
        <w:drawing>
          <wp:anchor distT="0" distB="0" distL="114300" distR="114300" simplePos="0" relativeHeight="251659264" behindDoc="1" locked="0" layoutInCell="1" allowOverlap="1">
            <wp:simplePos x="0" y="0"/>
            <wp:positionH relativeFrom="margin">
              <wp:posOffset>-2950210</wp:posOffset>
            </wp:positionH>
            <wp:positionV relativeFrom="margin">
              <wp:posOffset>653415</wp:posOffset>
            </wp:positionV>
            <wp:extent cx="11083290" cy="7844790"/>
            <wp:effectExtent l="0" t="0" r="3810" b="3810"/>
            <wp:wrapNone/>
            <wp:docPr id="73" name="背景 耗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背景 耗崽"/>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rot="16200000">
                      <a:off x="0" y="0"/>
                      <a:ext cx="11083290" cy="7844790"/>
                    </a:xfrm>
                    <a:prstGeom prst="rect">
                      <a:avLst/>
                    </a:prstGeom>
                  </pic:spPr>
                </pic:pic>
              </a:graphicData>
            </a:graphic>
          </wp:anchor>
        </w:drawing>
      </w:r>
      <w:r>
        <mc:AlternateContent>
          <mc:Choice Requires="wpg">
            <w:drawing>
              <wp:anchor distT="0" distB="0" distL="114300" distR="114300" simplePos="0" relativeHeight="251661312" behindDoc="0" locked="0" layoutInCell="1" allowOverlap="1">
                <wp:simplePos x="0" y="0"/>
                <wp:positionH relativeFrom="column">
                  <wp:posOffset>-280670</wp:posOffset>
                </wp:positionH>
                <wp:positionV relativeFrom="paragraph">
                  <wp:posOffset>-313055</wp:posOffset>
                </wp:positionV>
                <wp:extent cx="5954395" cy="1885315"/>
                <wp:effectExtent l="0" t="0" r="0" b="14605"/>
                <wp:wrapNone/>
                <wp:docPr id="1" name="组合 1"/>
                <wp:cNvGraphicFramePr/>
                <a:graphic xmlns:a="http://schemas.openxmlformats.org/drawingml/2006/main">
                  <a:graphicData uri="http://schemas.microsoft.com/office/word/2010/wordprocessingGroup">
                    <wpg:wgp>
                      <wpg:cNvGrpSpPr/>
                      <wpg:grpSpPr>
                        <a:xfrm>
                          <a:off x="0" y="0"/>
                          <a:ext cx="5954395" cy="1885315"/>
                          <a:chOff x="12098" y="1831"/>
                          <a:chExt cx="9377" cy="2969"/>
                        </a:xfrm>
                      </wpg:grpSpPr>
                      <wps:wsp>
                        <wps:cNvPr id="89" name="文本框 32"/>
                        <wps:cNvSpPr txBox="1"/>
                        <wps:spPr>
                          <a:xfrm>
                            <a:off x="13325" y="1831"/>
                            <a:ext cx="4462" cy="1348"/>
                          </a:xfrm>
                          <a:prstGeom prst="rect">
                            <a:avLst/>
                          </a:prstGeom>
                          <a:noFill/>
                        </wps:spPr>
                        <wps:txbx>
                          <w:txbxContent>
                            <w:p>
                              <w:pPr>
                                <w:jc w:val="distribute"/>
                                <w:rPr>
                                  <w:rFonts w:ascii="方正魏碑简体" w:hAnsi="Arial" w:eastAsia="方正魏碑简体" w:cs="Arial"/>
                                  <w:color w:val="000000" w:themeColor="text1"/>
                                  <w:kern w:val="0"/>
                                  <w:sz w:val="2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方正魏碑简体" w:hAnsi="Arial" w:eastAsia="方正魏碑简体" w:cs="Arial"/>
                                  <w:color w:val="000000" w:themeColor="text1"/>
                                  <w:spacing w:val="60"/>
                                  <w:kern w:val="24"/>
                                  <w:sz w:val="72"/>
                                  <w:szCs w:val="7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2023年度</w:t>
                              </w:r>
                            </w:p>
                          </w:txbxContent>
                        </wps:txbx>
                        <wps:bodyPr wrap="square" rtlCol="0">
                          <a:noAutofit/>
                        </wps:bodyPr>
                      </wps:wsp>
                      <wpg:grpSp>
                        <wpg:cNvPr id="6" name="组合 6"/>
                        <wpg:cNvGrpSpPr/>
                        <wpg:grpSpPr>
                          <a:xfrm>
                            <a:off x="12098" y="3193"/>
                            <a:ext cx="9377" cy="1607"/>
                            <a:chOff x="6119" y="2843"/>
                            <a:chExt cx="9377" cy="1607"/>
                          </a:xfrm>
                        </wpg:grpSpPr>
                        <wps:wsp>
                          <wps:cNvPr id="91" name="文本框 32"/>
                          <wps:cNvSpPr txBox="1"/>
                          <wps:spPr>
                            <a:xfrm>
                              <a:off x="6119" y="2843"/>
                              <a:ext cx="9377" cy="1421"/>
                            </a:xfrm>
                            <a:prstGeom prst="rect">
                              <a:avLst/>
                            </a:prstGeom>
                            <a:noFill/>
                          </wps:spPr>
                          <wps:txbx>
                            <w:txbxContent>
                              <w:p>
                                <w:pPr>
                                  <w:jc w:val="left"/>
                                  <w:rPr>
                                    <w:rFonts w:ascii="黑体" w:hAnsi="黑体" w:eastAsia="黑体" w:cs="黑体"/>
                                    <w:color w:val="000000" w:themeColor="text1"/>
                                    <w:kern w:val="0"/>
                                    <w:sz w:val="24"/>
                                    <w:szCs w:val="2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黑体" w:hAnsi="黑体" w:eastAsia="黑体" w:cs="黑体"/>
                                    <w:color w:val="000000" w:themeColor="text1"/>
                                    <w:spacing w:val="60"/>
                                    <w:kern w:val="24"/>
                                    <w:sz w:val="96"/>
                                    <w:szCs w:val="96"/>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部门决算公开文本</w:t>
                                </w:r>
                              </w:p>
                            </w:txbxContent>
                          </wps:txbx>
                          <wps:bodyPr wrap="square" rtlCol="0">
                            <a:noAutofit/>
                          </wps:bodyPr>
                        </wps:wsp>
                        <wps:wsp>
                          <wps:cNvPr id="4" name="直接连接符 4"/>
                          <wps:cNvCnPr/>
                          <wps:spPr>
                            <a:xfrm>
                              <a:off x="6226" y="4450"/>
                              <a:ext cx="8700" cy="0"/>
                            </a:xfrm>
                            <a:prstGeom prst="line">
                              <a:avLst/>
                            </a:prstGeom>
                            <a:ln w="28575" cmpd="sng">
                              <a:solidFill>
                                <a:schemeClr val="accent1">
                                  <a:shade val="50000"/>
                                </a:schemeClr>
                              </a:solidFill>
                              <a:prstDash val="sysDot"/>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_x0000_s1026" o:spid="_x0000_s1026" o:spt="203" style="position:absolute;left:0pt;margin-left:-22.1pt;margin-top:-24.65pt;height:148.45pt;width:468.85pt;z-index:251661312;mso-width-relative:page;mso-height-relative:page;" coordorigin="12098,1831" coordsize="9377,2969" o:gfxdata="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JUHC8XbAAAACwEAAA8AAAAAAAAAAQAgAAAAIgAAAGRycy9kb3ducmV2LnhtbFBLAQIUABQAAAAI&#10;AIdO4kDzQCTKQAMAAEQJAAAOAAAAAAAAAAEAIAAAACoBAABkcnMvZTJvRG9jLnhtbFBLBQYAAAAA&#10;BgAGAFkBAADcBgAAAAA=&#10;">
                <o:lock v:ext="edit" aspectratio="f"/>
                <v:shape id="文本框 32" o:spid="_x0000_s1026" o:spt="202" type="#_x0000_t202" style="position:absolute;left:13325;top:1831;height:1348;width:4462;" filled="f" stroked="f" coordsize="21600,21600" o:gfxdata="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O67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jc w:val="distribute"/>
                          <w:rPr>
                            <w:rFonts w:ascii="方正魏碑简体" w:hAnsi="Arial" w:eastAsia="方正魏碑简体" w:cs="Arial"/>
                            <w:color w:val="000000" w:themeColor="text1"/>
                            <w:kern w:val="0"/>
                            <w:sz w:val="2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方正魏碑简体" w:hAnsi="Arial" w:eastAsia="方正魏碑简体" w:cs="Arial"/>
                            <w:color w:val="000000" w:themeColor="text1"/>
                            <w:spacing w:val="60"/>
                            <w:kern w:val="24"/>
                            <w:sz w:val="72"/>
                            <w:szCs w:val="7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2023年度</w:t>
                        </w:r>
                      </w:p>
                    </w:txbxContent>
                  </v:textbox>
                </v:shape>
                <v:group id="_x0000_s1026" o:spid="_x0000_s1026" o:spt="203" style="position:absolute;left:12098;top:3193;height:1607;width:9377;" coordorigin="6119,2843" coordsize="9377,1607"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文本框 32" o:spid="_x0000_s1026" o:spt="202" type="#_x0000_t202" style="position:absolute;left:6119;top:2843;height:1421;width:9377;" filled="f" stroked="f" coordsize="21600,21600"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jc w:val="left"/>
                            <w:rPr>
                              <w:rFonts w:ascii="黑体" w:hAnsi="黑体" w:eastAsia="黑体" w:cs="黑体"/>
                              <w:color w:val="000000" w:themeColor="text1"/>
                              <w:kern w:val="0"/>
                              <w:sz w:val="24"/>
                              <w:szCs w:val="2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黑体" w:hAnsi="黑体" w:eastAsia="黑体" w:cs="黑体"/>
                              <w:color w:val="000000" w:themeColor="text1"/>
                              <w:spacing w:val="60"/>
                              <w:kern w:val="24"/>
                              <w:sz w:val="96"/>
                              <w:szCs w:val="96"/>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部门决算公开文本</w:t>
                          </w:r>
                        </w:p>
                      </w:txbxContent>
                    </v:textbox>
                  </v:shape>
                  <v:line id="_x0000_s1026" o:spid="_x0000_s1026" o:spt="20" style="position:absolute;left:6226;top:4450;height:0;width:8700;" filled="f" stroked="t" coordsize="21600,21600" o:gfxdata="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M574A&#10;AADaAAAADwAAAAAAAAABACAAAAAiAAAAZHJzL2Rvd25yZXYueG1sUEsBAhQAFAAAAAgAh07iQDMv&#10;BZ47AAAAOQAAABAAAAAAAAAAAQAgAAAADQEAAGRycy9zaGFwZXhtbC54bWxQSwUGAAAAAAYABgBb&#10;AQAAtwMAAAAA&#10;">
                    <v:fill on="f" focussize="0,0"/>
                    <v:stroke weight="2.25pt" color="#325395 [3204]" miterlimit="8" joinstyle="miter" dashstyle="1 1"/>
                    <v:imagedata o:title=""/>
                    <o:lock v:ext="edit" aspectratio="f"/>
                  </v:line>
                </v:group>
              </v:group>
            </w:pict>
          </mc:Fallback>
        </mc:AlternateContent>
      </w:r>
      <w:r>
        <w:drawing>
          <wp:anchor distT="0" distB="0" distL="114300" distR="114300" simplePos="0" relativeHeight="251663360" behindDoc="0" locked="0" layoutInCell="1" allowOverlap="1">
            <wp:simplePos x="0" y="0"/>
            <wp:positionH relativeFrom="column">
              <wp:posOffset>-95250</wp:posOffset>
            </wp:positionH>
            <wp:positionV relativeFrom="margin">
              <wp:posOffset>-27305</wp:posOffset>
            </wp:positionV>
            <wp:extent cx="506095" cy="506095"/>
            <wp:effectExtent l="0" t="0" r="8255" b="8255"/>
            <wp:wrapNone/>
            <wp:docPr id="3" name="图片 3" descr="32313539313538323b32313539313537353bb5e7c4d4b0ecb9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2313539313538323b32313539313537353bb5e7c4d4b0ecb9ab"/>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506095" cy="506095"/>
                    </a:xfrm>
                    <a:prstGeom prst="rect">
                      <a:avLst/>
                    </a:prstGeom>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-253365</wp:posOffset>
                </wp:positionH>
                <wp:positionV relativeFrom="paragraph">
                  <wp:posOffset>1611630</wp:posOffset>
                </wp:positionV>
                <wp:extent cx="5494020" cy="570230"/>
                <wp:effectExtent l="0" t="0" r="0" b="0"/>
                <wp:wrapNone/>
                <wp:docPr id="98" name="文本框 33"/>
                <wp:cNvGraphicFramePr/>
                <a:graphic xmlns:a="http://schemas.openxmlformats.org/drawingml/2006/main">
                  <a:graphicData uri="http://schemas.microsoft.com/office/word/2010/wordprocessingShape">
                    <wps:wsp>
                      <wps:cNvSpPr txBox="1"/>
                      <wps:spPr>
                        <a:xfrm>
                          <a:off x="0" y="0"/>
                          <a:ext cx="5494020" cy="570230"/>
                        </a:xfrm>
                        <a:prstGeom prst="rect">
                          <a:avLst/>
                        </a:prstGeom>
                        <a:noFill/>
                      </wps:spPr>
                      <wps:txbx>
                        <w:txbxContent>
                          <w:p>
                            <w:pPr>
                              <w:jc w:val="distribute"/>
                              <w:rPr>
                                <w:rFonts w:ascii="思源黑体 CN Heavy" w:hAnsi="思源黑体 CN Heavy" w:eastAsia="思源黑体 CN Heavy"/>
                                <w:color w:val="A6A6A6" w:themeColor="background1" w:themeShade="A6"/>
                                <w:kern w:val="0"/>
                                <w:sz w:val="40"/>
                                <w:szCs w:val="40"/>
                              </w:rPr>
                            </w:pPr>
                          </w:p>
                        </w:txbxContent>
                      </wps:txbx>
                      <wps:bodyPr wrap="square" rtlCol="0">
                        <a:noAutofit/>
                      </wps:bodyPr>
                    </wps:wsp>
                  </a:graphicData>
                </a:graphic>
              </wp:anchor>
            </w:drawing>
          </mc:Choice>
          <mc:Fallback>
            <w:pict>
              <v:shape id="文本框 33" o:spid="_x0000_s1026" o:spt="202" type="#_x0000_t202" style="position:absolute;left:0pt;margin-left:-19.95pt;margin-top:126.9pt;height:44.9pt;width:432.6pt;z-index:251660288;mso-width-relative:page;mso-height-relative:page;" filled="f" stroked="f" coordsize="21600,21600" o:gfxdata="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allr9gAAAALAQAADwAAAAAAAAABACAAAAAiAAAAZHJzL2Rvd25yZXYueG1sUEsB&#10;AhQAFAAAAAgAh07iQFu9ble8AQAAXwMAAA4AAAAAAAAAAQAgAAAAJwEAAGRycy9lMm9Eb2MueG1s&#10;UEsFBgAAAAAGAAYAWQEAAFUFAAAAAA==&#10;">
                <v:fill on="f" focussize="0,0"/>
                <v:stroke on="f"/>
                <v:imagedata o:title=""/>
                <o:lock v:ext="edit" aspectratio="f"/>
                <v:textbox>
                  <w:txbxContent>
                    <w:p>
                      <w:pPr>
                        <w:jc w:val="distribute"/>
                        <w:rPr>
                          <w:rFonts w:ascii="思源黑体 CN Heavy" w:hAnsi="思源黑体 CN Heavy" w:eastAsia="思源黑体 CN Heavy"/>
                          <w:color w:val="A6A6A6" w:themeColor="background1" w:themeShade="A6"/>
                          <w:kern w:val="0"/>
                          <w:sz w:val="40"/>
                          <w:szCs w:val="40"/>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rPr>
          <w:rFonts w:hint="eastAsia"/>
        </w:rPr>
      </w:pPr>
    </w:p>
    <w:p>
      <w:pPr>
        <w:spacing w:line="600" w:lineRule="auto"/>
        <w:jc w:val="left"/>
        <w:rPr>
          <w:rFonts w:hint="eastAsia" w:ascii="楷体_GB2312" w:hAnsi="楷体_GB2312" w:eastAsia="楷体_GB2312" w:cs="楷体_GB2312"/>
          <w:color w:val="000000"/>
          <w:sz w:val="40"/>
          <w:szCs w:val="40"/>
          <w:lang w:val="en-US" w:eastAsia="zh-CN"/>
        </w:rPr>
      </w:pPr>
      <w:r>
        <w:rPr>
          <w:rFonts w:hint="eastAsia" w:ascii="黑体" w:hAnsi="黑体" w:eastAsia="黑体" w:cs="黑体"/>
          <w:color w:val="000000"/>
          <w:sz w:val="40"/>
          <w:szCs w:val="40"/>
        </w:rPr>
        <w:t>预算代码</w:t>
      </w:r>
      <w:r>
        <w:rPr>
          <w:rFonts w:hint="eastAsia" w:ascii="楷体_GB2312" w:hAnsi="楷体_GB2312" w:eastAsia="楷体_GB2312" w:cs="楷体_GB2312"/>
          <w:color w:val="000000"/>
          <w:sz w:val="40"/>
          <w:szCs w:val="40"/>
        </w:rPr>
        <w:t>：</w:t>
      </w:r>
      <w:r>
        <w:rPr>
          <w:rFonts w:hint="eastAsia" w:ascii="楷体_GB2312" w:hAnsi="楷体_GB2312" w:eastAsia="楷体_GB2312" w:cs="楷体_GB2312"/>
          <w:color w:val="000000"/>
          <w:sz w:val="40"/>
          <w:szCs w:val="40"/>
          <w:lang w:val="en-US" w:eastAsia="zh-CN"/>
        </w:rPr>
        <w:t>306001</w:t>
      </w:r>
    </w:p>
    <w:p>
      <w:pPr>
        <w:spacing w:line="600" w:lineRule="auto"/>
        <w:jc w:val="left"/>
        <w:rPr>
          <w:rFonts w:ascii="楷体_GB2312" w:hAnsi="楷体_GB2312" w:eastAsia="楷体_GB2312" w:cs="楷体_GB2312"/>
          <w:color w:val="000000"/>
          <w:sz w:val="40"/>
          <w:szCs w:val="40"/>
        </w:rPr>
      </w:pPr>
      <w:r>
        <w:rPr>
          <w:rFonts w:hint="eastAsia" w:ascii="黑体" w:hAnsi="黑体" w:eastAsia="黑体" w:cs="黑体"/>
          <w:color w:val="000000"/>
          <w:sz w:val="40"/>
          <w:szCs w:val="40"/>
        </w:rPr>
        <w:t>单位名称</w:t>
      </w:r>
      <w:r>
        <w:rPr>
          <w:rFonts w:hint="eastAsia" w:ascii="楷体_GB2312" w:hAnsi="楷体_GB2312" w:eastAsia="楷体_GB2312" w:cs="楷体_GB2312"/>
          <w:color w:val="000000"/>
          <w:sz w:val="40"/>
          <w:szCs w:val="40"/>
        </w:rPr>
        <w:t>：石家庄高新技术产业开发区科学技术局(本级)</w:t>
      </w:r>
    </w:p>
    <w:p>
      <w:pPr>
        <w:spacing w:line="600" w:lineRule="auto"/>
        <w:jc w:val="left"/>
        <w:rPr>
          <w:rFonts w:hint="default" w:ascii="楷体_GB2312" w:hAnsi="楷体_GB2312" w:eastAsia="楷体_GB2312" w:cs="楷体_GB2312"/>
          <w:color w:val="000000"/>
          <w:sz w:val="40"/>
          <w:szCs w:val="40"/>
          <w:lang w:val="en-US" w:eastAsia="zh-CN"/>
        </w:rPr>
      </w:pPr>
    </w:p>
    <w:p>
      <w:pPr>
        <w:spacing w:line="600" w:lineRule="auto"/>
        <w:jc w:val="center"/>
        <w:rPr>
          <w:rFonts w:hint="eastAsia" w:ascii="楷体_GB2312" w:hAnsi="楷体_GB2312" w:eastAsia="楷体_GB2312" w:cs="楷体_GB2312"/>
          <w:color w:val="000000"/>
          <w:sz w:val="40"/>
          <w:szCs w:val="40"/>
        </w:rPr>
      </w:pPr>
    </w:p>
    <w:p>
      <w:pPr>
        <w:spacing w:line="600" w:lineRule="auto"/>
        <w:jc w:val="center"/>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center"/>
        <w:rPr>
          <w:rFonts w:hint="eastAsia" w:ascii="楷体_GB2312" w:hAnsi="楷体_GB2312" w:eastAsia="楷体_GB2312" w:cs="楷体_GB2312"/>
          <w:color w:val="000000"/>
          <w:sz w:val="40"/>
          <w:szCs w:val="40"/>
        </w:rPr>
      </w:pPr>
      <w:r>
        <w:rPr>
          <w:rFonts w:hint="eastAsia" w:ascii="楷体_GB2312" w:hAnsi="楷体_GB2312" w:eastAsia="楷体_GB2312" w:cs="楷体_GB2312"/>
          <w:color w:val="000000"/>
          <w:sz w:val="40"/>
          <w:szCs w:val="40"/>
        </w:rPr>
        <w:t>二〇二四年</w:t>
      </w:r>
      <w:r>
        <w:rPr>
          <w:rFonts w:hint="eastAsia" w:ascii="楷体_GB2312" w:hAnsi="楷体_GB2312" w:eastAsia="楷体_GB2312" w:cs="楷体_GB2312"/>
          <w:color w:val="000000"/>
          <w:sz w:val="40"/>
          <w:szCs w:val="40"/>
          <w:lang w:val="en-US" w:eastAsia="zh-CN"/>
        </w:rPr>
        <w:t>九</w:t>
      </w:r>
      <w:r>
        <w:rPr>
          <w:rFonts w:hint="eastAsia" w:ascii="楷体_GB2312" w:hAnsi="楷体_GB2312" w:eastAsia="楷体_GB2312" w:cs="楷体_GB2312"/>
          <w:color w:val="000000"/>
          <w:sz w:val="40"/>
          <w:szCs w:val="40"/>
        </w:rPr>
        <w:t>月</w:t>
      </w:r>
    </w:p>
    <w:p>
      <w:pPr>
        <w:jc w:val="both"/>
        <w:rPr>
          <w:rFonts w:ascii="黑体" w:hAnsi="黑体" w:eastAsia="黑体" w:cs="黑体"/>
          <w:sz w:val="56"/>
          <w:szCs w:val="72"/>
        </w:rPr>
        <w:sectPr>
          <w:headerReference r:id="rId4" w:type="first"/>
          <w:footerReference r:id="rId6" w:type="first"/>
          <w:headerReference r:id="rId3" w:type="default"/>
          <w:footerReference r:id="rId5" w:type="default"/>
          <w:pgSz w:w="11906" w:h="16838"/>
          <w:pgMar w:top="2041" w:right="1531" w:bottom="2041" w:left="1531" w:header="851" w:footer="992" w:gutter="0"/>
          <w:pgBorders>
            <w:top w:val="none" w:sz="0" w:space="0"/>
            <w:left w:val="none" w:sz="0" w:space="0"/>
            <w:bottom w:val="none" w:sz="0" w:space="0"/>
            <w:right w:val="none" w:sz="0" w:space="0"/>
          </w:pgBorders>
          <w:cols w:space="0" w:num="1"/>
          <w:titlePg/>
          <w:docGrid w:type="lines" w:linePitch="312" w:charSpace="0"/>
        </w:sectPr>
      </w:pPr>
    </w:p>
    <w:p>
      <w:pPr>
        <w:tabs>
          <w:tab w:val="left" w:pos="2728"/>
        </w:tabs>
        <w:jc w:val="center"/>
        <w:rPr>
          <w:rFonts w:ascii="黑体" w:hAnsi="Times New Roman" w:eastAsia="黑体" w:cs="Times New Roman"/>
          <w:sz w:val="48"/>
          <w:szCs w:val="48"/>
        </w:rPr>
      </w:pPr>
    </w:p>
    <w:p>
      <w:pPr>
        <w:tabs>
          <w:tab w:val="left" w:pos="2728"/>
        </w:tabs>
        <w:jc w:val="center"/>
        <w:rPr>
          <w:rFonts w:ascii="黑体" w:hAnsi="Times New Roman" w:eastAsia="黑体" w:cs="Times New Roman"/>
          <w:sz w:val="44"/>
          <w:szCs w:val="44"/>
        </w:rPr>
      </w:pPr>
      <w:r>
        <w:rPr>
          <w:rFonts w:hint="eastAsia" w:ascii="黑体" w:hAnsi="Times New Roman" w:eastAsia="黑体" w:cs="Times New Roman"/>
          <w:sz w:val="44"/>
          <w:szCs w:val="44"/>
        </w:rPr>
        <w:t>目    录</w:t>
      </w:r>
    </w:p>
    <w:p>
      <w:pPr>
        <w:widowControl/>
        <w:spacing w:after="160" w:line="580" w:lineRule="exact"/>
        <w:ind w:firstLine="640" w:firstLineChars="200"/>
        <w:rPr>
          <w:rFonts w:ascii="Times New Roman" w:hAnsi="Times New Roman" w:eastAsia="黑体" w:cs="Times New Roman"/>
          <w:sz w:val="32"/>
          <w:szCs w:val="32"/>
        </w:rPr>
      </w:pPr>
    </w:p>
    <w:p>
      <w:pPr>
        <w:widowControl/>
        <w:spacing w:after="160" w:line="580" w:lineRule="exact"/>
        <w:ind w:firstLine="640" w:firstLineChars="200"/>
        <w:rPr>
          <w:rFonts w:hint="eastAsia" w:ascii="Times New Roman" w:hAnsi="Times New Roman" w:eastAsia="仿宋_GB2312" w:cs="Times New Roman"/>
          <w:sz w:val="32"/>
          <w:szCs w:val="32"/>
        </w:rPr>
      </w:pPr>
      <w:r>
        <w:rPr>
          <w:rFonts w:ascii="Times New Roman" w:hAnsi="Times New Roman" w:eastAsia="黑体" w:cs="Times New Roman"/>
          <w:sz w:val="32"/>
          <w:szCs w:val="32"/>
        </w:rPr>
        <w:t xml:space="preserve">第一部分   </w:t>
      </w:r>
      <w:r>
        <w:rPr>
          <w:rFonts w:hint="eastAsia" w:ascii="黑体" w:hAnsi="黑体" w:eastAsia="黑体" w:cs="黑体"/>
          <w:sz w:val="32"/>
          <w:szCs w:val="32"/>
          <w:lang w:eastAsia="zh-CN"/>
        </w:rPr>
        <w:t>单位</w:t>
      </w:r>
      <w:r>
        <w:rPr>
          <w:rFonts w:hint="eastAsia" w:ascii="黑体" w:hAnsi="黑体" w:eastAsia="黑体" w:cs="黑体"/>
          <w:sz w:val="32"/>
          <w:szCs w:val="32"/>
        </w:rPr>
        <w:t>概况</w:t>
      </w:r>
    </w:p>
    <w:p>
      <w:pPr>
        <w:widowControl/>
        <w:spacing w:after="160" w:line="580" w:lineRule="exact"/>
        <w:ind w:firstLine="1273" w:firstLineChars="398"/>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单位</w:t>
      </w:r>
      <w:r>
        <w:rPr>
          <w:rFonts w:hint="eastAsia" w:ascii="仿宋" w:hAnsi="仿宋" w:eastAsia="仿宋" w:cs="仿宋"/>
          <w:sz w:val="32"/>
          <w:szCs w:val="32"/>
        </w:rPr>
        <w:t>职责</w:t>
      </w:r>
    </w:p>
    <w:p>
      <w:pPr>
        <w:widowControl/>
        <w:spacing w:after="160" w:line="580" w:lineRule="exact"/>
        <w:ind w:firstLine="1273" w:firstLineChars="398"/>
        <w:rPr>
          <w:rFonts w:hint="eastAsia" w:ascii="仿宋" w:hAnsi="仿宋" w:eastAsia="仿宋" w:cs="仿宋"/>
          <w:sz w:val="32"/>
          <w:szCs w:val="32"/>
        </w:rPr>
      </w:pPr>
      <w:r>
        <w:rPr>
          <w:rFonts w:hint="eastAsia" w:ascii="仿宋" w:hAnsi="仿宋" w:eastAsia="仿宋" w:cs="仿宋"/>
          <w:sz w:val="32"/>
          <w:szCs w:val="32"/>
        </w:rPr>
        <w:t>二、机构设置</w:t>
      </w:r>
    </w:p>
    <w:p>
      <w:pPr>
        <w:widowControl/>
        <w:spacing w:after="160"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第二部分   2023年度</w:t>
      </w:r>
      <w:r>
        <w:rPr>
          <w:rFonts w:hint="eastAsia" w:ascii="黑体" w:hAnsi="黑体" w:eastAsia="黑体" w:cs="黑体"/>
          <w:sz w:val="32"/>
          <w:szCs w:val="32"/>
          <w:lang w:val="en-US" w:eastAsia="zh-CN"/>
        </w:rPr>
        <w:t>单位</w:t>
      </w:r>
      <w:r>
        <w:rPr>
          <w:rFonts w:hint="eastAsia" w:ascii="黑体" w:hAnsi="黑体" w:eastAsia="黑体" w:cs="黑体"/>
          <w:sz w:val="32"/>
          <w:szCs w:val="32"/>
        </w:rPr>
        <w:t>决算报表</w:t>
      </w:r>
    </w:p>
    <w:p>
      <w:pPr>
        <w:widowControl/>
        <w:spacing w:after="160" w:line="580" w:lineRule="exact"/>
        <w:ind w:firstLine="1280" w:firstLineChars="400"/>
        <w:rPr>
          <w:rFonts w:hint="eastAsia" w:ascii="仿宋" w:hAnsi="仿宋" w:eastAsia="仿宋" w:cs="仿宋"/>
          <w:sz w:val="32"/>
          <w:szCs w:val="32"/>
        </w:rPr>
      </w:pPr>
      <w:r>
        <w:rPr>
          <w:rFonts w:hint="eastAsia" w:ascii="仿宋" w:hAnsi="仿宋" w:eastAsia="仿宋" w:cs="仿宋"/>
          <w:sz w:val="32"/>
          <w:szCs w:val="32"/>
        </w:rPr>
        <w:t>一、收入支出决算总表</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二、收入决算表</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三、支出决算表</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六、一般公共预算财政拨款基本支出决算明细表</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七、政府性基金预算财政拨款收入支出决算表</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八、国有资本经营预算财政拨款支出决算表</w:t>
      </w:r>
    </w:p>
    <w:p>
      <w:pPr>
        <w:widowControl/>
        <w:spacing w:after="160" w:line="580" w:lineRule="exact"/>
        <w:ind w:left="640" w:firstLine="640" w:firstLineChars="200"/>
        <w:rPr>
          <w:rFonts w:hint="eastAsia" w:ascii="仿宋" w:hAnsi="仿宋" w:eastAsia="仿宋" w:cs="仿宋"/>
          <w:sz w:val="20"/>
          <w:szCs w:val="32"/>
        </w:rPr>
      </w:pPr>
      <w:r>
        <w:rPr>
          <w:rFonts w:hint="eastAsia" w:ascii="仿宋" w:hAnsi="仿宋" w:eastAsia="仿宋" w:cs="仿宋"/>
          <w:sz w:val="32"/>
          <w:szCs w:val="32"/>
        </w:rPr>
        <w:t>九、财政拨款“三公”经费支出决算表</w:t>
      </w:r>
    </w:p>
    <w:p>
      <w:pPr>
        <w:widowControl/>
        <w:spacing w:after="160"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第三部分   2023年度</w:t>
      </w:r>
      <w:r>
        <w:rPr>
          <w:rFonts w:hint="eastAsia" w:ascii="黑体" w:hAnsi="黑体" w:eastAsia="黑体" w:cs="黑体"/>
          <w:sz w:val="32"/>
          <w:szCs w:val="32"/>
          <w:lang w:val="en-US" w:eastAsia="zh-CN"/>
        </w:rPr>
        <w:t>单位</w:t>
      </w:r>
      <w:r>
        <w:rPr>
          <w:rFonts w:hint="eastAsia" w:ascii="黑体" w:hAnsi="黑体" w:eastAsia="黑体" w:cs="黑体"/>
          <w:sz w:val="32"/>
          <w:szCs w:val="32"/>
        </w:rPr>
        <w:t>决算情况说明</w:t>
      </w:r>
    </w:p>
    <w:p>
      <w:pPr>
        <w:widowControl/>
        <w:spacing w:after="160" w:line="580" w:lineRule="exact"/>
        <w:ind w:firstLine="1280" w:firstLineChars="400"/>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二、收入决算情况说明</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三、支出决算情况说明</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四、财政拨款收入支出决算总体情况说明</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五、财政拨款“三公” 经费支出决算情况说明</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六、机关运行经费支出说明</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七、政府采购支出说明</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八、国有资产占用情况说明</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九、预算绩效情况说明</w:t>
      </w:r>
    </w:p>
    <w:p>
      <w:pPr>
        <w:widowControl/>
        <w:spacing w:after="160" w:line="580" w:lineRule="exact"/>
        <w:ind w:left="640" w:firstLine="640" w:firstLineChars="200"/>
        <w:rPr>
          <w:rFonts w:hint="eastAsia" w:ascii="仿宋" w:hAnsi="仿宋" w:eastAsia="仿宋" w:cs="仿宋"/>
          <w:sz w:val="32"/>
          <w:szCs w:val="32"/>
        </w:rPr>
      </w:pPr>
      <w:r>
        <w:rPr>
          <w:rFonts w:hint="eastAsia" w:ascii="仿宋" w:hAnsi="仿宋" w:eastAsia="仿宋" w:cs="仿宋"/>
          <w:sz w:val="32"/>
          <w:szCs w:val="32"/>
        </w:rPr>
        <w:t>十、其他需要说明的情况</w:t>
      </w:r>
    </w:p>
    <w:p>
      <w:pPr>
        <w:widowControl/>
        <w:spacing w:after="160" w:line="580" w:lineRule="exact"/>
        <w:ind w:firstLine="640" w:firstLineChars="200"/>
        <w:rPr>
          <w:rFonts w:ascii="Times New Roman" w:hAnsi="Times New Roman" w:eastAsia="黑体" w:cs="Times New Roman"/>
          <w:sz w:val="32"/>
          <w:szCs w:val="32"/>
        </w:rPr>
        <w:sectPr>
          <w:headerReference r:id="rId8" w:type="first"/>
          <w:footerReference r:id="rId10" w:type="first"/>
          <w:headerReference r:id="rId7" w:type="default"/>
          <w:footerReference r:id="rId9"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部分</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名词解释</w:t>
      </w:r>
    </w:p>
    <w:p>
      <w:pPr>
        <w:rPr>
          <w:rFonts w:hint="default" w:ascii="Arial" w:hAnsi="Arial" w:eastAsia="Arial" w:cs="Arial"/>
          <w:i w:val="0"/>
          <w:iCs w:val="0"/>
          <w:caps w:val="0"/>
          <w:color w:val="000000"/>
          <w:spacing w:val="0"/>
          <w:sz w:val="18"/>
          <w:szCs w:val="18"/>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宋体" w:eastAsia="黑体" w:cs="黑体"/>
          <w:i w:val="0"/>
          <w:iCs w:val="0"/>
          <w:caps w:val="0"/>
          <w:color w:val="000000"/>
          <w:spacing w:val="0"/>
          <w:sz w:val="72"/>
          <w:szCs w:val="72"/>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宋体" w:eastAsia="黑体" w:cs="黑体"/>
          <w:i w:val="0"/>
          <w:iCs w:val="0"/>
          <w:caps w:val="0"/>
          <w:color w:val="000000"/>
          <w:spacing w:val="0"/>
          <w:sz w:val="72"/>
          <w:szCs w:val="72"/>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宋体" w:eastAsia="黑体" w:cs="黑体"/>
          <w:i w:val="0"/>
          <w:iCs w:val="0"/>
          <w:caps w:val="0"/>
          <w:color w:val="000000"/>
          <w:spacing w:val="0"/>
          <w:sz w:val="72"/>
          <w:szCs w:val="72"/>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eastAsia" w:ascii="黑体" w:hAnsi="宋体" w:eastAsia="黑体" w:cs="黑体"/>
          <w:i w:val="0"/>
          <w:iCs w:val="0"/>
          <w:caps w:val="0"/>
          <w:color w:val="000000"/>
          <w:spacing w:val="0"/>
          <w:sz w:val="72"/>
          <w:szCs w:val="72"/>
          <w:highlight w:val="none"/>
          <w:shd w:val="clear" w:fill="FFFFFF"/>
        </w:rPr>
        <w:t xml:space="preserve">第一部分  </w:t>
      </w:r>
      <w:r>
        <w:rPr>
          <w:rFonts w:hint="eastAsia" w:ascii="黑体" w:hAnsi="宋体" w:eastAsia="黑体" w:cs="黑体"/>
          <w:i w:val="0"/>
          <w:iCs w:val="0"/>
          <w:caps w:val="0"/>
          <w:color w:val="000000"/>
          <w:spacing w:val="0"/>
          <w:sz w:val="72"/>
          <w:szCs w:val="72"/>
          <w:highlight w:val="none"/>
          <w:shd w:val="clear" w:fill="FFFFFF"/>
          <w:lang w:eastAsia="zh-CN"/>
        </w:rPr>
        <w:t>单位</w:t>
      </w:r>
      <w:r>
        <w:rPr>
          <w:rFonts w:hint="eastAsia" w:ascii="黑体" w:hAnsi="宋体" w:eastAsia="黑体" w:cs="黑体"/>
          <w:i w:val="0"/>
          <w:iCs w:val="0"/>
          <w:caps w:val="0"/>
          <w:color w:val="000000"/>
          <w:spacing w:val="0"/>
          <w:sz w:val="72"/>
          <w:szCs w:val="72"/>
          <w:highlight w:val="none"/>
          <w:shd w:val="clear" w:fill="FFFFFF"/>
        </w:rPr>
        <w:t>概况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rPr>
          <w:rFonts w:hint="eastAsia" w:ascii="黑体" w:hAnsi="宋体" w:eastAsia="黑体" w:cs="黑体"/>
          <w:i w:val="0"/>
          <w:iCs w:val="0"/>
          <w:caps w:val="0"/>
          <w:color w:val="000000"/>
          <w:spacing w:val="0"/>
          <w:sz w:val="33"/>
          <w:szCs w:val="33"/>
          <w:highlight w:val="none"/>
          <w:shd w:val="clear" w:fill="FFFFFF"/>
        </w:rPr>
      </w:pPr>
      <w:r>
        <w:rPr>
          <w:rFonts w:hint="eastAsia" w:ascii="黑体" w:hAnsi="宋体" w:eastAsia="黑体" w:cs="黑体"/>
          <w:i w:val="0"/>
          <w:iCs w:val="0"/>
          <w:caps w:val="0"/>
          <w:color w:val="000000"/>
          <w:spacing w:val="0"/>
          <w:sz w:val="33"/>
          <w:szCs w:val="33"/>
          <w:highlight w:val="none"/>
          <w:shd w:val="clear" w:fill="FFFFFF"/>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outlineLvl w:val="1"/>
        <w:rPr>
          <w:rFonts w:hint="default" w:ascii="仿宋_GB2312" w:hAnsi="仿宋_GB2312" w:eastAsia="仿宋_GB2312" w:cs="仿宋_GB2312"/>
          <w:i w:val="0"/>
          <w:iCs w:val="0"/>
          <w:caps w:val="0"/>
          <w:color w:val="auto"/>
          <w:spacing w:val="0"/>
          <w:sz w:val="32"/>
          <w:szCs w:val="32"/>
          <w:highlight w:val="yellow"/>
          <w:shd w:val="clear" w:fill="FFFFFF"/>
        </w:rPr>
      </w:pPr>
      <w:r>
        <w:rPr>
          <w:rFonts w:hint="eastAsia" w:ascii="黑体" w:hAnsi="宋体" w:eastAsia="黑体" w:cs="黑体"/>
          <w:i w:val="0"/>
          <w:iCs w:val="0"/>
          <w:caps w:val="0"/>
          <w:color w:val="000000"/>
          <w:spacing w:val="0"/>
          <w:sz w:val="32"/>
          <w:szCs w:val="32"/>
          <w:highlight w:val="none"/>
          <w:shd w:val="clear" w:fill="FFFFFF"/>
        </w:rPr>
        <w:t>一、</w:t>
      </w:r>
      <w:r>
        <w:rPr>
          <w:rFonts w:hint="eastAsia" w:ascii="黑体" w:hAnsi="宋体" w:eastAsia="黑体" w:cs="黑体"/>
          <w:i w:val="0"/>
          <w:iCs w:val="0"/>
          <w:caps w:val="0"/>
          <w:color w:val="000000"/>
          <w:spacing w:val="0"/>
          <w:sz w:val="32"/>
          <w:szCs w:val="32"/>
          <w:highlight w:val="none"/>
          <w:shd w:val="clear" w:fill="FFFFFF"/>
          <w:lang w:eastAsia="zh-CN"/>
        </w:rPr>
        <w:t>单位</w:t>
      </w:r>
      <w:r>
        <w:rPr>
          <w:rFonts w:hint="eastAsia" w:ascii="黑体" w:hAnsi="宋体" w:eastAsia="黑体" w:cs="黑体"/>
          <w:i w:val="0"/>
          <w:iCs w:val="0"/>
          <w:caps w:val="0"/>
          <w:color w:val="000000"/>
          <w:spacing w:val="0"/>
          <w:sz w:val="32"/>
          <w:szCs w:val="32"/>
          <w:highlight w:val="none"/>
          <w:shd w:val="clear" w:fill="FFFFFF"/>
        </w:rPr>
        <w:t>职责</w:t>
      </w:r>
    </w:p>
    <w:p>
      <w:pPr>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根据《石家庄高新技术产业开发区科学技术局职能配置、内设机构和人员编制规定》，石家庄高新技术产业开发区科学技术局的主要职责</w:t>
      </w:r>
      <w:r>
        <w:rPr>
          <w:rFonts w:hint="eastAsia" w:ascii="仿宋" w:hAnsi="仿宋" w:eastAsia="仿宋" w:cs="仿宋"/>
          <w:sz w:val="32"/>
          <w:szCs w:val="32"/>
          <w:lang w:eastAsia="zh-CN"/>
        </w:rPr>
        <w:t>：</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（一）贯彻落实国家、省、市科技工作方针政策，研究制订并组织实施全区科技发展战略、政策和措施，完善区域科技创新体系，增强全区科技创新能力。</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（二）负责高新技术企业的组织申报和科技型中小企业的认定工作;负责对国家、省、市科技发展计划的组织、申报、项目验收及管理工作。</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（三）研究制订并组织实施全区高新技术产业发展规划，组织实施并管理全区科技支撑、成果转化等各类科技发展计划;负责管理和使用区科学技术费用及各类专项科技费用，协同财政</w:t>
      </w:r>
      <w:r>
        <w:rPr>
          <w:rFonts w:hint="eastAsia" w:ascii="仿宋" w:hAnsi="仿宋" w:eastAsia="仿宋" w:cs="仿宋"/>
          <w:sz w:val="32"/>
          <w:szCs w:val="32"/>
          <w:lang w:eastAsia="zh-CN"/>
        </w:rPr>
        <w:t>单位</w:t>
      </w:r>
      <w:r>
        <w:rPr>
          <w:rFonts w:hint="eastAsia" w:ascii="仿宋" w:hAnsi="仿宋" w:eastAsia="仿宋" w:cs="仿宋"/>
          <w:sz w:val="32"/>
          <w:szCs w:val="32"/>
        </w:rPr>
        <w:t>加强对科技创新工作的支持。</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（四）研究制订并组织实施全区众创空间、科技企业化器、加速器发展规划，制订相关政策和措施，负责全区众创空间、科技企业孵化器、加速器认定、管理、考核工作。</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（五）研究制订并组织实施全区科技服务业发展规划，制订相关政策和措施，负责引进和培育研发、技术转移、中介、咨询等各类科技服务机构;负责技术市场工作。</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（六）负责全区科技成果、科技奖励、产学研合作工作;负责组建产业技术联盟等创新组织。</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（七）负责科技金融创新工作。</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（八）负责科协工作。</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（九）负责对外科技合作与交流工作，负责外国专家管理工作。</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（十）会同统计</w:t>
      </w:r>
      <w:r>
        <w:rPr>
          <w:rFonts w:hint="eastAsia" w:ascii="仿宋" w:hAnsi="仿宋" w:eastAsia="仿宋" w:cs="仿宋"/>
          <w:sz w:val="32"/>
          <w:szCs w:val="32"/>
          <w:lang w:eastAsia="zh-CN"/>
        </w:rPr>
        <w:t>单位</w:t>
      </w:r>
      <w:r>
        <w:rPr>
          <w:rFonts w:hint="eastAsia" w:ascii="仿宋" w:hAnsi="仿宋" w:eastAsia="仿宋" w:cs="仿宋"/>
          <w:sz w:val="32"/>
          <w:szCs w:val="32"/>
        </w:rPr>
        <w:t>负责科技统计工作。</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val="en-US" w:eastAsia="zh-CN"/>
        </w:rPr>
        <w:t>一</w:t>
      </w:r>
      <w:r>
        <w:rPr>
          <w:rFonts w:hint="eastAsia" w:ascii="仿宋" w:hAnsi="仿宋" w:eastAsia="仿宋" w:cs="仿宋"/>
          <w:sz w:val="32"/>
          <w:szCs w:val="32"/>
        </w:rPr>
        <w:t>）贯彻</w:t>
      </w:r>
      <w:r>
        <w:rPr>
          <w:rFonts w:hint="eastAsia" w:ascii="仿宋" w:hAnsi="仿宋" w:eastAsia="仿宋" w:cs="仿宋"/>
          <w:sz w:val="32"/>
          <w:szCs w:val="32"/>
          <w:lang w:val="en-US" w:eastAsia="zh-CN"/>
        </w:rPr>
        <w:t>执</w:t>
      </w:r>
      <w:r>
        <w:rPr>
          <w:rFonts w:hint="eastAsia" w:ascii="仿宋" w:hAnsi="仿宋" w:eastAsia="仿宋" w:cs="仿宋"/>
          <w:sz w:val="32"/>
          <w:szCs w:val="32"/>
        </w:rPr>
        <w:t>行国家、省、市有关金融工作的法律、法规和政策依职权牵头开展全区地方金融监督管理工作;牵头全区金融突发事件应急机制建设，协调配合有关</w:t>
      </w:r>
      <w:r>
        <w:rPr>
          <w:rFonts w:hint="eastAsia" w:ascii="仿宋" w:hAnsi="仿宋" w:eastAsia="仿宋" w:cs="仿宋"/>
          <w:sz w:val="32"/>
          <w:szCs w:val="32"/>
          <w:lang w:eastAsia="zh-CN"/>
        </w:rPr>
        <w:t>单位</w:t>
      </w:r>
      <w:r>
        <w:rPr>
          <w:rFonts w:hint="eastAsia" w:ascii="仿宋" w:hAnsi="仿宋" w:eastAsia="仿宋" w:cs="仿宋"/>
          <w:sz w:val="32"/>
          <w:szCs w:val="32"/>
        </w:rPr>
        <w:t>依法做好非法金融案件的调查处理、善后处置和金融稳定工作。协调有关</w:t>
      </w:r>
      <w:r>
        <w:rPr>
          <w:rFonts w:hint="eastAsia" w:ascii="仿宋" w:hAnsi="仿宋" w:eastAsia="仿宋" w:cs="仿宋"/>
          <w:sz w:val="32"/>
          <w:szCs w:val="32"/>
          <w:lang w:eastAsia="zh-CN"/>
        </w:rPr>
        <w:t>单位</w:t>
      </w:r>
      <w:r>
        <w:rPr>
          <w:rFonts w:hint="eastAsia" w:ascii="仿宋" w:hAnsi="仿宋" w:eastAsia="仿宋" w:cs="仿宋"/>
          <w:sz w:val="32"/>
          <w:szCs w:val="32"/>
        </w:rPr>
        <w:t>依法做好防范和处置非法集资以及社会稳定工作。</w:t>
      </w:r>
    </w:p>
    <w:p>
      <w:pPr>
        <w:keepNext/>
        <w:keepLines/>
        <w:spacing w:line="580" w:lineRule="exact"/>
        <w:ind w:firstLine="640" w:firstLineChars="200"/>
        <w:jc w:val="both"/>
        <w:outlineLvl w:val="0"/>
        <w:rPr>
          <w:rFonts w:hint="eastAsia" w:ascii="仿宋" w:hAnsi="仿宋" w:eastAsia="仿宋" w:cs="仿宋"/>
          <w:i w:val="0"/>
          <w:iCs w:val="0"/>
          <w:caps w:val="0"/>
          <w:color w:val="auto"/>
          <w:spacing w:val="0"/>
          <w:sz w:val="32"/>
          <w:szCs w:val="32"/>
          <w:highlight w:val="yellow"/>
          <w:shd w:val="clear" w:fill="FFFFFF"/>
        </w:rPr>
      </w:pPr>
      <w:r>
        <w:rPr>
          <w:rFonts w:hint="eastAsia" w:ascii="仿宋" w:hAnsi="仿宋" w:eastAsia="仿宋" w:cs="仿宋"/>
          <w:sz w:val="32"/>
          <w:szCs w:val="32"/>
        </w:rPr>
        <w:t>（十</w:t>
      </w:r>
      <w:r>
        <w:rPr>
          <w:rFonts w:hint="eastAsia" w:ascii="仿宋" w:hAnsi="仿宋" w:eastAsia="仿宋" w:cs="仿宋"/>
          <w:sz w:val="32"/>
          <w:szCs w:val="32"/>
          <w:lang w:val="en-US" w:eastAsia="zh-CN"/>
        </w:rPr>
        <w:t>二</w:t>
      </w:r>
      <w:r>
        <w:rPr>
          <w:rFonts w:hint="eastAsia" w:ascii="仿宋" w:hAnsi="仿宋" w:eastAsia="仿宋" w:cs="仿宋"/>
          <w:sz w:val="32"/>
          <w:szCs w:val="32"/>
        </w:rPr>
        <w:t>）完成工委、管委会和上级</w:t>
      </w:r>
      <w:r>
        <w:rPr>
          <w:rFonts w:hint="eastAsia" w:ascii="仿宋" w:hAnsi="仿宋" w:eastAsia="仿宋" w:cs="仿宋"/>
          <w:sz w:val="32"/>
          <w:szCs w:val="32"/>
          <w:lang w:eastAsia="zh-CN"/>
        </w:rPr>
        <w:t>单位</w:t>
      </w:r>
      <w:r>
        <w:rPr>
          <w:rFonts w:hint="eastAsia" w:ascii="仿宋" w:hAnsi="仿宋" w:eastAsia="仿宋" w:cs="仿宋"/>
          <w:sz w:val="32"/>
          <w:szCs w:val="32"/>
        </w:rPr>
        <w:t>交办的其他任务。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outlineLvl w:val="1"/>
        <w:rPr>
          <w:rFonts w:hint="default" w:ascii="Arial" w:hAnsi="Arial" w:eastAsia="Arial" w:cs="Arial"/>
          <w:i w:val="0"/>
          <w:iCs w:val="0"/>
          <w:caps w:val="0"/>
          <w:color w:val="000000"/>
          <w:spacing w:val="0"/>
          <w:sz w:val="32"/>
          <w:szCs w:val="32"/>
          <w:highlight w:val="none"/>
        </w:rPr>
      </w:pPr>
      <w:r>
        <w:rPr>
          <w:rFonts w:hint="eastAsia" w:ascii="黑体" w:hAnsi="宋体" w:eastAsia="黑体" w:cs="黑体"/>
          <w:i w:val="0"/>
          <w:iCs w:val="0"/>
          <w:caps w:val="0"/>
          <w:color w:val="000000"/>
          <w:spacing w:val="0"/>
          <w:sz w:val="32"/>
          <w:szCs w:val="32"/>
          <w:highlight w:val="none"/>
          <w:shd w:val="clear" w:fill="FFFFFF"/>
        </w:rPr>
        <w:t>二、机构设置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i w:val="0"/>
          <w:iCs w:val="0"/>
          <w:caps w:val="0"/>
          <w:color w:val="auto"/>
          <w:spacing w:val="0"/>
          <w:sz w:val="32"/>
          <w:szCs w:val="32"/>
          <w:highlight w:val="none"/>
          <w:shd w:val="clear" w:fill="FFFFFF"/>
        </w:rPr>
      </w:pPr>
      <w:r>
        <w:rPr>
          <w:rFonts w:hint="eastAsia" w:ascii="仿宋" w:hAnsi="仿宋" w:eastAsia="仿宋" w:cs="仿宋"/>
          <w:i w:val="0"/>
          <w:iCs w:val="0"/>
          <w:caps w:val="0"/>
          <w:color w:val="auto"/>
          <w:spacing w:val="0"/>
          <w:sz w:val="32"/>
          <w:szCs w:val="32"/>
          <w:highlight w:val="none"/>
          <w:shd w:val="clear" w:fill="FFFFFF"/>
        </w:rPr>
        <w:t>从决算编报</w:t>
      </w:r>
      <w:r>
        <w:rPr>
          <w:rFonts w:hint="eastAsia" w:ascii="仿宋" w:hAnsi="仿宋" w:eastAsia="仿宋" w:cs="仿宋"/>
          <w:i w:val="0"/>
          <w:iCs w:val="0"/>
          <w:caps w:val="0"/>
          <w:color w:val="auto"/>
          <w:spacing w:val="0"/>
          <w:sz w:val="32"/>
          <w:szCs w:val="32"/>
          <w:highlight w:val="none"/>
          <w:shd w:val="clear" w:fill="FFFFFF"/>
          <w:lang w:val="en-US" w:eastAsia="zh-CN"/>
        </w:rPr>
        <w:t>单位</w:t>
      </w:r>
      <w:r>
        <w:rPr>
          <w:rFonts w:hint="eastAsia" w:ascii="仿宋" w:hAnsi="仿宋" w:eastAsia="仿宋" w:cs="仿宋"/>
          <w:i w:val="0"/>
          <w:iCs w:val="0"/>
          <w:caps w:val="0"/>
          <w:color w:val="auto"/>
          <w:spacing w:val="0"/>
          <w:sz w:val="32"/>
          <w:szCs w:val="32"/>
          <w:highlight w:val="none"/>
          <w:shd w:val="clear" w:fill="FFFFFF"/>
        </w:rPr>
        <w:t>构成看，纳入</w:t>
      </w:r>
      <w:r>
        <w:rPr>
          <w:rFonts w:hint="eastAsia" w:ascii="仿宋" w:hAnsi="仿宋" w:eastAsia="仿宋" w:cs="仿宋"/>
          <w:i w:val="0"/>
          <w:iCs w:val="0"/>
          <w:caps w:val="0"/>
          <w:color w:val="auto"/>
          <w:spacing w:val="0"/>
          <w:sz w:val="32"/>
          <w:szCs w:val="32"/>
          <w:highlight w:val="none"/>
          <w:shd w:val="clear" w:fill="FFFFFF"/>
          <w:lang w:val="en-US" w:eastAsia="zh-CN"/>
        </w:rPr>
        <w:t>2023</w:t>
      </w:r>
      <w:r>
        <w:rPr>
          <w:rFonts w:hint="eastAsia" w:ascii="仿宋" w:hAnsi="仿宋" w:eastAsia="仿宋" w:cs="仿宋"/>
          <w:i w:val="0"/>
          <w:iCs w:val="0"/>
          <w:caps w:val="0"/>
          <w:color w:val="auto"/>
          <w:spacing w:val="0"/>
          <w:sz w:val="32"/>
          <w:szCs w:val="32"/>
          <w:highlight w:val="none"/>
          <w:shd w:val="clear" w:fill="FFFFFF"/>
        </w:rPr>
        <w:t>年度</w:t>
      </w:r>
      <w:r>
        <w:rPr>
          <w:rFonts w:hint="eastAsia" w:ascii="仿宋" w:hAnsi="仿宋" w:eastAsia="仿宋" w:cs="仿宋"/>
          <w:i w:val="0"/>
          <w:iCs w:val="0"/>
          <w:caps w:val="0"/>
          <w:color w:val="auto"/>
          <w:spacing w:val="0"/>
          <w:sz w:val="32"/>
          <w:szCs w:val="32"/>
          <w:highlight w:val="none"/>
          <w:shd w:val="clear" w:fill="FFFFFF"/>
          <w:lang w:val="en-US" w:eastAsia="zh-CN"/>
        </w:rPr>
        <w:t>本单位</w:t>
      </w:r>
      <w:r>
        <w:rPr>
          <w:rFonts w:hint="eastAsia" w:ascii="仿宋" w:hAnsi="仿宋" w:eastAsia="仿宋" w:cs="仿宋"/>
          <w:i w:val="0"/>
          <w:iCs w:val="0"/>
          <w:caps w:val="0"/>
          <w:color w:val="auto"/>
          <w:spacing w:val="0"/>
          <w:sz w:val="32"/>
          <w:szCs w:val="32"/>
          <w:highlight w:val="none"/>
          <w:shd w:val="clear" w:fill="FFFFFF"/>
        </w:rPr>
        <w:t>决算汇编范围的独立核算</w:t>
      </w:r>
      <w:r>
        <w:rPr>
          <w:rFonts w:hint="eastAsia" w:ascii="仿宋" w:hAnsi="仿宋" w:eastAsia="仿宋" w:cs="仿宋"/>
          <w:i w:val="0"/>
          <w:iCs w:val="0"/>
          <w:caps w:val="0"/>
          <w:color w:val="auto"/>
          <w:spacing w:val="0"/>
          <w:sz w:val="32"/>
          <w:szCs w:val="32"/>
          <w:highlight w:val="none"/>
          <w:shd w:val="clear" w:fill="FFFFFF"/>
          <w:lang w:val="en-US" w:eastAsia="zh-CN"/>
        </w:rPr>
        <w:t>单位</w:t>
      </w:r>
      <w:r>
        <w:rPr>
          <w:rFonts w:hint="eastAsia" w:ascii="仿宋" w:hAnsi="仿宋" w:eastAsia="仿宋" w:cs="仿宋"/>
          <w:i w:val="0"/>
          <w:iCs w:val="0"/>
          <w:caps w:val="0"/>
          <w:color w:val="auto"/>
          <w:spacing w:val="0"/>
          <w:sz w:val="32"/>
          <w:szCs w:val="32"/>
          <w:highlight w:val="none"/>
          <w:shd w:val="clear" w:fill="FFFFFF"/>
        </w:rPr>
        <w:t>（以下简称“</w:t>
      </w:r>
      <w:r>
        <w:rPr>
          <w:rFonts w:hint="eastAsia" w:ascii="仿宋" w:hAnsi="仿宋" w:eastAsia="仿宋" w:cs="仿宋"/>
          <w:i w:val="0"/>
          <w:iCs w:val="0"/>
          <w:caps w:val="0"/>
          <w:color w:val="auto"/>
          <w:spacing w:val="0"/>
          <w:sz w:val="32"/>
          <w:szCs w:val="32"/>
          <w:highlight w:val="none"/>
          <w:shd w:val="clear" w:fill="FFFFFF"/>
          <w:lang w:val="en-US" w:eastAsia="zh-CN"/>
        </w:rPr>
        <w:t>单位</w:t>
      </w:r>
      <w:r>
        <w:rPr>
          <w:rFonts w:hint="eastAsia" w:ascii="仿宋" w:hAnsi="仿宋" w:eastAsia="仿宋" w:cs="仿宋"/>
          <w:i w:val="0"/>
          <w:iCs w:val="0"/>
          <w:caps w:val="0"/>
          <w:color w:val="auto"/>
          <w:spacing w:val="0"/>
          <w:sz w:val="32"/>
          <w:szCs w:val="32"/>
          <w:highlight w:val="none"/>
          <w:shd w:val="clear" w:fill="FFFFFF"/>
        </w:rPr>
        <w:t xml:space="preserve">”）共 </w:t>
      </w:r>
      <w:r>
        <w:rPr>
          <w:rFonts w:hint="eastAsia" w:ascii="仿宋" w:hAnsi="仿宋" w:eastAsia="仿宋" w:cs="仿宋"/>
          <w:i w:val="0"/>
          <w:iCs w:val="0"/>
          <w:caps w:val="0"/>
          <w:color w:val="auto"/>
          <w:spacing w:val="0"/>
          <w:sz w:val="32"/>
          <w:szCs w:val="32"/>
          <w:highlight w:val="none"/>
          <w:shd w:val="clear" w:fill="FFFFFF"/>
          <w:lang w:val="en-US" w:eastAsia="zh-CN"/>
        </w:rPr>
        <w:t>1</w:t>
      </w:r>
      <w:r>
        <w:rPr>
          <w:rFonts w:hint="eastAsia" w:ascii="仿宋" w:hAnsi="仿宋" w:eastAsia="仿宋" w:cs="仿宋"/>
          <w:i w:val="0"/>
          <w:iCs w:val="0"/>
          <w:caps w:val="0"/>
          <w:color w:val="auto"/>
          <w:spacing w:val="0"/>
          <w:sz w:val="32"/>
          <w:szCs w:val="32"/>
          <w:highlight w:val="none"/>
          <w:shd w:val="clear" w:fill="FFFFFF"/>
        </w:rPr>
        <w:t>个，具体情况如下：</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i w:val="0"/>
          <w:iCs w:val="0"/>
          <w:caps w:val="0"/>
          <w:color w:val="auto"/>
          <w:spacing w:val="0"/>
          <w:sz w:val="32"/>
          <w:szCs w:val="32"/>
          <w:highlight w:val="none"/>
          <w:shd w:val="clear" w:fill="FFFFFF"/>
        </w:rPr>
      </w:pP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pPr>
              <w:spacing w:line="560" w:lineRule="exac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序号</w:t>
            </w:r>
          </w:p>
        </w:tc>
        <w:tc>
          <w:tcPr>
            <w:tcW w:w="3485" w:type="dxa"/>
            <w:vAlign w:val="center"/>
          </w:tcPr>
          <w:p>
            <w:pPr>
              <w:spacing w:line="560" w:lineRule="exac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单位名称</w:t>
            </w:r>
          </w:p>
        </w:tc>
        <w:tc>
          <w:tcPr>
            <w:tcW w:w="2445" w:type="dxa"/>
            <w:vAlign w:val="center"/>
          </w:tcPr>
          <w:p>
            <w:pPr>
              <w:spacing w:line="560" w:lineRule="exac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单位基本性质</w:t>
            </w:r>
          </w:p>
        </w:tc>
        <w:tc>
          <w:tcPr>
            <w:tcW w:w="2665" w:type="dxa"/>
            <w:vAlign w:val="center"/>
          </w:tcPr>
          <w:p>
            <w:pPr>
              <w:spacing w:line="560" w:lineRule="exac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经费形式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pPr>
              <w:spacing w:line="5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1</w:t>
            </w:r>
          </w:p>
        </w:tc>
        <w:tc>
          <w:tcPr>
            <w:tcW w:w="3485" w:type="dxa"/>
          </w:tcPr>
          <w:p>
            <w:pPr>
              <w:spacing w:line="240" w:lineRule="auto"/>
              <w:rPr>
                <w:rFonts w:hint="eastAsia" w:ascii="仿宋" w:hAnsi="仿宋" w:eastAsia="仿宋" w:cs="仿宋"/>
                <w:kern w:val="0"/>
                <w:sz w:val="28"/>
                <w:szCs w:val="28"/>
              </w:rPr>
            </w:pPr>
            <w:r>
              <w:rPr>
                <w:rFonts w:hint="eastAsia" w:ascii="仿宋" w:hAnsi="仿宋" w:eastAsia="仿宋" w:cs="仿宋"/>
                <w:sz w:val="24"/>
                <w:lang w:val="en-US" w:eastAsia="zh-CN"/>
              </w:rPr>
              <w:t>石家庄</w:t>
            </w:r>
            <w:r>
              <w:rPr>
                <w:rFonts w:hint="eastAsia" w:ascii="仿宋" w:hAnsi="仿宋" w:eastAsia="仿宋" w:cs="仿宋"/>
                <w:sz w:val="24"/>
              </w:rPr>
              <w:t>高新技术产业开发区科学技术局</w:t>
            </w:r>
            <w:r>
              <w:rPr>
                <w:rFonts w:hint="eastAsia" w:ascii="仿宋" w:hAnsi="仿宋" w:eastAsia="仿宋" w:cs="仿宋"/>
                <w:sz w:val="24"/>
                <w:lang w:val="en-US" w:eastAsia="zh-CN"/>
              </w:rPr>
              <w:t>本级</w:t>
            </w:r>
          </w:p>
        </w:tc>
        <w:tc>
          <w:tcPr>
            <w:tcW w:w="2445" w:type="dxa"/>
          </w:tcPr>
          <w:p>
            <w:pPr>
              <w:spacing w:line="560" w:lineRule="exact"/>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行政单位</w:t>
            </w:r>
          </w:p>
        </w:tc>
        <w:tc>
          <w:tcPr>
            <w:tcW w:w="2665" w:type="dxa"/>
          </w:tcPr>
          <w:p>
            <w:pPr>
              <w:spacing w:line="560" w:lineRule="exact"/>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财政拨款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80" w:type="dxa"/>
            <w:gridSpan w:val="4"/>
            <w:tcBorders>
              <w:top w:val="single" w:color="auto" w:sz="4" w:space="0"/>
              <w:left w:val="nil"/>
              <w:bottom w:val="nil"/>
              <w:right w:val="nil"/>
            </w:tcBorders>
          </w:tcPr>
          <w:p>
            <w:pPr>
              <w:spacing w:line="560" w:lineRule="exact"/>
              <w:jc w:val="left"/>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注：1、单位基本性质分为行政单位、参公事业单位、财政补助事业单位、经费自理事业单位四类。</w:t>
            </w:r>
          </w:p>
          <w:p>
            <w:pPr>
              <w:spacing w:line="560" w:lineRule="exact"/>
              <w:ind w:firstLine="560" w:firstLineChars="200"/>
              <w:jc w:val="left"/>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2、经费形式分为财政拨款、财政性资金基本保证、财政性资金定额或定项补助、财政性资金零补助四类。</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pPr>
        <w:widowControl/>
        <w:spacing w:after="160" w:line="580" w:lineRule="exact"/>
        <w:ind w:firstLine="640" w:firstLineChars="200"/>
        <w:rPr>
          <w:rFonts w:hint="eastAsia" w:ascii="Times New Roman" w:hAnsi="Times New Roman" w:eastAsia="黑体" w:cs="Times New Roman"/>
          <w:sz w:val="32"/>
          <w:szCs w:val="32"/>
          <w:highlight w:val="yellow"/>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kern w:val="0"/>
          <w:sz w:val="18"/>
          <w:szCs w:val="18"/>
          <w:highlight w:val="none"/>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highlight w:val="none"/>
        </w:rPr>
      </w:pPr>
      <w:r>
        <w:rPr>
          <w:rFonts w:hint="default" w:ascii="Arial" w:hAnsi="Arial" w:eastAsia="Arial" w:cs="Arial"/>
          <w:i w:val="0"/>
          <w:iCs w:val="0"/>
          <w:caps w:val="0"/>
          <w:color w:val="000000"/>
          <w:spacing w:val="0"/>
          <w:kern w:val="0"/>
          <w:sz w:val="18"/>
          <w:szCs w:val="18"/>
          <w:highlight w:val="none"/>
          <w:shd w:val="clear" w:fill="FFFFFF"/>
          <w:lang w:val="en-US" w:eastAsia="zh-CN" w:bidi="ar"/>
        </w:rPr>
        <w:t> </w:t>
      </w: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outlineLvl w:val="0"/>
        <w:rPr>
          <w:rFonts w:hint="default" w:ascii="Arial" w:hAnsi="Arial" w:eastAsia="Arial" w:cs="Arial"/>
          <w:highlight w:val="none"/>
        </w:rPr>
      </w:pPr>
      <w:r>
        <w:rPr>
          <w:rFonts w:hint="eastAsia" w:ascii="黑体" w:hAnsi="宋体" w:eastAsia="黑体" w:cs="黑体"/>
          <w:i w:val="0"/>
          <w:iCs w:val="0"/>
          <w:caps w:val="0"/>
          <w:color w:val="000000"/>
          <w:spacing w:val="0"/>
          <w:sz w:val="72"/>
          <w:szCs w:val="72"/>
          <w:highlight w:val="none"/>
          <w:shd w:val="clear" w:fill="FFFFFF"/>
        </w:rPr>
        <w:t>第二部分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eastAsia" w:ascii="黑体" w:hAnsi="宋体" w:eastAsia="黑体" w:cs="黑体"/>
          <w:i w:val="0"/>
          <w:iCs w:val="0"/>
          <w:caps w:val="0"/>
          <w:color w:val="000000"/>
          <w:spacing w:val="0"/>
          <w:sz w:val="72"/>
          <w:szCs w:val="72"/>
          <w:highlight w:val="none"/>
          <w:shd w:val="clear" w:fill="FFFFFF"/>
          <w:lang w:val="en-US" w:eastAsia="zh-CN"/>
        </w:rPr>
        <w:t>2023</w:t>
      </w:r>
      <w:r>
        <w:rPr>
          <w:rFonts w:hint="eastAsia" w:ascii="黑体" w:hAnsi="宋体" w:eastAsia="黑体" w:cs="黑体"/>
          <w:i w:val="0"/>
          <w:iCs w:val="0"/>
          <w:caps w:val="0"/>
          <w:color w:val="000000"/>
          <w:spacing w:val="0"/>
          <w:sz w:val="72"/>
          <w:szCs w:val="72"/>
          <w:highlight w:val="none"/>
          <w:shd w:val="clear" w:fill="FFFFFF"/>
        </w:rPr>
        <w:t>年</w:t>
      </w:r>
      <w:r>
        <w:rPr>
          <w:rFonts w:hint="eastAsia" w:ascii="黑体" w:hAnsi="宋体" w:eastAsia="黑体" w:cs="黑体"/>
          <w:i w:val="0"/>
          <w:iCs w:val="0"/>
          <w:caps w:val="0"/>
          <w:color w:val="000000"/>
          <w:spacing w:val="0"/>
          <w:sz w:val="72"/>
          <w:szCs w:val="72"/>
          <w:highlight w:val="none"/>
          <w:shd w:val="clear" w:fill="FFFFFF"/>
          <w:lang w:val="en-US" w:eastAsia="zh-CN"/>
        </w:rPr>
        <w:t>度单位</w:t>
      </w:r>
      <w:r>
        <w:rPr>
          <w:rFonts w:hint="eastAsia" w:ascii="黑体" w:hAnsi="宋体" w:eastAsia="黑体" w:cs="黑体"/>
          <w:i w:val="0"/>
          <w:iCs w:val="0"/>
          <w:caps w:val="0"/>
          <w:color w:val="000000"/>
          <w:spacing w:val="0"/>
          <w:sz w:val="72"/>
          <w:szCs w:val="72"/>
          <w:highlight w:val="none"/>
          <w:shd w:val="clear" w:fill="FFFFFF"/>
        </w:rPr>
        <w:t>决算报表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仿宋_GB2312" w:hAnsi="仿宋_GB2312" w:eastAsia="仿宋_GB2312" w:cs="仿宋_GB2312"/>
          <w:i w:val="0"/>
          <w:iCs w:val="0"/>
          <w:caps w:val="0"/>
          <w:color w:val="FF0000"/>
          <w:spacing w:val="0"/>
          <w:sz w:val="33"/>
          <w:szCs w:val="33"/>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仿宋_GB2312" w:hAnsi="仿宋_GB2312" w:eastAsia="仿宋_GB2312" w:cs="仿宋_GB2312"/>
          <w:i w:val="0"/>
          <w:iCs w:val="0"/>
          <w:caps w:val="0"/>
          <w:color w:val="FF0000"/>
          <w:spacing w:val="0"/>
          <w:sz w:val="33"/>
          <w:szCs w:val="33"/>
          <w:highlight w:val="none"/>
          <w:shd w:val="clear" w:fill="FFFFFF"/>
        </w:rPr>
        <w:sectPr>
          <w:headerReference r:id="rId11"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317"/>
        <w:gridCol w:w="1628"/>
        <w:gridCol w:w="1547"/>
        <w:gridCol w:w="624"/>
        <w:gridCol w:w="1928"/>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 公开</w:t>
            </w:r>
            <w:r>
              <w:rPr>
                <w:rFonts w:hint="eastAsia" w:ascii="仿宋" w:hAnsi="仿宋" w:eastAsia="仿宋" w:cs="仿宋"/>
                <w:i w:val="0"/>
                <w:iCs w:val="0"/>
                <w:color w:val="000000"/>
                <w:sz w:val="20"/>
                <w:szCs w:val="20"/>
                <w:highlight w:val="none"/>
                <w:u w:val="none"/>
                <w:lang w:val="en-US" w:eastAsia="zh-CN"/>
              </w:rPr>
              <w:t>01</w:t>
            </w:r>
            <w:r>
              <w:rPr>
                <w:rFonts w:hint="eastAsia" w:ascii="仿宋" w:hAnsi="仿宋" w:eastAsia="仿宋" w:cs="仿宋"/>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auto" w:sz="4" w:space="0"/>
              <w:right w:val="nil"/>
            </w:tcBorders>
            <w:noWrap/>
            <w:vAlign w:val="bottom"/>
          </w:tcPr>
          <w:p>
            <w:pPr>
              <w:jc w:val="both"/>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编制单位：石家庄高新技术产业开发区科学技术局(本级)</w:t>
            </w:r>
          </w:p>
        </w:tc>
        <w:tc>
          <w:tcPr>
            <w:tcW w:w="1262" w:type="pct"/>
            <w:gridSpan w:val="2"/>
            <w:tcBorders>
              <w:top w:val="nil"/>
              <w:left w:val="nil"/>
              <w:bottom w:val="single" w:color="auto" w:sz="4" w:space="0"/>
              <w:right w:val="nil"/>
            </w:tcBorders>
            <w:noWrap/>
            <w:vAlign w:val="bottom"/>
          </w:tcPr>
          <w:p>
            <w:pPr>
              <w:jc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sz w:val="20"/>
                <w:szCs w:val="20"/>
                <w:highlight w:val="none"/>
                <w:u w:val="none"/>
                <w:lang w:val="en-US" w:eastAsia="zh-CN"/>
              </w:rPr>
              <w:t>2023</w:t>
            </w:r>
            <w:r>
              <w:rPr>
                <w:rFonts w:hint="eastAsia" w:ascii="仿宋" w:hAnsi="仿宋" w:eastAsia="仿宋" w:cs="仿宋"/>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auto" w:sz="4" w:space="0"/>
              <w:right w:val="nil"/>
            </w:tcBorders>
            <w:noWrap/>
            <w:vAlign w:val="bottom"/>
          </w:tcPr>
          <w:p>
            <w:pPr>
              <w:jc w:val="right"/>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529" w:type="pct"/>
            <w:gridSpan w:val="4"/>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收入</w:t>
            </w:r>
          </w:p>
        </w:tc>
        <w:tc>
          <w:tcPr>
            <w:tcW w:w="2456" w:type="pct"/>
            <w:gridSpan w:val="4"/>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行次</w:t>
            </w:r>
          </w:p>
        </w:tc>
        <w:tc>
          <w:tcPr>
            <w:tcW w:w="826"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决算数</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行次</w:t>
            </w:r>
          </w:p>
        </w:tc>
        <w:tc>
          <w:tcPr>
            <w:tcW w:w="82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267" w:type="pct"/>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826"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267" w:type="pct"/>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82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一、一般公共预算财政拨款收入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29,391.44</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一、一般公共服务支出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32</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二、政府性基金预算财政拨款收入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二、外交支出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33</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三、国有资本经营预算财政拨款收入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三、国防支出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34</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四、上级补助收入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四、公共安全支出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35</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五、事业收入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五、教育支出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36</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六、经营收入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六、科学技术支出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37</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33,074.47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七、附属单位上缴收入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7</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七、文化旅游体育与传媒支出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38</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八、其他收入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8</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八、社会保障和就业支出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39</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9</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九、卫生健康支出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40</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11.72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10</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十、节能环保支出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41</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11</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十一、城乡社区支出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42</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12</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十二、农林水支出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43</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13</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十三、交通运输支出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44</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auto"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14</w:t>
            </w:r>
          </w:p>
        </w:tc>
        <w:tc>
          <w:tcPr>
            <w:tcW w:w="826" w:type="pct"/>
            <w:gridSpan w:val="2"/>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auto"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十四、资源勘探工业信息等支出</w:t>
            </w:r>
          </w:p>
        </w:tc>
        <w:tc>
          <w:tcPr>
            <w:tcW w:w="267"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45</w:t>
            </w:r>
          </w:p>
        </w:tc>
        <w:tc>
          <w:tcPr>
            <w:tcW w:w="826" w:type="pct"/>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15</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十五、商业服务业等支出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46</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16</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十六、金融支出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47</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17</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十七、援助其他地区支出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48</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18</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十八、自然资源海洋气象等支出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49</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19</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十九、住房保障支出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50</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20</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二十、粮油物资储备支出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51</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21</w:t>
            </w:r>
          </w:p>
        </w:tc>
        <w:tc>
          <w:tcPr>
            <w:tcW w:w="826" w:type="pct"/>
            <w:gridSpan w:val="2"/>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二十一、国有资本经营预算支出</w:t>
            </w:r>
          </w:p>
        </w:tc>
        <w:tc>
          <w:tcPr>
            <w:tcW w:w="267"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52</w:t>
            </w:r>
          </w:p>
        </w:tc>
        <w:tc>
          <w:tcPr>
            <w:tcW w:w="826" w:type="pct"/>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22</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二十二、灾害防治及应急管理支出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53</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23</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二十三、其他支出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54</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24</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二十四、债务还本支出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55</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25</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二十五、债务付息支出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56</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26</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二十六、抗疫特别国债安排的支出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57</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本年收入合计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27</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29,391.44</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本年支出合计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58</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使用非财政拨款结余（含专用结余）</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28</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结余分配</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59</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年初结转和结余</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29</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4,000.00</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年末结转和结余</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60</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30</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61</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总计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31</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总计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62</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注：1.本表反映单位本年度的总收支和年末结转结余情况。2.本套报表金额转换时可能存在尾数误差。</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widowControl/>
        <w:suppressLineNumbers w:val="0"/>
        <w:jc w:val="center"/>
        <w:textAlignment w:val="bottom"/>
        <w:rPr>
          <w:rFonts w:hint="eastAsia" w:ascii="仿宋" w:hAnsi="仿宋" w:eastAsia="仿宋" w:cs="仿宋"/>
          <w:bCs/>
          <w:kern w:val="0"/>
          <w:sz w:val="32"/>
          <w:szCs w:val="32"/>
          <w:highlight w:val="none"/>
        </w:rPr>
      </w:pP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w:t>
            </w:r>
            <w:r>
              <w:rPr>
                <w:rFonts w:hint="eastAsia" w:ascii="仿宋" w:hAnsi="仿宋" w:eastAsia="仿宋" w:cs="仿宋"/>
                <w:i w:val="0"/>
                <w:iCs w:val="0"/>
                <w:color w:val="000000"/>
                <w:sz w:val="20"/>
                <w:szCs w:val="20"/>
                <w:highlight w:val="none"/>
                <w:u w:val="none"/>
                <w:lang w:val="en-US" w:eastAsia="zh-CN"/>
              </w:rPr>
              <w:t>02</w:t>
            </w:r>
            <w:r>
              <w:rPr>
                <w:rFonts w:hint="eastAsia" w:ascii="仿宋" w:hAnsi="仿宋" w:eastAsia="仿宋" w:cs="仿宋"/>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auto" w:sz="4"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编制单位：石家庄高新技术产业开发区科学技术局(本级)                                                                                                         </w:t>
            </w:r>
          </w:p>
        </w:tc>
        <w:tc>
          <w:tcPr>
            <w:tcW w:w="3405" w:type="dxa"/>
            <w:gridSpan w:val="4"/>
            <w:tcBorders>
              <w:top w:val="nil"/>
              <w:left w:val="nil"/>
              <w:bottom w:val="single" w:color="auto" w:sz="4" w:space="0"/>
              <w:right w:val="nil"/>
            </w:tcBorders>
            <w:noWrap/>
            <w:vAlign w:val="bottom"/>
          </w:tcPr>
          <w:p>
            <w:pPr>
              <w:jc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sz w:val="20"/>
                <w:szCs w:val="20"/>
                <w:highlight w:val="none"/>
                <w:u w:val="none"/>
                <w:lang w:val="en-US" w:eastAsia="zh-CN"/>
              </w:rPr>
              <w:t>2023</w:t>
            </w:r>
            <w:r>
              <w:rPr>
                <w:rFonts w:hint="eastAsia" w:ascii="仿宋" w:hAnsi="仿宋" w:eastAsia="仿宋" w:cs="仿宋"/>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auto" w:sz="4" w:space="0"/>
              <w:right w:val="nil"/>
            </w:tcBorders>
            <w:noWrap/>
            <w:vAlign w:val="bottom"/>
          </w:tcPr>
          <w:p>
            <w:pPr>
              <w:jc w:val="right"/>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103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本年收入合计</w:t>
            </w:r>
          </w:p>
        </w:tc>
        <w:tc>
          <w:tcPr>
            <w:tcW w:w="103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财政拨款收入</w:t>
            </w:r>
          </w:p>
        </w:tc>
        <w:tc>
          <w:tcPr>
            <w:tcW w:w="103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上级补助收入</w:t>
            </w:r>
          </w:p>
        </w:tc>
        <w:tc>
          <w:tcPr>
            <w:tcW w:w="964" w:type="dxa"/>
            <w:vMerge w:val="restart"/>
            <w:tcBorders>
              <w:top w:val="single" w:color="auto" w:sz="4" w:space="0"/>
              <w:left w:val="nil"/>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事业收入</w:t>
            </w:r>
          </w:p>
        </w:tc>
        <w:tc>
          <w:tcPr>
            <w:tcW w:w="964" w:type="dxa"/>
            <w:gridSpan w:val="2"/>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经营收入</w:t>
            </w:r>
          </w:p>
        </w:tc>
        <w:tc>
          <w:tcPr>
            <w:tcW w:w="102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附属单位上缴收入</w:t>
            </w:r>
          </w:p>
        </w:tc>
        <w:tc>
          <w:tcPr>
            <w:tcW w:w="964"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科目代码</w:t>
            </w:r>
          </w:p>
        </w:tc>
        <w:tc>
          <w:tcPr>
            <w:tcW w:w="1160" w:type="dxa"/>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科目名称</w:t>
            </w: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left w:val="nil"/>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left w:val="nil"/>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103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103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103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964"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4</w:t>
            </w:r>
          </w:p>
        </w:tc>
        <w:tc>
          <w:tcPr>
            <w:tcW w:w="964" w:type="dxa"/>
            <w:gridSpan w:val="2"/>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102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w:t>
            </w:r>
          </w:p>
        </w:tc>
        <w:tc>
          <w:tcPr>
            <w:tcW w:w="964"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29,391.44</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29,391.44</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科学技术支出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29,324.47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29,324.47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科学技术管理事务</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548.68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548.68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2060101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行政运行</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546.50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546.50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2060102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一般行政管理事务</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基础研究</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1,163.59</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1,163.59</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2060207</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专项技术基础</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1,163.59</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1,163.59</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技术研究与开发</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13,404.65</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13,404.65</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机构运行</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2060404</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科技成果转化与扩散</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2,709.21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2,709.21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2060405</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共性技术研究与开发</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200.00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200.00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2060499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其他技术研究与开发支出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10,484.44</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10,484.44</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20605</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科技条件与服务</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765.93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765.93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2060502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技术创新服务体系</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765.93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765.93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科技重大项目</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2,226.20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2,226.20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2060901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科技重大专项</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700.00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700.00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2060902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重点研发计划</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1,261.00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1,261.00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2060999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其他科技重大项目</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265.20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265.20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20699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其他科学技术支出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11,215.41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11,215.41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2069901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科技奖励</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4,077.00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4,077.00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2069999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其他科学技术支出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7,138.41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7,138.41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208</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社会保障和就业支出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27.58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27.58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20805</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行政事业单位养老支出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27.58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27.58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2080501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行政单位离退休</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9.83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9.83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2080505</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机关事业单位基本养老保险缴费支出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17.75</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17.75</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210</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卫生健康支出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21011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行政事业单位医疗</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2101101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行政单位医疗</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住房保障支出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22102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住房改革支出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2210201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住房公积金</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注：本表反映单位本年度取得的各项收入情况。</w:t>
            </w:r>
          </w:p>
        </w:tc>
      </w:tr>
    </w:tbl>
    <w:p>
      <w:pPr>
        <w:rPr>
          <w:rFonts w:hint="eastAsia" w:ascii="仿宋" w:hAnsi="仿宋" w:eastAsia="仿宋" w:cs="仿宋"/>
          <w:bCs/>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widowControl/>
        <w:suppressLineNumbers w:val="0"/>
        <w:jc w:val="center"/>
        <w:textAlignment w:val="bottom"/>
        <w:rPr>
          <w:rFonts w:hint="eastAsia" w:ascii="仿宋" w:hAnsi="仿宋" w:eastAsia="仿宋" w:cs="仿宋"/>
          <w:spacing w:val="-2"/>
          <w:sz w:val="20"/>
          <w:highlight w:val="none"/>
          <w:lang w:val="en-US" w:eastAsia="zh-CN"/>
        </w:rPr>
      </w:pP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jc w:val="center"/>
        </w:trPr>
        <w:tc>
          <w:tcPr>
            <w:tcW w:w="5000" w:type="pct"/>
            <w:gridSpan w:val="10"/>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br w:type="page"/>
            </w:r>
            <w:r>
              <w:rPr>
                <w:rFonts w:hint="eastAsia" w:ascii="仿宋" w:hAnsi="仿宋" w:eastAsia="仿宋" w:cs="仿宋"/>
                <w:b w:val="0"/>
                <w:bCs/>
                <w:color w:val="auto"/>
                <w:kern w:val="0"/>
                <w:sz w:val="32"/>
                <w:szCs w:val="32"/>
                <w:highlight w:val="none"/>
                <w:lang w:val="en-US" w:eastAsia="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编制单位：石家庄高新技术产业开发区科学技术局(本级)                                                                                                          </w:t>
            </w:r>
          </w:p>
        </w:tc>
        <w:tc>
          <w:tcPr>
            <w:tcW w:w="1403" w:type="pct"/>
            <w:gridSpan w:val="3"/>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734" w:type="pct"/>
            <w:gridSpan w:val="3"/>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 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603"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基本支出</w:t>
            </w:r>
          </w:p>
        </w:tc>
        <w:tc>
          <w:tcPr>
            <w:tcW w:w="602"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项目支出</w:t>
            </w:r>
          </w:p>
        </w:tc>
        <w:tc>
          <w:tcPr>
            <w:tcW w:w="602" w:type="pct"/>
            <w:gridSpan w:val="2"/>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上缴上级支出</w:t>
            </w:r>
          </w:p>
        </w:tc>
        <w:tc>
          <w:tcPr>
            <w:tcW w:w="602"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经营支出</w:t>
            </w:r>
          </w:p>
        </w:tc>
        <w:tc>
          <w:tcPr>
            <w:tcW w:w="795"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科目代码</w:t>
            </w:r>
          </w:p>
        </w:tc>
        <w:tc>
          <w:tcPr>
            <w:tcW w:w="635"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科目名称</w:t>
            </w:r>
          </w:p>
        </w:tc>
        <w:tc>
          <w:tcPr>
            <w:tcW w:w="60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9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35"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60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9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35"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60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9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60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602" w:type="pct"/>
            <w:gridSpan w:val="2"/>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60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602" w:type="pct"/>
            <w:gridSpan w:val="2"/>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60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795"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613.47</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32,777.97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一般公共服务支出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20113</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商贸事务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2011308</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招商引资</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科学技术支出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33,074.47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32,527.97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科学技术管理事务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2,298.68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行政运行</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一般行政管理事务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基础研究</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2060207</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专项技术基础</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技术研究与开发</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13,404.65</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13,404.65</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机构运行</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2060404</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科技成果转化与扩散</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2,709.21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2,709.21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2060405</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共性技术研究与开发</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2060499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其他技术研究与开发支出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10,484.44</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10,484.44</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20605</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科技条件与服务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2060502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技术创新服务体系</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科技重大项目</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2,226.20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2,226.20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科技重大专项</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700.00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700.00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重点研发计划</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1,261.00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1,261.00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2060999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其他科技重大项目</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265.20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265.20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其他科学技术支出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13,215.41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13,215.41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科技奖励</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4,077.00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4,077.00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2069999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其他科学技术支出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9,138.41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9,138.41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社会保障和就业支出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行政事业单位养老支出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行政单位离退休</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9.83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9.83</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2080505</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机关事业单位基本养老保险缴费支出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17.75</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17.75</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卫生健康支出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21011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行政事业单位医疗</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2101101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行政单位医疗</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住房保障支出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住房改革支出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2210201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住房公积金</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注：本表反映单位本年度各项支出情况。</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auto" w:sz="4"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编制单位：石家庄高新技术产业开发区科学技术局(本级)                                                                                                    </w:t>
            </w:r>
          </w:p>
        </w:tc>
        <w:tc>
          <w:tcPr>
            <w:tcW w:w="649" w:type="pct"/>
            <w:gridSpan w:val="3"/>
            <w:tcBorders>
              <w:top w:val="nil"/>
              <w:left w:val="nil"/>
              <w:bottom w:val="single" w:color="auto" w:sz="4" w:space="0"/>
              <w:right w:val="nil"/>
            </w:tcBorders>
            <w:noWrap/>
            <w:vAlign w:val="bottom"/>
          </w:tcPr>
          <w:p>
            <w:pPr>
              <w:jc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919" w:type="pct"/>
            <w:gridSpan w:val="4"/>
            <w:tcBorders>
              <w:top w:val="nil"/>
              <w:left w:val="nil"/>
              <w:bottom w:val="single" w:color="auto" w:sz="4" w:space="0"/>
              <w:right w:val="nil"/>
            </w:tcBorders>
            <w:noWrap/>
            <w:vAlign w:val="bottom"/>
          </w:tcPr>
          <w:p>
            <w:pPr>
              <w:jc w:val="right"/>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收入</w:t>
            </w:r>
          </w:p>
        </w:tc>
        <w:tc>
          <w:tcPr>
            <w:tcW w:w="3276" w:type="pct"/>
            <w:gridSpan w:val="8"/>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    目</w:t>
            </w:r>
          </w:p>
        </w:tc>
        <w:tc>
          <w:tcPr>
            <w:tcW w:w="26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行次</w:t>
            </w:r>
          </w:p>
        </w:tc>
        <w:tc>
          <w:tcPr>
            <w:tcW w:w="60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金额</w:t>
            </w:r>
          </w:p>
        </w:tc>
        <w:tc>
          <w:tcPr>
            <w:tcW w:w="895" w:type="pct"/>
            <w:gridSpan w:val="2"/>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26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行次</w:t>
            </w:r>
          </w:p>
        </w:tc>
        <w:tc>
          <w:tcPr>
            <w:tcW w:w="552" w:type="pct"/>
            <w:gridSpan w:val="2"/>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合计</w:t>
            </w:r>
          </w:p>
        </w:tc>
        <w:tc>
          <w:tcPr>
            <w:tcW w:w="520" w:type="pct"/>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一般公共预算财政拨款</w:t>
            </w:r>
          </w:p>
        </w:tc>
        <w:tc>
          <w:tcPr>
            <w:tcW w:w="520" w:type="pct"/>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政府性基金预算财政拨款</w:t>
            </w:r>
          </w:p>
        </w:tc>
        <w:tc>
          <w:tcPr>
            <w:tcW w:w="520" w:type="pct"/>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266"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9"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895" w:type="pct"/>
            <w:gridSpan w:val="2"/>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266"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52" w:type="pct"/>
            <w:gridSpan w:val="2"/>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520" w:type="pct"/>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520" w:type="pct"/>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520" w:type="pct"/>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    次</w:t>
            </w:r>
          </w:p>
        </w:tc>
        <w:tc>
          <w:tcPr>
            <w:tcW w:w="266" w:type="pct"/>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60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    次</w:t>
            </w:r>
          </w:p>
        </w:tc>
        <w:tc>
          <w:tcPr>
            <w:tcW w:w="266" w:type="pct"/>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552"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52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52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520" w:type="pct"/>
            <w:tcBorders>
              <w:top w:val="nil"/>
              <w:left w:val="nil"/>
              <w:bottom w:val="single" w:color="000000" w:sz="4" w:space="0"/>
              <w:right w:val="single" w:color="000000" w:sz="8"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29,391.44</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一、一般公共服务支出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33</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250.00</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250.00</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二、政府性基金预算财政拨款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二、外交支出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34</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三、国有资本经营预算财政拨款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三、国防支出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35</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四、公共安全支出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36</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五、教育支出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37</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六、科学技术支出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38</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33,074.47</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33,074.47</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7</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七、文化旅游体育与传媒支出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39</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8</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八、社会保障和就业支出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40</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27.58</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27.58</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9</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九、卫生健康支出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41</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11.72</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11.72</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10</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十、节能环保支出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42</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11</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十一、城乡社区支出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43</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auto"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12</w:t>
            </w:r>
          </w:p>
        </w:tc>
        <w:tc>
          <w:tcPr>
            <w:tcW w:w="609" w:type="pct"/>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auto"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十二、农林水支出</w:t>
            </w:r>
          </w:p>
        </w:tc>
        <w:tc>
          <w:tcPr>
            <w:tcW w:w="266"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44</w:t>
            </w:r>
          </w:p>
        </w:tc>
        <w:tc>
          <w:tcPr>
            <w:tcW w:w="552" w:type="pct"/>
            <w:gridSpan w:val="2"/>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auto"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13</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十三、交通运输支出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45</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14</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十四、资源勘探工业信息等支出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46</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15</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十五、商业服务业等支出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47</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16</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十六、金融支出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48</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17</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十七、援助其他地区支出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49</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18</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十八、自然资源海洋气象等支出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50</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19</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十九、住房保障支出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51</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27.67</w:t>
            </w: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27.67</w:t>
            </w: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20</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二十、粮油物资储备支出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52</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21</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二十一、国有资本经营预算支出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53</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22</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二十二、灾害防治及应急管理支出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54</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23</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二十三、其他支出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55</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24</w:t>
            </w:r>
          </w:p>
        </w:tc>
        <w:tc>
          <w:tcPr>
            <w:tcW w:w="609" w:type="pct"/>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二十四、债务还本支出</w:t>
            </w:r>
          </w:p>
        </w:tc>
        <w:tc>
          <w:tcPr>
            <w:tcW w:w="266"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56</w:t>
            </w:r>
          </w:p>
        </w:tc>
        <w:tc>
          <w:tcPr>
            <w:tcW w:w="552" w:type="pct"/>
            <w:gridSpan w:val="2"/>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bCs/>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25</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二十五、债务付息支出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57</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26</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二十六、抗疫特别国债安排的支出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58</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本年收入合计</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27</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29,391.44</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本年支出合计</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59</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年初财政拨款结转和结余</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28</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4,000.00</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年末财政拨款结转和结余</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60</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29</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4,000.00</w:t>
            </w:r>
          </w:p>
        </w:tc>
        <w:tc>
          <w:tcPr>
            <w:tcW w:w="895" w:type="pct"/>
            <w:gridSpan w:val="2"/>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61</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lef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二、政府性基金预算财政拨款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30</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62</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lef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三、国有资本经营预算财政拨款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31</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63</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lef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总计</w:t>
            </w:r>
          </w:p>
        </w:tc>
        <w:tc>
          <w:tcPr>
            <w:tcW w:w="266" w:type="pct"/>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32</w:t>
            </w:r>
          </w:p>
        </w:tc>
        <w:tc>
          <w:tcPr>
            <w:tcW w:w="609" w:type="pct"/>
            <w:tcBorders>
              <w:top w:val="nil"/>
              <w:left w:val="nil"/>
              <w:bottom w:val="single" w:color="000000" w:sz="8"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895" w:type="pct"/>
            <w:gridSpan w:val="2"/>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总计</w:t>
            </w:r>
          </w:p>
        </w:tc>
        <w:tc>
          <w:tcPr>
            <w:tcW w:w="266" w:type="pct"/>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64</w:t>
            </w:r>
          </w:p>
        </w:tc>
        <w:tc>
          <w:tcPr>
            <w:tcW w:w="552" w:type="pct"/>
            <w:gridSpan w:val="2"/>
            <w:tcBorders>
              <w:top w:val="nil"/>
              <w:left w:val="nil"/>
              <w:bottom w:val="single" w:color="000000" w:sz="8"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520" w:type="pct"/>
            <w:tcBorders>
              <w:top w:val="nil"/>
              <w:left w:val="nil"/>
              <w:bottom w:val="single" w:color="000000" w:sz="8" w:space="0"/>
              <w:right w:val="single" w:color="000000" w:sz="4" w:space="0"/>
            </w:tcBorders>
            <w:noWrap/>
            <w:vAlign w:val="center"/>
          </w:tcPr>
          <w:p>
            <w:pPr>
              <w:jc w:val="right"/>
              <w:rPr>
                <w:rFonts w:hint="eastAsia" w:ascii="仿宋" w:hAnsi="仿宋" w:eastAsia="仿宋" w:cs="仿宋"/>
                <w:sz w:val="20"/>
                <w:szCs w:val="20"/>
                <w:highlight w:val="none"/>
              </w:rPr>
            </w:pPr>
          </w:p>
          <w:p>
            <w:pPr>
              <w:jc w:val="right"/>
              <w:rPr>
                <w:rFonts w:hint="eastAsia" w:ascii="仿宋" w:hAnsi="仿宋" w:eastAsia="仿宋" w:cs="仿宋"/>
                <w:sz w:val="20"/>
                <w:szCs w:val="20"/>
                <w:highlight w:val="none"/>
              </w:rPr>
            </w:pPr>
            <w:r>
              <w:rPr>
                <w:rFonts w:hint="eastAsia" w:ascii="仿宋" w:hAnsi="仿宋" w:eastAsia="仿宋" w:cs="仿宋"/>
                <w:sz w:val="20"/>
                <w:szCs w:val="20"/>
                <w:highlight w:val="none"/>
              </w:rPr>
              <w:t>33,391.44</w:t>
            </w:r>
          </w:p>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8"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8"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注：本表反映单位本年度一般公共预算财政拨款、政府性基金预算财政拨款和国有资本经营预算财政拨款的总收支和年末结转结余情况。</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spacing w:val="-2"/>
          <w:sz w:val="20"/>
          <w:highlight w:val="none"/>
          <w:lang w:val="en-US" w:eastAsia="zh-CN"/>
        </w:rPr>
      </w:pPr>
    </w:p>
    <w:tbl>
      <w:tblPr>
        <w:tblStyle w:val="11"/>
        <w:tblW w:w="5455"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62"/>
        <w:gridCol w:w="3416"/>
        <w:gridCol w:w="1149"/>
        <w:gridCol w:w="522"/>
        <w:gridCol w:w="544"/>
        <w:gridCol w:w="383"/>
        <w:gridCol w:w="12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7"/>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56" w:type="pct"/>
            <w:gridSpan w:val="3"/>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编制单位：石家庄高新技术产业开发区科学技术局(本级)</w:t>
            </w:r>
          </w:p>
        </w:tc>
        <w:tc>
          <w:tcPr>
            <w:tcW w:w="1551" w:type="pct"/>
            <w:gridSpan w:val="2"/>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591" w:type="pct"/>
            <w:gridSpan w:val="2"/>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144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3552" w:type="pct"/>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科目代码</w:t>
            </w:r>
          </w:p>
        </w:tc>
        <w:tc>
          <w:tcPr>
            <w:tcW w:w="74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科目名称</w:t>
            </w:r>
          </w:p>
        </w:tc>
        <w:tc>
          <w:tcPr>
            <w:tcW w:w="1169"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小计</w:t>
            </w:r>
          </w:p>
        </w:tc>
        <w:tc>
          <w:tcPr>
            <w:tcW w:w="1169"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基本支出</w:t>
            </w:r>
          </w:p>
        </w:tc>
        <w:tc>
          <w:tcPr>
            <w:tcW w:w="121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69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4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213"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4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213"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4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1</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2</w:t>
            </w:r>
          </w:p>
        </w:tc>
        <w:tc>
          <w:tcPr>
            <w:tcW w:w="121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4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613.47</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32,777.97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一般公共服务支出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20113</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商贸事务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2011308</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招商引资</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科学技术支出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33,074.47</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32,527.97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科学技术管理事务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2,298.68</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行政运行</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一般行政管理事务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基础研究</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2060207</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专项技术基础</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技术研究与开发</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13,404.65</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13,404.65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机构运行</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2060404</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科技成果转化与扩散</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2,709.21</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2,709.21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2060405</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共性技术研究与开发</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其他技术研究与开发支出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10,484.44</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10,484.44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20605</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科技条件与服务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2060502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技术创新服务体系</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科技重大项目</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2,226.20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科技重大专项</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700.00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重点研发计划</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1,261.00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1,261.00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其他科技重大项目</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265.20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265.20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其他科学技术支出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13,215.41</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13,215.41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科技奖励</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4,077.00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4,077.00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其他科学技术支出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9,138.41</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9,138.41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社会保障和就业支出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行政事业单位养老支出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行政单位离退休</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9.83</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9.83</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2080505</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机关事业单位基本养老保险缴费支出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17.75</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17.75</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卫生健康支出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21011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行政事业单位医疗</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2101101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行政单位医疗</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住房保障支出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住房改革支出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2210201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住房公积金</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single" w:color="auto" w:sz="4" w:space="0"/>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注：本表反映单位本年度一般公共预算财政拨款支出情况。</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tbl>
      <w:tblPr>
        <w:tblStyle w:val="11"/>
        <w:tblW w:w="7050" w:type="pct"/>
        <w:tblInd w:w="-16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
        <w:gridCol w:w="1814"/>
        <w:gridCol w:w="1020"/>
        <w:gridCol w:w="964"/>
        <w:gridCol w:w="438"/>
        <w:gridCol w:w="1376"/>
        <w:gridCol w:w="587"/>
        <w:gridCol w:w="377"/>
        <w:gridCol w:w="964"/>
        <w:gridCol w:w="1814"/>
        <w:gridCol w:w="1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b w:val="0"/>
                <w:bCs/>
                <w:color w:val="auto"/>
                <w:kern w:val="0"/>
                <w:sz w:val="32"/>
                <w:szCs w:val="32"/>
                <w:highlight w:val="none"/>
                <w:lang w:val="en-US" w:eastAsia="zh-CN"/>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93" w:type="pct"/>
            <w:gridSpan w:val="5"/>
            <w:tcBorders>
              <w:top w:val="nil"/>
              <w:left w:val="nil"/>
              <w:bottom w:val="single" w:color="auto" w:sz="4" w:space="0"/>
              <w:right w:val="nil"/>
            </w:tcBorders>
            <w:noWrap/>
            <w:vAlign w:val="bottom"/>
          </w:tcPr>
          <w:p>
            <w:pP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编制单位：石家庄高新技术产业开发区科学技术局(本级)                                                                    </w:t>
            </w:r>
          </w:p>
        </w:tc>
        <w:tc>
          <w:tcPr>
            <w:tcW w:w="865" w:type="pct"/>
            <w:gridSpan w:val="2"/>
            <w:tcBorders>
              <w:top w:val="nil"/>
              <w:left w:val="nil"/>
              <w:bottom w:val="single" w:color="auto" w:sz="4" w:space="0"/>
              <w:right w:val="nil"/>
            </w:tcBorders>
            <w:noWrap/>
            <w:vAlign w:val="bottom"/>
          </w:tcPr>
          <w:p>
            <w:pPr>
              <w:jc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2023年度</w:t>
            </w:r>
          </w:p>
        </w:tc>
        <w:tc>
          <w:tcPr>
            <w:tcW w:w="1841" w:type="pct"/>
            <w:gridSpan w:val="4"/>
            <w:tcBorders>
              <w:top w:val="nil"/>
              <w:left w:val="nil"/>
              <w:bottom w:val="single" w:color="auto" w:sz="4" w:space="0"/>
              <w:right w:val="nil"/>
            </w:tcBorders>
            <w:noWrap/>
            <w:vAlign w:val="bottom"/>
          </w:tcPr>
          <w:p>
            <w:pPr>
              <w:jc w:val="right"/>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74" w:type="pct"/>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人员经费</w:t>
            </w:r>
          </w:p>
        </w:tc>
        <w:tc>
          <w:tcPr>
            <w:tcW w:w="3325" w:type="pct"/>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lang w:val="en-US"/>
              </w:rPr>
            </w:pPr>
            <w:r>
              <w:rPr>
                <w:rFonts w:hint="eastAsia" w:ascii="仿宋" w:hAnsi="仿宋" w:eastAsia="仿宋" w:cs="仿宋"/>
                <w:i w:val="0"/>
                <w:iCs w:val="0"/>
                <w:color w:val="000000"/>
                <w:kern w:val="0"/>
                <w:sz w:val="18"/>
                <w:szCs w:val="18"/>
                <w:highlight w:val="none"/>
                <w:u w:val="none"/>
                <w:lang w:val="en-US" w:eastAsia="zh-CN" w:bidi="ar"/>
              </w:rPr>
              <w:t>科目代码</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科目名称</w:t>
            </w:r>
          </w:p>
        </w:tc>
        <w:tc>
          <w:tcPr>
            <w:tcW w:w="44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金额</w:t>
            </w:r>
          </w:p>
        </w:tc>
        <w:tc>
          <w:tcPr>
            <w:tcW w:w="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lang w:val="en-US" w:eastAsia="zh-CN"/>
              </w:rPr>
            </w:pPr>
            <w:r>
              <w:rPr>
                <w:rFonts w:hint="eastAsia" w:ascii="仿宋" w:hAnsi="仿宋" w:eastAsia="仿宋" w:cs="仿宋"/>
                <w:i w:val="0"/>
                <w:iCs w:val="0"/>
                <w:color w:val="000000"/>
                <w:sz w:val="18"/>
                <w:szCs w:val="18"/>
                <w:highlight w:val="none"/>
                <w:u w:val="none"/>
                <w:lang w:val="en-US" w:eastAsia="zh-CN"/>
              </w:rPr>
              <w:t>科目代码</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科目名称</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金额</w:t>
            </w:r>
          </w:p>
        </w:tc>
        <w:tc>
          <w:tcPr>
            <w:tcW w:w="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lang w:val="en-US" w:eastAsia="zh-CN"/>
              </w:rPr>
            </w:pPr>
            <w:r>
              <w:rPr>
                <w:rFonts w:hint="eastAsia" w:ascii="仿宋" w:hAnsi="仿宋" w:eastAsia="仿宋" w:cs="仿宋"/>
                <w:i w:val="0"/>
                <w:iCs w:val="0"/>
                <w:color w:val="000000"/>
                <w:sz w:val="18"/>
                <w:szCs w:val="18"/>
                <w:highlight w:val="none"/>
                <w:u w:val="none"/>
                <w:lang w:val="en-US" w:eastAsia="zh-CN"/>
              </w:rPr>
              <w:t>科目代码</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科目名称</w:t>
            </w:r>
          </w:p>
        </w:tc>
        <w:tc>
          <w:tcPr>
            <w:tcW w:w="44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工资福利支出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153.07</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商品和服务支出</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147.52</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债务利息及费用支出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基本工资</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80.83</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30201</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办公费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r>
              <w:rPr>
                <w:rFonts w:hint="eastAsia" w:ascii="仿宋" w:hAnsi="仿宋" w:eastAsia="仿宋" w:cs="仿宋"/>
                <w:sz w:val="18"/>
                <w:szCs w:val="18"/>
                <w:highlight w:val="none"/>
                <w:lang w:eastAsia="zh-CN"/>
              </w:rPr>
              <w:t>5.60</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30701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国内债务付息</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津贴补贴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6.05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30202</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印刷费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30702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国外债务付息</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奖金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2.24</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30203</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咨询费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资本性支出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30106</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伙食补助费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30204</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手续费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房屋建筑物购建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绩效工资</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6.41</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30205</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水费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办公设备购置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机关事业单位基本养老保险缴费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r>
              <w:rPr>
                <w:rFonts w:hint="eastAsia" w:ascii="仿宋" w:hAnsi="仿宋" w:eastAsia="仿宋" w:cs="仿宋"/>
                <w:sz w:val="18"/>
                <w:szCs w:val="18"/>
                <w:highlight w:val="none"/>
                <w:lang w:eastAsia="zh-CN"/>
              </w:rPr>
              <w:t>17.75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30206</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电费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专用设备购置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职业年金缴费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30207</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邮电费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r>
              <w:rPr>
                <w:rFonts w:hint="eastAsia" w:ascii="仿宋" w:hAnsi="仿宋" w:eastAsia="仿宋" w:cs="仿宋"/>
                <w:sz w:val="18"/>
                <w:szCs w:val="18"/>
                <w:highlight w:val="none"/>
                <w:lang w:eastAsia="zh-CN"/>
              </w:rPr>
              <w:t>4.53</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31005</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基础设施建设</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职工基本医疗保险缴费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11.72</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30208</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取暖费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31006</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大型修缮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公务员医疗补助缴费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物业管理费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信息网络及软件购置更新</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其他社会保障缴费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0.40</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30211</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差旅费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物资储备</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住房公积金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27.67</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30212</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因公出国（境）费用</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土地补偿</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30114</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医疗费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30213</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维修（护）费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安置补助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其他工资福利支出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30214</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租赁费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地上附着物和青苗补偿</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对个人和家庭的补助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312.88</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30215</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会议费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拆迁补偿</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离休费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30216</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培训费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退休费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9.83</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30217</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公务接待费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其他交通工具购置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退职（役）费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30218</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专用材料费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31021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文物和陈列品购置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30304</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抚恤金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30224</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被装购置费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31022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无形资产购置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30305</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生活补助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30225</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专用燃料费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其他资本性支出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30306</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救济费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30226</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劳务费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129.99</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对企业补助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医疗费补助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30227</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委托业务费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资本金注入</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助学金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30228</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工会经费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0.94</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政府投资基金股权投资</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奖励金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福利费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0.35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31204</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费用补贴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个人农业生产补贴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30231</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公务用车运行维护费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31205</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利息补贴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30311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代缴社会保险费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30239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其他交通费用</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5.91</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其他对企业补助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其他对个人和家庭的补助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303.05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30240</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税金及附加费用</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30299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其他商品和服务支出</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0.20</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国家赔偿费用支出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对民间非营利组织和群众性自治组织补贴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经常性赠与</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资本性赠与</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5" w:type="pct"/>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人员经费合计</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rPr>
            </w:pPr>
            <w:r>
              <w:rPr>
                <w:rFonts w:hint="eastAsia" w:ascii="仿宋" w:hAnsi="仿宋" w:eastAsia="仿宋" w:cs="仿宋"/>
                <w:sz w:val="18"/>
                <w:szCs w:val="18"/>
                <w:highlight w:val="none"/>
              </w:rPr>
              <w:t>465.95</w:t>
            </w:r>
          </w:p>
        </w:tc>
        <w:tc>
          <w:tcPr>
            <w:tcW w:w="2875" w:type="pct"/>
            <w:gridSpan w:val="7"/>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公用经费合计</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147.52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000" w:type="pct"/>
            <w:gridSpan w:val="11"/>
            <w:tcBorders>
              <w:top w:val="single" w:color="auto" w:sz="4" w:space="0"/>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注：本表反映单位本年度一般公共预算财政拨款基本支出明细情况。</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color w:val="auto"/>
          <w:kern w:val="0"/>
          <w:sz w:val="32"/>
          <w:szCs w:val="32"/>
          <w:highlight w:val="none"/>
        </w:rPr>
      </w:pP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编制单位：石家庄高新技术产业开发区科学技术局(本级)                                                                                      </w:t>
            </w:r>
          </w:p>
        </w:tc>
        <w:tc>
          <w:tcPr>
            <w:tcW w:w="1217" w:type="pct"/>
            <w:gridSpan w:val="3"/>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854" w:type="pct"/>
            <w:gridSpan w:val="3"/>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623"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年初结转和结余</w:t>
            </w:r>
          </w:p>
        </w:tc>
        <w:tc>
          <w:tcPr>
            <w:tcW w:w="489"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本年收入</w:t>
            </w:r>
          </w:p>
        </w:tc>
        <w:tc>
          <w:tcPr>
            <w:tcW w:w="1609" w:type="pct"/>
            <w:gridSpan w:val="4"/>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本年支出</w:t>
            </w:r>
          </w:p>
        </w:tc>
        <w:tc>
          <w:tcPr>
            <w:tcW w:w="973" w:type="pct"/>
            <w:vMerge w:val="restart"/>
            <w:tcBorders>
              <w:top w:val="single" w:color="auto" w:sz="4" w:space="0"/>
              <w:left w:val="nil"/>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科目代码</w:t>
            </w:r>
          </w:p>
        </w:tc>
        <w:tc>
          <w:tcPr>
            <w:tcW w:w="703"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科目名称</w:t>
            </w:r>
          </w:p>
        </w:tc>
        <w:tc>
          <w:tcPr>
            <w:tcW w:w="62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48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28"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小计</w:t>
            </w:r>
          </w:p>
        </w:tc>
        <w:tc>
          <w:tcPr>
            <w:tcW w:w="534" w:type="pct"/>
            <w:gridSpan w:val="2"/>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基本支出</w:t>
            </w:r>
          </w:p>
        </w:tc>
        <w:tc>
          <w:tcPr>
            <w:tcW w:w="54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项目支出</w:t>
            </w:r>
          </w:p>
        </w:tc>
        <w:tc>
          <w:tcPr>
            <w:tcW w:w="973" w:type="pct"/>
            <w:vMerge w:val="continue"/>
            <w:tcBorders>
              <w:left w:val="nil"/>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结转</w:t>
            </w:r>
          </w:p>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03"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2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48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28"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34" w:type="pct"/>
            <w:gridSpan w:val="2"/>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46"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73" w:type="pct"/>
            <w:vMerge w:val="continue"/>
            <w:tcBorders>
              <w:left w:val="nil"/>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nil"/>
              <w:left w:val="single" w:color="000000" w:sz="4" w:space="0"/>
              <w:bottom w:val="single" w:color="auto"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03" w:type="pct"/>
            <w:vMerge w:val="continue"/>
            <w:tcBorders>
              <w:top w:val="nil"/>
              <w:left w:val="nil"/>
              <w:bottom w:val="single" w:color="auto"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2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48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28"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34" w:type="pct"/>
            <w:gridSpan w:val="2"/>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46"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73" w:type="pct"/>
            <w:vMerge w:val="continue"/>
            <w:tcBorders>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623" w:type="pct"/>
            <w:tcBorders>
              <w:top w:val="nil"/>
              <w:left w:val="single" w:color="auto"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48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52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534"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54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9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tc>
        <w:tc>
          <w:tcPr>
            <w:tcW w:w="623" w:type="pct"/>
            <w:tcBorders>
              <w:top w:val="nil"/>
              <w:left w:val="single" w:color="auto"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48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8"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34"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4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97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注：本表反映单位本年度政府性基金预算财政拨款收入、支出及结转和结余情况。按要求以空表列示。</w:t>
            </w:r>
            <w:r>
              <w:rPr>
                <w:rFonts w:hint="eastAsia" w:ascii="仿宋" w:hAnsi="仿宋" w:eastAsia="仿宋" w:cs="仿宋"/>
                <w:i w:val="0"/>
                <w:iCs w:val="0"/>
                <w:color w:val="000000"/>
                <w:kern w:val="0"/>
                <w:sz w:val="20"/>
                <w:szCs w:val="20"/>
                <w:highlight w:val="none"/>
                <w:u w:val="none"/>
                <w:lang w:val="en-US" w:eastAsia="zh-CN" w:bidi="ar"/>
              </w:rPr>
              <w:br w:type="page"/>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widowControl/>
        <w:suppressLineNumbers w:val="0"/>
        <w:jc w:val="center"/>
        <w:textAlignment w:val="bottom"/>
        <w:rPr>
          <w:rFonts w:hint="eastAsia" w:ascii="仿宋" w:hAnsi="仿宋" w:eastAsia="仿宋" w:cs="仿宋"/>
          <w:spacing w:val="-2"/>
          <w:sz w:val="20"/>
          <w:highlight w:val="none"/>
          <w:lang w:val="en-US" w:eastAsia="zh-CN"/>
        </w:rPr>
      </w:pP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17"/>
        <w:gridCol w:w="731"/>
        <w:gridCol w:w="1296"/>
        <w:gridCol w:w="1332"/>
        <w:gridCol w:w="5"/>
        <w:gridCol w:w="47"/>
        <w:gridCol w:w="1281"/>
        <w:gridCol w:w="10"/>
        <w:gridCol w:w="1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8" w:type="pct"/>
            <w:gridSpan w:val="2"/>
            <w:tcBorders>
              <w:top w:val="nil"/>
              <w:left w:val="nil"/>
              <w:bottom w:val="single" w:color="auto" w:sz="4" w:space="0"/>
              <w:right w:val="nil"/>
            </w:tcBorders>
            <w:noWrap/>
            <w:vAlign w:val="bottom"/>
          </w:tcPr>
          <w:p>
            <w:pPr>
              <w:keepNext w:val="0"/>
              <w:keepLines w:val="0"/>
              <w:widowControl/>
              <w:suppressLineNumbers w:val="0"/>
              <w:jc w:val="both"/>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编制单位：石家庄高新技术产业开发区科学技术局(本级)</w:t>
            </w:r>
          </w:p>
        </w:tc>
        <w:tc>
          <w:tcPr>
            <w:tcW w:w="1666" w:type="pct"/>
            <w:gridSpan w:val="4"/>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624" w:type="pct"/>
            <w:gridSpan w:val="3"/>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515" w:type="pct"/>
            <w:gridSpan w:val="3"/>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kern w:val="0"/>
                <w:sz w:val="20"/>
                <w:szCs w:val="20"/>
                <w:highlight w:val="none"/>
                <w:u w:val="none"/>
                <w:lang w:val="en-US" w:eastAsia="zh-CN" w:bidi="ar"/>
              </w:rPr>
              <w:t xml:space="preserve"> 项目</w:t>
            </w:r>
          </w:p>
        </w:tc>
        <w:tc>
          <w:tcPr>
            <w:tcW w:w="2484" w:type="pct"/>
            <w:gridSpan w:val="6"/>
            <w:vMerge w:val="restart"/>
            <w:tcBorders>
              <w:top w:val="single" w:color="auto"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515" w:type="pct"/>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2484" w:type="pct"/>
            <w:gridSpan w:val="6"/>
            <w:vMerge w:val="continue"/>
            <w:tcBorders>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54" w:type="pct"/>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科目代码</w:t>
            </w:r>
          </w:p>
        </w:tc>
        <w:tc>
          <w:tcPr>
            <w:tcW w:w="1260"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科目名称</w:t>
            </w:r>
          </w:p>
        </w:tc>
        <w:tc>
          <w:tcPr>
            <w:tcW w:w="831" w:type="pct"/>
            <w:gridSpan w:val="2"/>
            <w:vMerge w:val="restart"/>
            <w:tcBorders>
              <w:top w:val="nil"/>
              <w:left w:val="single" w:color="auto"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合计</w:t>
            </w:r>
          </w:p>
        </w:tc>
        <w:tc>
          <w:tcPr>
            <w:tcW w:w="831" w:type="pct"/>
            <w:gridSpan w:val="3"/>
            <w:vMerge w:val="restart"/>
            <w:tcBorders>
              <w:top w:val="nil"/>
              <w:left w:val="nil"/>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基本支出</w:t>
            </w:r>
          </w:p>
        </w:tc>
        <w:tc>
          <w:tcPr>
            <w:tcW w:w="821" w:type="pct"/>
            <w:vMerge w:val="restart"/>
            <w:tcBorders>
              <w:top w:val="nil"/>
              <w:left w:val="nil"/>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54" w:type="pct"/>
            <w:vMerge w:val="continue"/>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260" w:type="pct"/>
            <w:gridSpan w:val="2"/>
            <w:vMerge w:val="continue"/>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831" w:type="pct"/>
            <w:gridSpan w:val="2"/>
            <w:vMerge w:val="continue"/>
            <w:tcBorders>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831" w:type="pct"/>
            <w:gridSpan w:val="3"/>
            <w:vMerge w:val="continue"/>
            <w:tcBorders>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821" w:type="pct"/>
            <w:vMerge w:val="continue"/>
            <w:tcBorders>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15" w:type="pct"/>
            <w:gridSpan w:val="3"/>
            <w:tcBorders>
              <w:top w:val="single" w:color="auto" w:sz="4" w:space="0"/>
              <w:left w:val="single" w:color="auto" w:sz="4" w:space="0"/>
              <w:bottom w:val="single" w:color="000000"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栏次</w:t>
            </w:r>
          </w:p>
        </w:tc>
        <w:tc>
          <w:tcPr>
            <w:tcW w:w="828" w:type="pct"/>
            <w:tcBorders>
              <w:top w:val="nil"/>
              <w:left w:val="single" w:color="auto"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1</w:t>
            </w:r>
          </w:p>
        </w:tc>
        <w:tc>
          <w:tcPr>
            <w:tcW w:w="828" w:type="pct"/>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2</w:t>
            </w:r>
          </w:p>
        </w:tc>
        <w:tc>
          <w:tcPr>
            <w:tcW w:w="828"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15" w:type="pct"/>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合计</w:t>
            </w:r>
          </w:p>
        </w:tc>
        <w:tc>
          <w:tcPr>
            <w:tcW w:w="828" w:type="pct"/>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28" w:type="pct"/>
            <w:gridSpan w:val="3"/>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28" w:type="pct"/>
            <w:gridSpan w:val="2"/>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注：本表反映单位本年度国有资本经营预算财政拨款支出情况。按要求以空表列示。</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b w:val="0"/>
                <w:bCs/>
                <w:color w:val="auto"/>
                <w:kern w:val="0"/>
                <w:sz w:val="32"/>
                <w:szCs w:val="32"/>
                <w:highlight w:val="none"/>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编制单位：石家庄高新技术产业开发区科学技术局(本级)</w:t>
            </w:r>
          </w:p>
        </w:tc>
        <w:tc>
          <w:tcPr>
            <w:tcW w:w="933" w:type="pct"/>
            <w:gridSpan w:val="3"/>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2023年度</w:t>
            </w:r>
          </w:p>
        </w:tc>
        <w:tc>
          <w:tcPr>
            <w:tcW w:w="2129" w:type="pct"/>
            <w:gridSpan w:val="6"/>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预算数</w:t>
            </w:r>
          </w:p>
        </w:tc>
        <w:tc>
          <w:tcPr>
            <w:tcW w:w="2493" w:type="pct"/>
            <w:gridSpan w:val="7"/>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合计</w:t>
            </w:r>
          </w:p>
        </w:tc>
        <w:tc>
          <w:tcPr>
            <w:tcW w:w="528"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因公出国（境）费</w:t>
            </w:r>
          </w:p>
        </w:tc>
        <w:tc>
          <w:tcPr>
            <w:tcW w:w="1217" w:type="pct"/>
            <w:gridSpan w:val="4"/>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公务用车购置及运行维护费</w:t>
            </w:r>
          </w:p>
        </w:tc>
        <w:tc>
          <w:tcPr>
            <w:tcW w:w="335"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公务接待费</w:t>
            </w:r>
          </w:p>
        </w:tc>
        <w:tc>
          <w:tcPr>
            <w:tcW w:w="366" w:type="pct"/>
            <w:gridSpan w:val="2"/>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合计</w:t>
            </w:r>
          </w:p>
        </w:tc>
        <w:tc>
          <w:tcPr>
            <w:tcW w:w="488"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因公出国（境）费</w:t>
            </w:r>
          </w:p>
        </w:tc>
        <w:tc>
          <w:tcPr>
            <w:tcW w:w="1126" w:type="pct"/>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公务用车购置及运行维护费</w:t>
            </w:r>
          </w:p>
        </w:tc>
        <w:tc>
          <w:tcPr>
            <w:tcW w:w="511"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528"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35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小计</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公务用车购置费</w:t>
            </w:r>
          </w:p>
        </w:tc>
        <w:tc>
          <w:tcPr>
            <w:tcW w:w="458"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公务用车运行维护费</w:t>
            </w:r>
          </w:p>
        </w:tc>
        <w:tc>
          <w:tcPr>
            <w:tcW w:w="335"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366" w:type="pct"/>
            <w:gridSpan w:val="2"/>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488"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27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小计</w:t>
            </w:r>
          </w:p>
        </w:tc>
        <w:tc>
          <w:tcPr>
            <w:tcW w:w="44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公务用车购置费</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公务用车运行维护费</w:t>
            </w:r>
          </w:p>
        </w:tc>
        <w:tc>
          <w:tcPr>
            <w:tcW w:w="511"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52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2</w:t>
            </w:r>
          </w:p>
        </w:tc>
        <w:tc>
          <w:tcPr>
            <w:tcW w:w="35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4</w:t>
            </w:r>
          </w:p>
        </w:tc>
        <w:tc>
          <w:tcPr>
            <w:tcW w:w="458"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5</w:t>
            </w:r>
          </w:p>
        </w:tc>
        <w:tc>
          <w:tcPr>
            <w:tcW w:w="33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6</w:t>
            </w:r>
          </w:p>
        </w:tc>
        <w:tc>
          <w:tcPr>
            <w:tcW w:w="366"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7</w:t>
            </w:r>
          </w:p>
        </w:tc>
        <w:tc>
          <w:tcPr>
            <w:tcW w:w="48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8</w:t>
            </w:r>
          </w:p>
        </w:tc>
        <w:tc>
          <w:tcPr>
            <w:tcW w:w="27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9</w:t>
            </w:r>
          </w:p>
        </w:tc>
        <w:tc>
          <w:tcPr>
            <w:tcW w:w="44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10</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11</w:t>
            </w:r>
          </w:p>
        </w:tc>
        <w:tc>
          <w:tcPr>
            <w:tcW w:w="511"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nil"/>
              <w:left w:val="single" w:color="000000"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sz w:val="18"/>
                <w:szCs w:val="18"/>
                <w:highlight w:val="none"/>
                <w:u w:val="none"/>
              </w:rPr>
              <w:t>2.00</w:t>
            </w:r>
          </w:p>
        </w:tc>
        <w:tc>
          <w:tcPr>
            <w:tcW w:w="528"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35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07"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58"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33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sz w:val="18"/>
                <w:szCs w:val="18"/>
                <w:highlight w:val="none"/>
                <w:u w:val="none"/>
              </w:rPr>
              <w:t>2.00</w:t>
            </w:r>
          </w:p>
        </w:tc>
        <w:tc>
          <w:tcPr>
            <w:tcW w:w="36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88"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27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4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07"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511"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注：本表反映单位本年度财政拨款“三公”经费支出预决算情况。其中：预算数为“三公”经费全年预算数，反映按规定程序调整后的预算数；决算数是包括当年财政拨款和以前年度结转资金安排的实际支出。</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color w:val="auto"/>
          <w:kern w:val="0"/>
          <w:sz w:val="32"/>
          <w:szCs w:val="32"/>
          <w:highlight w:val="none"/>
        </w:rPr>
        <w:sectPr>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highlight w:val="none"/>
        </w:rPr>
      </w:pPr>
      <w:r>
        <w:rPr>
          <w:rFonts w:hint="eastAsia" w:ascii="仿宋" w:hAnsi="仿宋" w:eastAsia="仿宋" w:cs="仿宋"/>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highlight w:val="none"/>
        </w:rPr>
      </w:pPr>
      <w:r>
        <w:rPr>
          <w:rFonts w:hint="eastAsia" w:ascii="仿宋" w:hAnsi="仿宋" w:eastAsia="仿宋" w:cs="仿宋"/>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highlight w:val="none"/>
        </w:rPr>
      </w:pPr>
      <w:r>
        <w:rPr>
          <w:rFonts w:hint="eastAsia" w:ascii="仿宋" w:hAnsi="仿宋" w:eastAsia="仿宋" w:cs="仿宋"/>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highlight w:val="none"/>
        </w:rPr>
      </w:pPr>
      <w:r>
        <w:rPr>
          <w:rFonts w:hint="eastAsia" w:ascii="仿宋" w:hAnsi="仿宋" w:eastAsia="仿宋" w:cs="仿宋"/>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eastAsia" w:ascii="仿宋" w:hAnsi="仿宋" w:eastAsia="仿宋" w:cs="仿宋"/>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outlineLvl w:val="0"/>
        <w:rPr>
          <w:rFonts w:hint="default" w:ascii="Arial" w:hAnsi="Arial" w:eastAsia="Arial" w:cs="Arial"/>
          <w:highlight w:val="none"/>
        </w:rPr>
      </w:pPr>
      <w:r>
        <w:rPr>
          <w:rFonts w:hint="eastAsia" w:ascii="黑体" w:hAnsi="宋体" w:eastAsia="黑体" w:cs="黑体"/>
          <w:i w:val="0"/>
          <w:iCs w:val="0"/>
          <w:caps w:val="0"/>
          <w:color w:val="000000"/>
          <w:spacing w:val="0"/>
          <w:sz w:val="72"/>
          <w:szCs w:val="72"/>
          <w:highlight w:val="none"/>
          <w:shd w:val="clear" w:fill="FFFFFF"/>
        </w:rPr>
        <w:t>第三部分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spacing w:val="-20"/>
          <w:highlight w:val="none"/>
        </w:rPr>
      </w:pPr>
      <w:r>
        <w:rPr>
          <w:rFonts w:hint="eastAsia" w:ascii="黑体" w:hAnsi="宋体" w:eastAsia="黑体" w:cs="黑体"/>
          <w:i w:val="0"/>
          <w:iCs w:val="0"/>
          <w:caps w:val="0"/>
          <w:color w:val="000000"/>
          <w:spacing w:val="-20"/>
          <w:sz w:val="72"/>
          <w:szCs w:val="72"/>
          <w:highlight w:val="none"/>
          <w:shd w:val="clear" w:fill="FFFFFF"/>
        </w:rPr>
        <w:t>202</w:t>
      </w:r>
      <w:r>
        <w:rPr>
          <w:rFonts w:hint="eastAsia" w:ascii="黑体" w:hAnsi="宋体" w:eastAsia="黑体" w:cs="黑体"/>
          <w:i w:val="0"/>
          <w:iCs w:val="0"/>
          <w:caps w:val="0"/>
          <w:color w:val="000000"/>
          <w:spacing w:val="-20"/>
          <w:sz w:val="72"/>
          <w:szCs w:val="72"/>
          <w:highlight w:val="none"/>
          <w:shd w:val="clear" w:fill="FFFFFF"/>
          <w:lang w:val="en-US" w:eastAsia="zh-CN"/>
        </w:rPr>
        <w:t>3</w:t>
      </w:r>
      <w:r>
        <w:rPr>
          <w:rFonts w:hint="eastAsia" w:ascii="黑体" w:hAnsi="宋体" w:eastAsia="黑体" w:cs="黑体"/>
          <w:i w:val="0"/>
          <w:iCs w:val="0"/>
          <w:caps w:val="0"/>
          <w:color w:val="000000"/>
          <w:spacing w:val="-20"/>
          <w:sz w:val="72"/>
          <w:szCs w:val="72"/>
          <w:highlight w:val="none"/>
          <w:shd w:val="clear" w:fill="FFFFFF"/>
        </w:rPr>
        <w:t>年</w:t>
      </w:r>
      <w:r>
        <w:rPr>
          <w:rFonts w:hint="eastAsia" w:ascii="黑体" w:hAnsi="宋体" w:eastAsia="黑体" w:cs="黑体"/>
          <w:i w:val="0"/>
          <w:iCs w:val="0"/>
          <w:caps w:val="0"/>
          <w:color w:val="000000"/>
          <w:spacing w:val="-20"/>
          <w:sz w:val="72"/>
          <w:szCs w:val="72"/>
          <w:highlight w:val="none"/>
          <w:shd w:val="clear" w:fill="FFFFFF"/>
          <w:lang w:val="en-US" w:eastAsia="zh-CN"/>
        </w:rPr>
        <w:t>度单位</w:t>
      </w:r>
      <w:r>
        <w:rPr>
          <w:rFonts w:hint="eastAsia" w:ascii="黑体" w:hAnsi="宋体" w:eastAsia="黑体" w:cs="黑体"/>
          <w:i w:val="0"/>
          <w:iCs w:val="0"/>
          <w:caps w:val="0"/>
          <w:color w:val="000000"/>
          <w:spacing w:val="-20"/>
          <w:sz w:val="72"/>
          <w:szCs w:val="72"/>
          <w:highlight w:val="none"/>
          <w:shd w:val="clear" w:fill="FFFFFF"/>
        </w:rPr>
        <w:t>决算情况说明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i w:val="0"/>
          <w:iCs w:val="0"/>
          <w:caps w:val="0"/>
          <w:color w:val="000000"/>
          <w:spacing w:val="0"/>
          <w:sz w:val="18"/>
          <w:szCs w:val="18"/>
          <w:highlight w:val="none"/>
          <w:shd w:val="clear" w:fill="FFFFFF"/>
        </w:rPr>
      </w:pPr>
      <w:r>
        <w:rPr>
          <w:rFonts w:hint="default" w:ascii="Arial" w:hAnsi="Arial" w:eastAsia="Arial" w:cs="Arial"/>
          <w:i w:val="0"/>
          <w:iCs w:val="0"/>
          <w:caps w:val="0"/>
          <w:color w:val="000000"/>
          <w:spacing w:val="0"/>
          <w:sz w:val="18"/>
          <w:szCs w:val="18"/>
          <w:highlight w:val="none"/>
          <w:shd w:val="clear" w:fill="FFFFFF"/>
        </w:rPr>
        <w:t> </w:t>
      </w:r>
    </w:p>
    <w:p>
      <w:pPr>
        <w:rPr>
          <w:rFonts w:hint="default" w:ascii="Arial" w:hAnsi="Arial" w:eastAsia="Arial" w:cs="Arial"/>
          <w:i w:val="0"/>
          <w:iCs w:val="0"/>
          <w:caps w:val="0"/>
          <w:color w:val="000000"/>
          <w:spacing w:val="0"/>
          <w:sz w:val="18"/>
          <w:szCs w:val="18"/>
          <w:highlight w:val="none"/>
          <w:shd w:val="clear" w:fill="FFFFFF"/>
        </w:rPr>
      </w:pPr>
      <w:r>
        <w:rPr>
          <w:rFonts w:hint="default" w:ascii="Arial" w:hAnsi="Arial" w:eastAsia="Arial" w:cs="Arial"/>
          <w:i w:val="0"/>
          <w:iCs w:val="0"/>
          <w:caps w:val="0"/>
          <w:color w:val="000000"/>
          <w:spacing w:val="0"/>
          <w:sz w:val="18"/>
          <w:szCs w:val="18"/>
          <w:highlight w:val="none"/>
          <w:shd w:val="clear" w:fill="FFFFFF"/>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i w:val="0"/>
          <w:iCs w:val="0"/>
          <w:caps w:val="0"/>
          <w:color w:val="000000"/>
          <w:spacing w:val="0"/>
          <w:sz w:val="18"/>
          <w:szCs w:val="18"/>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黑体" w:hAnsi="Calibri" w:eastAsia="黑体" w:cs="Times New Roman"/>
          <w:kern w:val="2"/>
          <w:sz w:val="32"/>
          <w:szCs w:val="32"/>
          <w:lang w:val="en-US" w:eastAsia="zh-CN" w:bidi="ar-SA"/>
        </w:rPr>
      </w:pPr>
      <w:r>
        <w:rPr>
          <w:rFonts w:hint="eastAsia" w:ascii="黑体" w:hAnsi="Calibri" w:eastAsia="黑体" w:cs="Times New Roman"/>
          <w:kern w:val="2"/>
          <w:sz w:val="32"/>
          <w:szCs w:val="32"/>
          <w:lang w:val="en-US" w:eastAsia="zh-CN" w:bidi="ar-SA"/>
        </w:rPr>
        <w:t>一、收入支出决算总体情况说明</w:t>
      </w:r>
    </w:p>
    <w:p>
      <w:pPr>
        <w:autoSpaceDE w:val="0"/>
        <w:autoSpaceDN w:val="0"/>
        <w:adjustRightInd w:val="0"/>
        <w:spacing w:line="580" w:lineRule="exact"/>
        <w:ind w:firstLine="640" w:firstLineChars="20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eastAsia="zh-CN"/>
        </w:rPr>
        <w:t>本单位</w:t>
      </w:r>
      <w:r>
        <w:rPr>
          <w:rFonts w:hint="eastAsia" w:ascii="仿宋" w:hAnsi="仿宋" w:eastAsia="仿宋" w:cs="仿宋"/>
          <w:kern w:val="2"/>
          <w:sz w:val="32"/>
          <w:szCs w:val="32"/>
          <w:lang w:val="zh-CN"/>
        </w:rPr>
        <w:t>2023年度收、</w:t>
      </w:r>
      <w:r>
        <w:rPr>
          <w:rFonts w:hint="eastAsia" w:ascii="仿宋" w:hAnsi="仿宋" w:eastAsia="仿宋" w:cs="仿宋"/>
          <w:kern w:val="2"/>
          <w:sz w:val="32"/>
          <w:szCs w:val="32"/>
          <w:lang w:val="en-US" w:eastAsia="zh-CN"/>
        </w:rPr>
        <w:t>支</w:t>
      </w:r>
      <w:r>
        <w:rPr>
          <w:rFonts w:hint="eastAsia" w:ascii="仿宋" w:hAnsi="仿宋" w:eastAsia="仿宋" w:cs="仿宋"/>
          <w:kern w:val="2"/>
          <w:sz w:val="32"/>
          <w:szCs w:val="32"/>
          <w:lang w:val="zh-CN"/>
        </w:rPr>
        <w:t>总计(含结转和结余)</w:t>
      </w:r>
      <w:r>
        <w:rPr>
          <w:rFonts w:hint="eastAsia" w:ascii="仿宋" w:hAnsi="仿宋" w:eastAsia="仿宋" w:cs="仿宋"/>
          <w:kern w:val="2"/>
          <w:sz w:val="32"/>
          <w:szCs w:val="32"/>
          <w:lang w:val="zh-CN" w:eastAsia="zh-CN"/>
        </w:rPr>
        <w:t>33,391.44</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rPr>
        <w:t>元，与2022年度决算相比</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t>收支各</w:t>
      </w:r>
      <w:r>
        <w:rPr>
          <w:rFonts w:hint="eastAsia" w:ascii="仿宋" w:hAnsi="仿宋" w:eastAsia="仿宋" w:cs="仿宋"/>
          <w:sz w:val="30"/>
          <w:szCs w:val="30"/>
          <w:highlight w:val="none"/>
          <w:lang w:val="zh-CN"/>
        </w:rPr>
        <w:t>增加10,767.92万元</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val="zh-CN"/>
        </w:rPr>
        <w:t>增长47.6%，</w:t>
      </w:r>
      <w:r>
        <w:rPr>
          <w:rFonts w:hint="eastAsia" w:ascii="仿宋" w:hAnsi="仿宋" w:eastAsia="仿宋" w:cs="仿宋"/>
          <w:kern w:val="2"/>
          <w:sz w:val="32"/>
          <w:szCs w:val="32"/>
        </w:rPr>
        <w:t>主要是</w:t>
      </w:r>
      <w:r>
        <w:rPr>
          <w:rFonts w:hint="eastAsia" w:ascii="仿宋" w:hAnsi="仿宋" w:eastAsia="仿宋" w:cs="仿宋"/>
          <w:kern w:val="2"/>
          <w:sz w:val="32"/>
          <w:szCs w:val="32"/>
          <w:lang w:val="en-US" w:eastAsia="zh-CN"/>
        </w:rPr>
        <w:t>2023年上级资金增多</w:t>
      </w:r>
      <w:r>
        <w:rPr>
          <w:rFonts w:hint="eastAsia" w:ascii="仿宋" w:hAnsi="仿宋" w:eastAsia="仿宋" w:cs="仿宋"/>
          <w:kern w:val="2"/>
          <w:sz w:val="32"/>
          <w:szCs w:val="32"/>
          <w:lang w:val="en-US" w:eastAsia="zh-CN" w:bidi="ar-SA"/>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 w:hAnsi="仿宋" w:eastAsia="仿宋" w:cs="仿宋"/>
          <w:kern w:val="2"/>
          <w:sz w:val="32"/>
          <w:szCs w:val="32"/>
          <w:highlight w:val="yellow"/>
          <w:lang w:val="en-US" w:eastAsia="zh-CN" w:bidi="ar-SA"/>
        </w:rPr>
      </w:pPr>
      <w:r>
        <w:rPr>
          <w:rFonts w:hint="eastAsia" w:ascii="仿宋" w:hAnsi="仿宋" w:eastAsia="仿宋" w:cs="仿宋"/>
          <w:lang w:val="en-US" w:eastAsia="zh-CN"/>
        </w:rPr>
        <w:t xml:space="preserve">      </w:t>
      </w:r>
      <w:r>
        <w:rPr>
          <w:rFonts w:hint="eastAsia" w:ascii="仿宋" w:hAnsi="仿宋" w:eastAsia="仿宋" w:cs="仿宋"/>
        </w:rPr>
        <w:drawing>
          <wp:inline distT="0" distB="0" distL="114300" distR="114300">
            <wp:extent cx="4352290" cy="2312035"/>
            <wp:effectExtent l="4445" t="4445" r="17145" b="15240"/>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adjustRightInd w:val="0"/>
        <w:snapToGrid w:val="0"/>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图1：2022-2023年收支总计对比情况   单位：万元</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default" w:ascii="Times New Roman" w:hAnsi="Times New Roman" w:eastAsia="Arial" w:cs="Times New Roman"/>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二、收入决算情况说明</w:t>
      </w:r>
    </w:p>
    <w:p>
      <w:pPr>
        <w:autoSpaceDE w:val="0"/>
        <w:autoSpaceDN w:val="0"/>
        <w:adjustRightInd w:val="0"/>
        <w:spacing w:line="580" w:lineRule="exact"/>
        <w:ind w:firstLine="640" w:firstLineChars="200"/>
        <w:jc w:val="left"/>
        <w:rPr>
          <w:rFonts w:hint="eastAsia" w:ascii="仿宋" w:hAnsi="仿宋" w:eastAsia="仿宋" w:cs="仿宋"/>
          <w:kern w:val="2"/>
          <w:sz w:val="32"/>
          <w:szCs w:val="32"/>
          <w:lang w:val="zh-CN"/>
        </w:rPr>
      </w:pPr>
      <w:r>
        <w:rPr>
          <w:rFonts w:hint="eastAsia" w:ascii="仿宋" w:hAnsi="仿宋" w:eastAsia="仿宋" w:cs="仿宋"/>
          <w:kern w:val="2"/>
          <w:sz w:val="32"/>
          <w:szCs w:val="32"/>
          <w:lang w:val="zh-CN" w:eastAsia="zh-CN"/>
        </w:rPr>
        <w:t>本单位2023</w:t>
      </w:r>
      <w:r>
        <w:rPr>
          <w:rFonts w:hint="eastAsia" w:ascii="仿宋" w:hAnsi="仿宋" w:eastAsia="仿宋" w:cs="仿宋"/>
          <w:kern w:val="2"/>
          <w:sz w:val="32"/>
          <w:szCs w:val="32"/>
          <w:lang w:val="zh-CN"/>
        </w:rPr>
        <w:t>年度本年收入合计</w:t>
      </w:r>
      <w:r>
        <w:rPr>
          <w:rFonts w:hint="eastAsia" w:ascii="仿宋" w:hAnsi="仿宋" w:eastAsia="仿宋" w:cs="仿宋"/>
          <w:sz w:val="32"/>
          <w:szCs w:val="32"/>
          <w:highlight w:val="none"/>
          <w:lang w:eastAsia="zh-CN"/>
        </w:rPr>
        <w:t>29,391.44</w:t>
      </w:r>
      <w:r>
        <w:rPr>
          <w:rFonts w:hint="eastAsia" w:ascii="仿宋" w:hAnsi="仿宋" w:eastAsia="仿宋" w:cs="仿宋"/>
          <w:kern w:val="2"/>
          <w:sz w:val="32"/>
          <w:szCs w:val="32"/>
          <w:lang w:val="zh-CN" w:eastAsia="zh-CN"/>
        </w:rPr>
        <w:t>万元</w:t>
      </w:r>
      <w:r>
        <w:rPr>
          <w:rFonts w:hint="eastAsia" w:ascii="仿宋" w:hAnsi="仿宋" w:eastAsia="仿宋" w:cs="仿宋"/>
          <w:kern w:val="2"/>
          <w:sz w:val="32"/>
          <w:szCs w:val="32"/>
          <w:lang w:val="zh-CN"/>
        </w:rPr>
        <w:t>，其中：财政拨款收入</w:t>
      </w:r>
      <w:r>
        <w:rPr>
          <w:rFonts w:hint="eastAsia" w:ascii="仿宋" w:hAnsi="仿宋" w:eastAsia="仿宋" w:cs="仿宋"/>
          <w:kern w:val="2"/>
          <w:sz w:val="32"/>
          <w:szCs w:val="32"/>
          <w:lang w:val="zh-CN" w:eastAsia="zh-CN"/>
        </w:rPr>
        <w:t>29,391.44</w:t>
      </w:r>
      <w:r>
        <w:rPr>
          <w:rFonts w:hint="eastAsia" w:ascii="仿宋" w:hAnsi="仿宋" w:eastAsia="仿宋" w:cs="仿宋"/>
          <w:kern w:val="2"/>
          <w:sz w:val="32"/>
          <w:szCs w:val="32"/>
          <w:lang w:val="zh-CN"/>
        </w:rPr>
        <w:t>万元，占</w:t>
      </w:r>
      <w:r>
        <w:rPr>
          <w:rFonts w:hint="eastAsia" w:ascii="仿宋" w:hAnsi="仿宋" w:eastAsia="仿宋" w:cs="仿宋"/>
          <w:kern w:val="2"/>
          <w:sz w:val="32"/>
          <w:szCs w:val="32"/>
          <w:lang w:val="zh-CN" w:eastAsia="zh-CN"/>
        </w:rPr>
        <w:t>100%；</w:t>
      </w:r>
      <w:r>
        <w:rPr>
          <w:rFonts w:hint="eastAsia" w:ascii="仿宋" w:hAnsi="仿宋" w:eastAsia="仿宋" w:cs="仿宋"/>
          <w:kern w:val="2"/>
          <w:sz w:val="32"/>
          <w:szCs w:val="32"/>
          <w:lang w:val="zh-CN"/>
        </w:rPr>
        <w:t>上级补助收入0万元，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0%；事业收入0万元，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0%；经营收入0万元，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0%；附属单位上缴收入0万元，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0%；其他收入0万元，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三、支出决算情况说明</w:t>
      </w:r>
    </w:p>
    <w:p>
      <w:pPr>
        <w:autoSpaceDE w:val="0"/>
        <w:autoSpaceDN w:val="0"/>
        <w:adjustRightInd w:val="0"/>
        <w:spacing w:line="580" w:lineRule="exact"/>
        <w:ind w:firstLine="600"/>
        <w:jc w:val="left"/>
        <w:rPr>
          <w:rFonts w:hint="eastAsia" w:ascii="仿宋" w:hAnsi="仿宋" w:eastAsia="仿宋" w:cs="仿宋"/>
          <w:kern w:val="2"/>
          <w:sz w:val="32"/>
          <w:szCs w:val="32"/>
          <w:lang w:val="zh-CN" w:eastAsia="zh-CN"/>
        </w:rPr>
      </w:pPr>
      <w:r>
        <w:rPr>
          <w:rFonts w:hint="eastAsia" w:ascii="仿宋" w:hAnsi="仿宋" w:eastAsia="仿宋" w:cs="仿宋"/>
          <w:kern w:val="2"/>
          <w:sz w:val="32"/>
          <w:szCs w:val="32"/>
          <w:lang w:val="zh-CN" w:eastAsia="zh-CN"/>
        </w:rPr>
        <w:t>本单位2023</w:t>
      </w:r>
      <w:r>
        <w:rPr>
          <w:rFonts w:hint="eastAsia" w:ascii="仿宋" w:hAnsi="仿宋" w:eastAsia="仿宋" w:cs="仿宋"/>
          <w:kern w:val="2"/>
          <w:sz w:val="32"/>
          <w:szCs w:val="32"/>
          <w:lang w:val="zh-CN"/>
        </w:rPr>
        <w:t>年度本年支出合计</w:t>
      </w:r>
      <w:r>
        <w:rPr>
          <w:rFonts w:hint="eastAsia" w:ascii="仿宋" w:hAnsi="仿宋" w:eastAsia="仿宋" w:cs="仿宋"/>
          <w:kern w:val="2"/>
          <w:sz w:val="32"/>
          <w:szCs w:val="32"/>
          <w:lang w:val="zh-CN" w:eastAsia="zh-CN"/>
        </w:rPr>
        <w:t>33,391.44万元</w:t>
      </w:r>
      <w:r>
        <w:rPr>
          <w:rFonts w:hint="eastAsia" w:ascii="仿宋" w:hAnsi="仿宋" w:eastAsia="仿宋" w:cs="仿宋"/>
          <w:kern w:val="2"/>
          <w:sz w:val="32"/>
          <w:szCs w:val="32"/>
          <w:lang w:val="zh-CN"/>
        </w:rPr>
        <w:t>，其中：基本支出</w:t>
      </w:r>
      <w:r>
        <w:rPr>
          <w:rFonts w:hint="eastAsia" w:ascii="仿宋" w:hAnsi="仿宋" w:eastAsia="仿宋" w:cs="仿宋"/>
          <w:kern w:val="2"/>
          <w:sz w:val="32"/>
          <w:szCs w:val="32"/>
          <w:lang w:val="zh-CN" w:eastAsia="zh-CN"/>
        </w:rPr>
        <w:t>613.47万元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占1.84%；</w:t>
      </w:r>
      <w:r>
        <w:rPr>
          <w:rFonts w:hint="eastAsia" w:ascii="仿宋" w:hAnsi="仿宋" w:eastAsia="仿宋" w:cs="仿宋"/>
          <w:kern w:val="2"/>
          <w:sz w:val="32"/>
          <w:szCs w:val="32"/>
          <w:lang w:val="zh-CN"/>
        </w:rPr>
        <w:t>项目支出</w:t>
      </w:r>
      <w:r>
        <w:rPr>
          <w:rFonts w:hint="eastAsia" w:ascii="仿宋" w:hAnsi="仿宋" w:eastAsia="仿宋" w:cs="仿宋"/>
          <w:kern w:val="2"/>
          <w:sz w:val="32"/>
          <w:szCs w:val="32"/>
          <w:lang w:val="zh-CN" w:eastAsia="zh-CN"/>
        </w:rPr>
        <w:t>32,777.97万元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占98.16%；</w:t>
      </w:r>
      <w:r>
        <w:rPr>
          <w:rFonts w:hint="eastAsia" w:ascii="仿宋" w:hAnsi="仿宋" w:eastAsia="仿宋" w:cs="仿宋"/>
          <w:kern w:val="2"/>
          <w:sz w:val="32"/>
          <w:szCs w:val="32"/>
          <w:lang w:val="zh-CN"/>
        </w:rPr>
        <w:t>上缴上级支出</w:t>
      </w:r>
      <w:r>
        <w:rPr>
          <w:rFonts w:hint="eastAsia" w:ascii="仿宋" w:hAnsi="仿宋" w:eastAsia="仿宋" w:cs="仿宋"/>
          <w:kern w:val="2"/>
          <w:sz w:val="32"/>
          <w:szCs w:val="32"/>
          <w:lang w:val="zh-CN" w:eastAsia="zh-CN"/>
        </w:rPr>
        <w:t>0万元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占0%；</w:t>
      </w:r>
      <w:r>
        <w:rPr>
          <w:rFonts w:hint="eastAsia" w:ascii="仿宋" w:hAnsi="仿宋" w:eastAsia="仿宋" w:cs="仿宋"/>
          <w:kern w:val="2"/>
          <w:sz w:val="32"/>
          <w:szCs w:val="32"/>
          <w:lang w:val="zh-CN"/>
        </w:rPr>
        <w:t>经营支出</w:t>
      </w:r>
      <w:r>
        <w:rPr>
          <w:rFonts w:hint="eastAsia" w:ascii="仿宋" w:hAnsi="仿宋" w:eastAsia="仿宋" w:cs="仿宋"/>
          <w:kern w:val="2"/>
          <w:sz w:val="32"/>
          <w:szCs w:val="32"/>
          <w:lang w:val="zh-CN" w:eastAsia="zh-CN"/>
        </w:rPr>
        <w:t>0万元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占0%；</w:t>
      </w:r>
      <w:r>
        <w:rPr>
          <w:rFonts w:hint="eastAsia" w:ascii="仿宋" w:hAnsi="仿宋" w:eastAsia="仿宋" w:cs="仿宋"/>
          <w:kern w:val="2"/>
          <w:sz w:val="32"/>
          <w:szCs w:val="32"/>
          <w:lang w:val="zh-CN"/>
        </w:rPr>
        <w:t>对附属单位补助支出</w:t>
      </w:r>
      <w:r>
        <w:rPr>
          <w:rFonts w:hint="eastAsia" w:ascii="仿宋" w:hAnsi="仿宋" w:eastAsia="仿宋" w:cs="仿宋"/>
          <w:kern w:val="2"/>
          <w:sz w:val="32"/>
          <w:szCs w:val="32"/>
          <w:lang w:val="zh-CN" w:eastAsia="zh-CN"/>
        </w:rPr>
        <w:t>0万元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占0%。</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 xml:space="preserve">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default" w:ascii="Times New Roman" w:hAnsi="Times New Roman" w:eastAsia="黑体" w:cs="Times New Roman"/>
          <w:kern w:val="2"/>
          <w:sz w:val="32"/>
          <w:szCs w:val="32"/>
          <w:lang w:val="en-US" w:eastAsia="zh-CN" w:bidi="ar-SA"/>
        </w:rPr>
      </w:pPr>
      <w:r>
        <w:drawing>
          <wp:inline distT="0" distB="0" distL="114300" distR="114300">
            <wp:extent cx="4599305" cy="2200275"/>
            <wp:effectExtent l="4445" t="4445" r="13970" b="5080"/>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spacing w:line="580" w:lineRule="exact"/>
        <w:ind w:firstLine="2240" w:firstLineChars="700"/>
        <w:outlineLvl w:val="1"/>
        <w:rPr>
          <w:rFonts w:hint="eastAsia" w:ascii="仿宋" w:hAnsi="仿宋" w:eastAsia="仿宋" w:cs="仿宋"/>
          <w:sz w:val="32"/>
          <w:szCs w:val="32"/>
          <w:lang w:val="en-US" w:eastAsia="zh-CN"/>
        </w:rPr>
      </w:pPr>
      <w:r>
        <w:rPr>
          <w:rFonts w:hint="eastAsia" w:ascii="仿宋" w:hAnsi="仿宋" w:eastAsia="仿宋" w:cs="仿宋"/>
          <w:sz w:val="32"/>
          <w:szCs w:val="32"/>
        </w:rPr>
        <w:t>图</w:t>
      </w:r>
      <w:r>
        <w:rPr>
          <w:rFonts w:hint="eastAsia" w:ascii="仿宋" w:hAnsi="仿宋" w:eastAsia="仿宋" w:cs="仿宋"/>
          <w:sz w:val="32"/>
          <w:szCs w:val="32"/>
          <w:lang w:val="en-US" w:eastAsia="zh-CN"/>
        </w:rPr>
        <w:t>2：支出决算构成情况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四、财政拨款收入支出决算总体情况说明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both"/>
        <w:outlineLvl w:val="1"/>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（一）财政拨款收支与2022年度决算对比情况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rPr>
          <w:rFonts w:hint="eastAsia" w:ascii="仿宋" w:hAnsi="仿宋" w:eastAsia="仿宋" w:cs="仿宋"/>
          <w:sz w:val="32"/>
          <w:szCs w:val="32"/>
          <w:highlight w:val="none"/>
        </w:rPr>
      </w:pPr>
      <w:r>
        <w:rPr>
          <w:rFonts w:hint="eastAsia" w:ascii="仿宋" w:hAnsi="仿宋" w:eastAsia="仿宋" w:cs="仿宋"/>
          <w:color w:val="auto"/>
          <w:kern w:val="2"/>
          <w:sz w:val="32"/>
          <w:szCs w:val="32"/>
          <w:lang w:val="zh-CN" w:eastAsia="zh-CN" w:bidi="ar-SA"/>
        </w:rPr>
        <w:t>本单位202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年度财政拨款本年收入29,391.44</w:t>
      </w:r>
      <w:r>
        <w:rPr>
          <w:rFonts w:hint="eastAsia" w:ascii="仿宋" w:hAnsi="仿宋" w:eastAsia="仿宋" w:cs="仿宋"/>
          <w:color w:val="auto"/>
          <w:kern w:val="2"/>
          <w:sz w:val="32"/>
          <w:szCs w:val="32"/>
          <w:lang w:val="en-US" w:eastAsia="zh-CN" w:bidi="ar-SA"/>
        </w:rPr>
        <w:t>万</w:t>
      </w:r>
      <w:r>
        <w:rPr>
          <w:rFonts w:hint="eastAsia" w:ascii="仿宋" w:hAnsi="仿宋" w:eastAsia="仿宋" w:cs="仿宋"/>
          <w:color w:val="auto"/>
          <w:kern w:val="2"/>
          <w:sz w:val="32"/>
          <w:szCs w:val="32"/>
          <w:lang w:val="zh-CN" w:eastAsia="zh-CN" w:bidi="ar-SA"/>
        </w:rPr>
        <w:t>元,比上年</w:t>
      </w:r>
      <w:r>
        <w:rPr>
          <w:rFonts w:hint="eastAsia" w:ascii="仿宋" w:hAnsi="仿宋" w:eastAsia="仿宋" w:cs="仿宋"/>
          <w:sz w:val="32"/>
          <w:szCs w:val="32"/>
          <w:highlight w:val="none"/>
          <w:lang w:val="zh-CN"/>
        </w:rPr>
        <w:t>增加10,767.92万元</w:t>
      </w:r>
      <w:r>
        <w:rPr>
          <w:rFonts w:hint="eastAsia" w:ascii="仿宋" w:hAnsi="仿宋" w:eastAsia="仿宋" w:cs="仿宋"/>
          <w:color w:val="auto"/>
          <w:kern w:val="2"/>
          <w:sz w:val="32"/>
          <w:szCs w:val="32"/>
          <w:lang w:val="zh-CN" w:eastAsia="zh-CN" w:bidi="ar-SA"/>
        </w:rPr>
        <w:t>，</w:t>
      </w:r>
      <w:r>
        <w:rPr>
          <w:rFonts w:hint="eastAsia" w:ascii="仿宋" w:hAnsi="仿宋" w:eastAsia="仿宋" w:cs="仿宋"/>
          <w:sz w:val="32"/>
          <w:szCs w:val="32"/>
          <w:highlight w:val="none"/>
          <w:lang w:val="zh-CN"/>
        </w:rPr>
        <w:t>增长57.82%，</w:t>
      </w:r>
      <w:r>
        <w:rPr>
          <w:rFonts w:hint="eastAsia" w:ascii="仿宋" w:hAnsi="仿宋" w:eastAsia="仿宋" w:cs="仿宋"/>
          <w:color w:val="auto"/>
          <w:kern w:val="2"/>
          <w:sz w:val="32"/>
          <w:szCs w:val="32"/>
          <w:lang w:val="zh-CN" w:eastAsia="zh-CN" w:bidi="ar-SA"/>
        </w:rPr>
        <w:t>主要是</w:t>
      </w:r>
      <w:r>
        <w:rPr>
          <w:rFonts w:hint="eastAsia" w:ascii="仿宋" w:hAnsi="仿宋" w:eastAsia="仿宋" w:cs="仿宋"/>
          <w:kern w:val="2"/>
          <w:sz w:val="32"/>
          <w:szCs w:val="32"/>
          <w:lang w:val="en-US" w:eastAsia="zh-CN"/>
        </w:rPr>
        <w:t>2023年上级资金增多</w:t>
      </w:r>
      <w:r>
        <w:rPr>
          <w:rFonts w:hint="eastAsia" w:ascii="仿宋" w:hAnsi="仿宋" w:eastAsia="仿宋" w:cs="仿宋"/>
          <w:color w:val="auto"/>
          <w:kern w:val="2"/>
          <w:sz w:val="32"/>
          <w:szCs w:val="32"/>
          <w:lang w:val="zh-CN" w:eastAsia="zh-CN" w:bidi="ar-SA"/>
        </w:rPr>
        <w:t>；本年支出 33,391.44</w:t>
      </w:r>
      <w:r>
        <w:rPr>
          <w:rFonts w:hint="eastAsia" w:ascii="仿宋" w:hAnsi="仿宋" w:eastAsia="仿宋" w:cs="仿宋"/>
          <w:color w:val="auto"/>
          <w:kern w:val="2"/>
          <w:sz w:val="32"/>
          <w:szCs w:val="32"/>
          <w:lang w:val="en-US" w:eastAsia="zh-CN" w:bidi="ar-SA"/>
        </w:rPr>
        <w:t>万</w:t>
      </w:r>
      <w:r>
        <w:rPr>
          <w:rFonts w:hint="eastAsia" w:ascii="仿宋" w:hAnsi="仿宋" w:eastAsia="仿宋" w:cs="仿宋"/>
          <w:color w:val="auto"/>
          <w:kern w:val="2"/>
          <w:sz w:val="32"/>
          <w:szCs w:val="32"/>
          <w:lang w:val="zh-CN" w:eastAsia="zh-CN" w:bidi="ar-SA"/>
        </w:rPr>
        <w:t>元，比上年</w:t>
      </w:r>
      <w:r>
        <w:rPr>
          <w:rFonts w:hint="eastAsia" w:ascii="仿宋" w:hAnsi="仿宋" w:eastAsia="仿宋" w:cs="仿宋"/>
          <w:sz w:val="32"/>
          <w:szCs w:val="32"/>
          <w:highlight w:val="none"/>
          <w:lang w:val="zh-CN"/>
        </w:rPr>
        <w:t>增加14,767.92万元</w:t>
      </w:r>
      <w:r>
        <w:rPr>
          <w:rFonts w:hint="eastAsia" w:ascii="仿宋" w:hAnsi="仿宋" w:eastAsia="仿宋" w:cs="仿宋"/>
          <w:color w:val="auto"/>
          <w:kern w:val="2"/>
          <w:sz w:val="32"/>
          <w:szCs w:val="32"/>
          <w:lang w:val="zh-CN" w:eastAsia="zh-CN" w:bidi="ar-SA"/>
        </w:rPr>
        <w:t>，</w:t>
      </w:r>
      <w:r>
        <w:rPr>
          <w:rFonts w:hint="eastAsia" w:ascii="仿宋" w:hAnsi="仿宋" w:eastAsia="仿宋" w:cs="仿宋"/>
          <w:sz w:val="32"/>
          <w:szCs w:val="32"/>
          <w:highlight w:val="none"/>
          <w:lang w:val="zh-CN"/>
        </w:rPr>
        <w:t>增长79.3%，</w:t>
      </w:r>
      <w:r>
        <w:rPr>
          <w:rFonts w:hint="eastAsia" w:ascii="仿宋" w:hAnsi="仿宋" w:eastAsia="仿宋" w:cs="仿宋"/>
          <w:color w:val="auto"/>
          <w:kern w:val="2"/>
          <w:sz w:val="32"/>
          <w:szCs w:val="32"/>
          <w:lang w:val="zh-CN" w:eastAsia="zh-CN" w:bidi="ar-SA"/>
        </w:rPr>
        <w:t>主要</w:t>
      </w:r>
      <w:r>
        <w:rPr>
          <w:rFonts w:hint="eastAsia" w:ascii="仿宋" w:hAnsi="仿宋" w:eastAsia="仿宋" w:cs="仿宋"/>
          <w:kern w:val="2"/>
          <w:sz w:val="32"/>
          <w:szCs w:val="32"/>
          <w:lang w:val="en-US" w:eastAsia="zh-CN"/>
        </w:rPr>
        <w:t>2023年上级资金增多，支出增多</w:t>
      </w:r>
      <w:r>
        <w:rPr>
          <w:rFonts w:hint="eastAsia" w:ascii="仿宋" w:hAnsi="仿宋" w:eastAsia="仿宋" w:cs="仿宋"/>
          <w:color w:val="auto"/>
          <w:kern w:val="2"/>
          <w:sz w:val="32"/>
          <w:szCs w:val="32"/>
          <w:lang w:val="zh-CN" w:eastAsia="zh-CN" w:bidi="ar-SA"/>
        </w:rPr>
        <w:t>。具体情况如下：</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lang w:val="zh-CN"/>
        </w:rPr>
        <w:t>1. 一般公共预算财政拨款本年收入29,391.44</w:t>
      </w:r>
      <w:r>
        <w:rPr>
          <w:rFonts w:hint="eastAsia" w:ascii="仿宋" w:hAnsi="仿宋" w:eastAsia="仿宋" w:cs="仿宋"/>
          <w:kern w:val="2"/>
          <w:sz w:val="32"/>
          <w:szCs w:val="32"/>
          <w:lang w:val="zh-CN" w:eastAsia="zh-CN"/>
        </w:rPr>
        <w:t>万元</w:t>
      </w:r>
      <w:r>
        <w:rPr>
          <w:rFonts w:hint="eastAsia" w:ascii="仿宋" w:hAnsi="仿宋" w:eastAsia="仿宋" w:cs="仿宋"/>
          <w:kern w:val="2"/>
          <w:sz w:val="32"/>
          <w:szCs w:val="32"/>
          <w:lang w:val="zh-CN"/>
        </w:rPr>
        <w:t>,比上年</w:t>
      </w:r>
      <w:r>
        <w:rPr>
          <w:rFonts w:hint="eastAsia" w:ascii="仿宋" w:hAnsi="仿宋" w:eastAsia="仿宋" w:cs="仿宋"/>
          <w:sz w:val="32"/>
          <w:szCs w:val="32"/>
          <w:highlight w:val="none"/>
          <w:lang w:val="zh-CN"/>
        </w:rPr>
        <w:t>增加10,767.92万元，增长57.82%，</w:t>
      </w:r>
      <w:r>
        <w:rPr>
          <w:rFonts w:hint="eastAsia" w:ascii="仿宋" w:hAnsi="仿宋" w:eastAsia="仿宋" w:cs="仿宋"/>
          <w:kern w:val="2"/>
          <w:sz w:val="32"/>
          <w:szCs w:val="32"/>
          <w:lang w:val="zh-CN"/>
        </w:rPr>
        <w:t>主要是</w:t>
      </w:r>
      <w:r>
        <w:rPr>
          <w:rFonts w:hint="eastAsia" w:ascii="仿宋" w:hAnsi="仿宋" w:eastAsia="仿宋" w:cs="仿宋"/>
          <w:kern w:val="2"/>
          <w:sz w:val="32"/>
          <w:szCs w:val="32"/>
          <w:lang w:val="en-US" w:eastAsia="zh-CN"/>
        </w:rPr>
        <w:t>2023年上级资金增多</w:t>
      </w:r>
      <w:r>
        <w:rPr>
          <w:rFonts w:hint="eastAsia" w:ascii="仿宋" w:hAnsi="仿宋" w:eastAsia="仿宋" w:cs="仿宋"/>
          <w:kern w:val="2"/>
          <w:sz w:val="32"/>
          <w:szCs w:val="32"/>
          <w:lang w:val="zh-CN"/>
        </w:rPr>
        <w:t>；本年支出 33,391.44</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增加14,767.92万元</w:t>
      </w:r>
      <w:r>
        <w:rPr>
          <w:rFonts w:hint="eastAsia" w:ascii="仿宋" w:hAnsi="仿宋" w:eastAsia="仿宋" w:cs="仿宋"/>
          <w:kern w:val="2"/>
          <w:sz w:val="32"/>
          <w:szCs w:val="32"/>
          <w:lang w:val="zh-CN"/>
        </w:rPr>
        <w:t>，</w:t>
      </w:r>
      <w:r>
        <w:rPr>
          <w:rFonts w:hint="eastAsia" w:ascii="仿宋" w:hAnsi="仿宋" w:eastAsia="仿宋" w:cs="仿宋"/>
          <w:sz w:val="32"/>
          <w:szCs w:val="32"/>
          <w:highlight w:val="none"/>
          <w:lang w:val="zh-CN"/>
        </w:rPr>
        <w:t>增长79.3%，</w:t>
      </w:r>
      <w:r>
        <w:rPr>
          <w:rFonts w:hint="eastAsia" w:ascii="仿宋" w:hAnsi="仿宋" w:eastAsia="仿宋" w:cs="仿宋"/>
          <w:kern w:val="2"/>
          <w:sz w:val="32"/>
          <w:szCs w:val="32"/>
          <w:lang w:val="zh-CN"/>
        </w:rPr>
        <w:t>主要是</w:t>
      </w:r>
      <w:r>
        <w:rPr>
          <w:rFonts w:hint="eastAsia" w:ascii="仿宋" w:hAnsi="仿宋" w:eastAsia="仿宋" w:cs="仿宋"/>
          <w:kern w:val="2"/>
          <w:sz w:val="32"/>
          <w:szCs w:val="32"/>
          <w:lang w:val="en-US" w:eastAsia="zh-CN"/>
        </w:rPr>
        <w:t>2023年上级资金增多，支出增多</w:t>
      </w:r>
      <w:r>
        <w:rPr>
          <w:rFonts w:hint="eastAsia" w:ascii="仿宋" w:hAnsi="仿宋" w:eastAsia="仿宋" w:cs="仿宋"/>
          <w:kern w:val="2"/>
          <w:sz w:val="32"/>
          <w:szCs w:val="32"/>
          <w:lang w:val="zh-CN"/>
        </w:rPr>
        <w:t>。</w:t>
      </w:r>
    </w:p>
    <w:p>
      <w:pPr>
        <w:autoSpaceDE w:val="0"/>
        <w:autoSpaceDN w:val="0"/>
        <w:adjustRightInd w:val="0"/>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kern w:val="2"/>
          <w:sz w:val="32"/>
          <w:szCs w:val="32"/>
          <w:lang w:val="zh-CN"/>
        </w:rPr>
        <w:t>2. 政府性基金预算财政拨款本年收入0</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，主要原因</w:t>
      </w:r>
      <w:r>
        <w:rPr>
          <w:rFonts w:hint="eastAsia" w:ascii="仿宋" w:hAnsi="仿宋" w:eastAsia="仿宋" w:cs="仿宋"/>
          <w:kern w:val="2"/>
          <w:sz w:val="32"/>
          <w:szCs w:val="32"/>
          <w:lang w:val="en-US" w:eastAsia="zh-CN"/>
        </w:rPr>
        <w:t>是我单位不存在</w:t>
      </w:r>
      <w:r>
        <w:rPr>
          <w:rFonts w:hint="eastAsia" w:ascii="仿宋" w:hAnsi="仿宋" w:eastAsia="仿宋" w:cs="仿宋"/>
          <w:kern w:val="2"/>
          <w:sz w:val="32"/>
          <w:szCs w:val="32"/>
          <w:lang w:val="zh-CN"/>
        </w:rPr>
        <w:t>政府性基金预算财政拨款；本年支出 0</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，主要是</w:t>
      </w:r>
      <w:r>
        <w:rPr>
          <w:rFonts w:hint="eastAsia" w:ascii="仿宋" w:hAnsi="仿宋" w:eastAsia="仿宋" w:cs="仿宋"/>
          <w:kern w:val="2"/>
          <w:sz w:val="32"/>
          <w:szCs w:val="32"/>
          <w:lang w:val="en-US" w:eastAsia="zh-CN"/>
        </w:rPr>
        <w:t>我单位不存在</w:t>
      </w:r>
      <w:r>
        <w:rPr>
          <w:rFonts w:hint="eastAsia" w:ascii="仿宋" w:hAnsi="仿宋" w:eastAsia="仿宋" w:cs="仿宋"/>
          <w:kern w:val="2"/>
          <w:sz w:val="32"/>
          <w:szCs w:val="32"/>
          <w:lang w:val="zh-CN"/>
        </w:rPr>
        <w:t>政府性基金预算财政拨款。</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lang w:val="zh-CN"/>
        </w:rPr>
        <w:t>3. 国有资本经营预算财政拨款本年收入0</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，主要原因是</w:t>
      </w:r>
      <w:r>
        <w:rPr>
          <w:rFonts w:hint="eastAsia" w:ascii="仿宋" w:hAnsi="仿宋" w:eastAsia="仿宋" w:cs="仿宋"/>
          <w:kern w:val="2"/>
          <w:sz w:val="32"/>
          <w:szCs w:val="32"/>
          <w:lang w:val="en-US" w:eastAsia="zh-CN"/>
        </w:rPr>
        <w:t>我单位不存在</w:t>
      </w:r>
      <w:r>
        <w:rPr>
          <w:rFonts w:hint="eastAsia" w:ascii="仿宋" w:hAnsi="仿宋" w:eastAsia="仿宋" w:cs="仿宋"/>
          <w:kern w:val="2"/>
          <w:sz w:val="32"/>
          <w:szCs w:val="32"/>
          <w:lang w:val="zh-CN"/>
        </w:rPr>
        <w:t>政府性基金预算财政拨款；本年支出0</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，主要是</w:t>
      </w:r>
      <w:r>
        <w:rPr>
          <w:rFonts w:hint="eastAsia" w:ascii="仿宋" w:hAnsi="仿宋" w:eastAsia="仿宋" w:cs="仿宋"/>
          <w:kern w:val="2"/>
          <w:sz w:val="32"/>
          <w:szCs w:val="32"/>
          <w:lang w:val="en-US" w:eastAsia="zh-CN"/>
        </w:rPr>
        <w:t>我单位不存在</w:t>
      </w:r>
      <w:r>
        <w:rPr>
          <w:rFonts w:hint="eastAsia" w:ascii="仿宋" w:hAnsi="仿宋" w:eastAsia="仿宋" w:cs="仿宋"/>
          <w:kern w:val="2"/>
          <w:sz w:val="32"/>
          <w:szCs w:val="32"/>
          <w:lang w:val="zh-CN"/>
        </w:rPr>
        <w:t>政府性基金预算财政拨款。</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sz w:val="32"/>
          <w:szCs w:val="32"/>
        </w:rPr>
        <w:drawing>
          <wp:anchor distT="0" distB="0" distL="114300" distR="114300" simplePos="0" relativeHeight="251667456" behindDoc="0" locked="0" layoutInCell="1" allowOverlap="1">
            <wp:simplePos x="0" y="0"/>
            <wp:positionH relativeFrom="column">
              <wp:posOffset>90170</wp:posOffset>
            </wp:positionH>
            <wp:positionV relativeFrom="paragraph">
              <wp:posOffset>164465</wp:posOffset>
            </wp:positionV>
            <wp:extent cx="5038725" cy="2569210"/>
            <wp:effectExtent l="4445" t="4445" r="16510" b="17145"/>
            <wp:wrapSquare wrapText="bothSides"/>
            <wp:docPr id="1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图</w:t>
      </w:r>
      <w:r>
        <w:rPr>
          <w:rFonts w:hint="eastAsia" w:ascii="仿宋" w:hAnsi="仿宋" w:eastAsia="仿宋" w:cs="仿宋"/>
          <w:sz w:val="32"/>
          <w:szCs w:val="32"/>
          <w:lang w:val="en-US" w:eastAsia="zh-CN"/>
        </w:rPr>
        <w:t>3：2022、2023年度财政拨款收支情况  单位：万元</w:t>
      </w:r>
    </w:p>
    <w:p>
      <w:pPr>
        <w:snapToGrid w:val="0"/>
        <w:spacing w:line="580" w:lineRule="exact"/>
        <w:ind w:firstLine="643" w:firstLineChars="200"/>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（二）财政拨款收支与年初预算数对比情况</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color w:val="auto"/>
          <w:kern w:val="2"/>
          <w:sz w:val="32"/>
          <w:szCs w:val="32"/>
          <w:lang w:val="zh-CN" w:eastAsia="zh-CN" w:bidi="ar-SA"/>
        </w:rPr>
        <w:t>本单位202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年度财政拨款本年收入29,391.44万元，完成年初预算的78.96%，比年初预算</w:t>
      </w:r>
      <w:r>
        <w:rPr>
          <w:rFonts w:hint="eastAsia" w:ascii="仿宋" w:hAnsi="仿宋" w:eastAsia="仿宋" w:cs="仿宋"/>
          <w:sz w:val="32"/>
          <w:szCs w:val="32"/>
          <w:highlight w:val="none"/>
          <w:lang w:val="zh-CN"/>
        </w:rPr>
        <w:t>减少7,830.36万元</w:t>
      </w:r>
      <w:r>
        <w:rPr>
          <w:rFonts w:hint="eastAsia" w:ascii="仿宋" w:hAnsi="仿宋" w:eastAsia="仿宋" w:cs="仿宋"/>
          <w:color w:val="auto"/>
          <w:kern w:val="2"/>
          <w:sz w:val="32"/>
          <w:szCs w:val="32"/>
          <w:lang w:val="zh-CN" w:eastAsia="zh-CN" w:bidi="ar-SA"/>
        </w:rPr>
        <w:t>，决算数小于预算数主要原因是</w:t>
      </w:r>
      <w:r>
        <w:rPr>
          <w:rFonts w:hint="eastAsia" w:ascii="仿宋" w:hAnsi="仿宋" w:eastAsia="仿宋" w:cs="仿宋"/>
          <w:color w:val="auto"/>
          <w:kern w:val="2"/>
          <w:sz w:val="32"/>
          <w:szCs w:val="32"/>
          <w:lang w:val="en-US" w:eastAsia="zh-CN" w:bidi="ar-SA"/>
        </w:rPr>
        <w:t>年初预算数包含原循环化工园区科技局预算收入</w:t>
      </w:r>
      <w:r>
        <w:rPr>
          <w:rFonts w:hint="eastAsia" w:ascii="仿宋" w:hAnsi="仿宋" w:eastAsia="仿宋" w:cs="仿宋"/>
          <w:color w:val="auto"/>
          <w:kern w:val="2"/>
          <w:sz w:val="32"/>
          <w:szCs w:val="32"/>
          <w:lang w:val="zh-CN" w:eastAsia="zh-CN" w:bidi="ar-SA"/>
        </w:rPr>
        <w:t>；本年支出33,391.44万元，完成年初预算的89.71%，比年初预算</w:t>
      </w:r>
      <w:r>
        <w:rPr>
          <w:rFonts w:hint="eastAsia" w:ascii="仿宋" w:hAnsi="仿宋" w:eastAsia="仿宋" w:cs="仿宋"/>
          <w:sz w:val="32"/>
          <w:szCs w:val="32"/>
          <w:highlight w:val="none"/>
          <w:lang w:val="zh-CN"/>
        </w:rPr>
        <w:t>减少3,830.36万元</w:t>
      </w:r>
      <w:r>
        <w:rPr>
          <w:rFonts w:hint="eastAsia" w:ascii="仿宋" w:hAnsi="仿宋" w:eastAsia="仿宋" w:cs="仿宋"/>
          <w:color w:val="auto"/>
          <w:kern w:val="2"/>
          <w:sz w:val="32"/>
          <w:szCs w:val="32"/>
          <w:lang w:val="zh-CN" w:eastAsia="zh-CN" w:bidi="ar-SA"/>
        </w:rPr>
        <w:t>，决算数小于</w:t>
      </w:r>
      <w:r>
        <w:rPr>
          <w:rFonts w:hint="eastAsia" w:ascii="仿宋" w:hAnsi="仿宋" w:eastAsia="仿宋" w:cs="仿宋"/>
          <w:kern w:val="2"/>
          <w:sz w:val="32"/>
          <w:szCs w:val="32"/>
          <w:lang w:val="zh-CN"/>
        </w:rPr>
        <w:t>预算数主要原因是</w:t>
      </w:r>
      <w:r>
        <w:rPr>
          <w:rFonts w:hint="eastAsia" w:ascii="仿宋" w:hAnsi="仿宋" w:eastAsia="仿宋" w:cs="仿宋"/>
          <w:color w:val="auto"/>
          <w:kern w:val="2"/>
          <w:sz w:val="32"/>
          <w:szCs w:val="32"/>
          <w:lang w:val="en-US" w:eastAsia="zh-CN" w:bidi="ar-SA"/>
        </w:rPr>
        <w:t>年初预算数包含原循环化工园区科技局预算支出</w:t>
      </w:r>
      <w:r>
        <w:rPr>
          <w:rFonts w:hint="eastAsia" w:ascii="仿宋" w:hAnsi="仿宋" w:eastAsia="仿宋" w:cs="仿宋"/>
          <w:kern w:val="2"/>
          <w:sz w:val="32"/>
          <w:szCs w:val="32"/>
          <w:lang w:val="zh-CN"/>
        </w:rPr>
        <w:t>。具体情况如下：</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lang w:val="en-US" w:eastAsia="zh-CN"/>
        </w:rPr>
        <w:t>1.</w:t>
      </w:r>
      <w:r>
        <w:rPr>
          <w:rFonts w:hint="eastAsia" w:ascii="仿宋" w:hAnsi="仿宋" w:eastAsia="仿宋" w:cs="仿宋"/>
          <w:kern w:val="2"/>
          <w:sz w:val="32"/>
          <w:szCs w:val="32"/>
          <w:lang w:val="zh-CN"/>
        </w:rPr>
        <w:t>一般公共预算财政拨款</w:t>
      </w:r>
      <w:r>
        <w:rPr>
          <w:rFonts w:hint="eastAsia" w:ascii="仿宋" w:hAnsi="仿宋" w:eastAsia="仿宋" w:cs="仿宋"/>
          <w:kern w:val="2"/>
          <w:sz w:val="32"/>
          <w:szCs w:val="32"/>
          <w:lang w:val="en-US" w:eastAsia="zh-CN"/>
        </w:rPr>
        <w:t>本年</w:t>
      </w:r>
      <w:r>
        <w:rPr>
          <w:rFonts w:hint="eastAsia" w:ascii="仿宋" w:hAnsi="仿宋" w:eastAsia="仿宋" w:cs="仿宋"/>
          <w:kern w:val="2"/>
          <w:sz w:val="32"/>
          <w:szCs w:val="32"/>
          <w:lang w:val="zh-CN"/>
        </w:rPr>
        <w:t>收入29,391.44万元，完成年初预算的 92.96%，比年初预算</w:t>
      </w:r>
      <w:r>
        <w:rPr>
          <w:rFonts w:hint="eastAsia" w:ascii="仿宋" w:hAnsi="仿宋" w:eastAsia="仿宋" w:cs="仿宋"/>
          <w:sz w:val="32"/>
          <w:szCs w:val="32"/>
          <w:highlight w:val="none"/>
          <w:lang w:val="zh-CN"/>
        </w:rPr>
        <w:t>减少2,225.47万元</w:t>
      </w:r>
      <w:r>
        <w:rPr>
          <w:rFonts w:hint="eastAsia" w:ascii="仿宋" w:hAnsi="仿宋" w:eastAsia="仿宋" w:cs="仿宋"/>
          <w:kern w:val="2"/>
          <w:sz w:val="32"/>
          <w:szCs w:val="32"/>
          <w:lang w:val="zh-CN"/>
        </w:rPr>
        <w:t>，主要原因是</w:t>
      </w:r>
      <w:r>
        <w:rPr>
          <w:rFonts w:hint="eastAsia" w:ascii="仿宋" w:hAnsi="仿宋" w:eastAsia="仿宋" w:cs="仿宋"/>
          <w:color w:val="auto"/>
          <w:kern w:val="2"/>
          <w:sz w:val="32"/>
          <w:szCs w:val="32"/>
          <w:lang w:val="en-US" w:eastAsia="zh-CN" w:bidi="ar-SA"/>
        </w:rPr>
        <w:t>京津冀审计涉企政策资金因为有企业注销和迁出没有进行资金补助</w:t>
      </w:r>
      <w:r>
        <w:rPr>
          <w:rFonts w:hint="eastAsia" w:ascii="仿宋" w:hAnsi="仿宋" w:eastAsia="仿宋" w:cs="仿宋"/>
          <w:kern w:val="2"/>
          <w:sz w:val="32"/>
          <w:szCs w:val="32"/>
          <w:lang w:val="zh-CN"/>
        </w:rPr>
        <w:t>；本年支出33,391.44万元，完成年初预算的105.61%，比年初预算</w:t>
      </w:r>
      <w:r>
        <w:rPr>
          <w:rFonts w:hint="eastAsia" w:ascii="仿宋" w:hAnsi="仿宋" w:eastAsia="仿宋" w:cs="仿宋"/>
          <w:sz w:val="32"/>
          <w:szCs w:val="32"/>
          <w:highlight w:val="none"/>
          <w:lang w:val="zh-CN"/>
        </w:rPr>
        <w:t>增加1,774.53万元</w:t>
      </w:r>
      <w:r>
        <w:rPr>
          <w:rFonts w:hint="eastAsia" w:ascii="仿宋" w:hAnsi="仿宋" w:eastAsia="仿宋" w:cs="仿宋"/>
          <w:kern w:val="2"/>
          <w:sz w:val="32"/>
          <w:szCs w:val="32"/>
          <w:lang w:val="zh-CN"/>
        </w:rPr>
        <w:t>，主要原因是主要是</w:t>
      </w:r>
      <w:r>
        <w:rPr>
          <w:rFonts w:hint="eastAsia" w:ascii="仿宋" w:hAnsi="仿宋" w:eastAsia="仿宋" w:cs="仿宋"/>
          <w:kern w:val="2"/>
          <w:sz w:val="32"/>
          <w:szCs w:val="32"/>
          <w:lang w:val="en-US" w:eastAsia="zh-CN"/>
        </w:rPr>
        <w:t>上级资金增多</w:t>
      </w:r>
      <w:r>
        <w:rPr>
          <w:rFonts w:hint="eastAsia" w:ascii="仿宋" w:hAnsi="仿宋" w:eastAsia="仿宋" w:cs="仿宋"/>
          <w:kern w:val="2"/>
          <w:sz w:val="32"/>
          <w:szCs w:val="32"/>
          <w:lang w:val="zh-CN"/>
        </w:rPr>
        <w:t>。</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lang w:val="zh-CN"/>
        </w:rPr>
        <w:t>2. 政府性基金预算财政拨款本年收入0万元，完成年初预算的0%，比年初预算</w:t>
      </w:r>
      <w:r>
        <w:rPr>
          <w:rFonts w:hint="eastAsia" w:ascii="仿宋" w:hAnsi="仿宋" w:eastAsia="仿宋" w:cs="仿宋"/>
          <w:sz w:val="32"/>
          <w:szCs w:val="32"/>
          <w:highlight w:val="none"/>
          <w:lang w:val="zh-CN"/>
        </w:rPr>
        <w:t>减少5,604.89万元</w:t>
      </w:r>
      <w:r>
        <w:rPr>
          <w:rFonts w:hint="eastAsia" w:ascii="仿宋" w:hAnsi="仿宋" w:eastAsia="仿宋" w:cs="仿宋"/>
          <w:kern w:val="2"/>
          <w:sz w:val="32"/>
          <w:szCs w:val="32"/>
          <w:lang w:val="zh-CN"/>
        </w:rPr>
        <w:t>，主要原因是</w:t>
      </w:r>
      <w:r>
        <w:rPr>
          <w:rFonts w:hint="eastAsia" w:ascii="仿宋" w:hAnsi="仿宋" w:eastAsia="仿宋" w:cs="仿宋"/>
          <w:color w:val="auto"/>
          <w:kern w:val="2"/>
          <w:sz w:val="32"/>
          <w:szCs w:val="32"/>
          <w:lang w:val="en-US" w:eastAsia="zh-CN" w:bidi="ar-SA"/>
        </w:rPr>
        <w:t>年初政府性基金预算数为原循环化工园区科技局</w:t>
      </w:r>
      <w:r>
        <w:rPr>
          <w:rFonts w:hint="eastAsia" w:ascii="仿宋" w:hAnsi="仿宋" w:eastAsia="仿宋" w:cs="仿宋"/>
          <w:kern w:val="2"/>
          <w:sz w:val="32"/>
          <w:szCs w:val="32"/>
          <w:lang w:val="zh-CN"/>
        </w:rPr>
        <w:t>政府性基金预算；本年支出0万元，完成年初预算的0%，比年初预算</w:t>
      </w:r>
      <w:r>
        <w:rPr>
          <w:rFonts w:hint="eastAsia" w:ascii="仿宋" w:hAnsi="仿宋" w:eastAsia="仿宋" w:cs="仿宋"/>
          <w:sz w:val="32"/>
          <w:szCs w:val="32"/>
          <w:highlight w:val="none"/>
          <w:lang w:val="zh-CN"/>
        </w:rPr>
        <w:t>减少5,604.89万元</w:t>
      </w:r>
      <w:r>
        <w:rPr>
          <w:rFonts w:hint="eastAsia" w:ascii="仿宋" w:hAnsi="仿宋" w:eastAsia="仿宋" w:cs="仿宋"/>
          <w:kern w:val="2"/>
          <w:sz w:val="32"/>
          <w:szCs w:val="32"/>
          <w:lang w:val="zh-CN"/>
        </w:rPr>
        <w:t>，主要原因是</w:t>
      </w:r>
      <w:r>
        <w:rPr>
          <w:rFonts w:hint="eastAsia" w:ascii="仿宋" w:hAnsi="仿宋" w:eastAsia="仿宋" w:cs="仿宋"/>
          <w:color w:val="auto"/>
          <w:kern w:val="2"/>
          <w:sz w:val="32"/>
          <w:szCs w:val="32"/>
          <w:lang w:val="en-US" w:eastAsia="zh-CN" w:bidi="ar-SA"/>
        </w:rPr>
        <w:t>年初政府性基金预算数为原循环化工园区科技局</w:t>
      </w:r>
      <w:r>
        <w:rPr>
          <w:rFonts w:hint="eastAsia" w:ascii="仿宋" w:hAnsi="仿宋" w:eastAsia="仿宋" w:cs="仿宋"/>
          <w:kern w:val="2"/>
          <w:sz w:val="32"/>
          <w:szCs w:val="32"/>
          <w:lang w:val="zh-CN"/>
        </w:rPr>
        <w:t>政府性基金预算。</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highlight w:val="none"/>
          <w:lang w:val="zh-CN"/>
        </w:rPr>
        <w:t>3. 国有</w:t>
      </w:r>
      <w:r>
        <w:rPr>
          <w:rFonts w:hint="eastAsia" w:ascii="仿宋" w:hAnsi="仿宋" w:eastAsia="仿宋" w:cs="仿宋"/>
          <w:kern w:val="2"/>
          <w:sz w:val="32"/>
          <w:szCs w:val="32"/>
          <w:lang w:val="zh-CN"/>
        </w:rPr>
        <w:t>资本经营预算财政拨款本年收入0万元，完成年初预算的0%，</w:t>
      </w:r>
      <w:r>
        <w:rPr>
          <w:rFonts w:hint="eastAsia" w:ascii="仿宋" w:hAnsi="仿宋" w:eastAsia="仿宋" w:cs="仿宋"/>
          <w:sz w:val="32"/>
          <w:szCs w:val="32"/>
          <w:highlight w:val="none"/>
          <w:lang w:val="zh-CN"/>
        </w:rPr>
        <w:t>比年初预算持平</w:t>
      </w:r>
      <w:r>
        <w:rPr>
          <w:rFonts w:hint="eastAsia" w:ascii="仿宋" w:hAnsi="仿宋" w:eastAsia="仿宋" w:cs="仿宋"/>
          <w:kern w:val="2"/>
          <w:sz w:val="32"/>
          <w:szCs w:val="32"/>
          <w:lang w:val="zh-CN"/>
        </w:rPr>
        <w:t>，主要原因是</w:t>
      </w:r>
      <w:r>
        <w:rPr>
          <w:rFonts w:hint="eastAsia" w:ascii="仿宋" w:hAnsi="仿宋" w:eastAsia="仿宋" w:cs="仿宋"/>
          <w:kern w:val="2"/>
          <w:sz w:val="32"/>
          <w:szCs w:val="32"/>
          <w:lang w:val="en-US" w:eastAsia="zh-CN"/>
        </w:rPr>
        <w:t>我单位不存在国有资本</w:t>
      </w:r>
      <w:r>
        <w:rPr>
          <w:rFonts w:hint="eastAsia" w:ascii="仿宋" w:hAnsi="仿宋" w:eastAsia="仿宋" w:cs="仿宋"/>
          <w:kern w:val="2"/>
          <w:sz w:val="32"/>
          <w:szCs w:val="32"/>
          <w:lang w:val="zh-CN"/>
        </w:rPr>
        <w:t>；本年支出0万元，完成年初预算的0%，比年初预算</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，主要原因是</w:t>
      </w:r>
      <w:r>
        <w:rPr>
          <w:rFonts w:hint="eastAsia" w:ascii="仿宋" w:hAnsi="仿宋" w:eastAsia="仿宋" w:cs="仿宋"/>
          <w:kern w:val="2"/>
          <w:sz w:val="32"/>
          <w:szCs w:val="32"/>
          <w:lang w:val="en-US" w:eastAsia="zh-CN"/>
        </w:rPr>
        <w:t>我单位不存在国有资本</w:t>
      </w:r>
      <w:r>
        <w:rPr>
          <w:rFonts w:hint="eastAsia" w:ascii="仿宋" w:hAnsi="仿宋" w:eastAsia="仿宋" w:cs="仿宋"/>
          <w:kern w:val="2"/>
          <w:sz w:val="32"/>
          <w:szCs w:val="32"/>
          <w:lang w:val="zh-CN"/>
        </w:rPr>
        <w:t>。</w:t>
      </w:r>
    </w:p>
    <w:p>
      <w:pPr>
        <w:autoSpaceDE w:val="0"/>
        <w:autoSpaceDN w:val="0"/>
        <w:adjustRightInd w:val="0"/>
        <w:spacing w:line="580" w:lineRule="exact"/>
        <w:ind w:firstLine="480" w:firstLineChars="200"/>
        <w:jc w:val="both"/>
        <w:rPr>
          <w:rFonts w:hint="eastAsia" w:ascii="仿宋" w:hAnsi="仿宋" w:eastAsia="仿宋" w:cs="仿宋"/>
          <w:kern w:val="2"/>
          <w:sz w:val="32"/>
          <w:szCs w:val="32"/>
          <w:lang w:val="zh-CN"/>
        </w:rPr>
      </w:pPr>
      <w:r>
        <w:drawing>
          <wp:anchor distT="0" distB="0" distL="114300" distR="114300" simplePos="0" relativeHeight="251668480" behindDoc="0" locked="0" layoutInCell="1" allowOverlap="1">
            <wp:simplePos x="0" y="0"/>
            <wp:positionH relativeFrom="column">
              <wp:posOffset>300355</wp:posOffset>
            </wp:positionH>
            <wp:positionV relativeFrom="paragraph">
              <wp:posOffset>80010</wp:posOffset>
            </wp:positionV>
            <wp:extent cx="4589145" cy="2555875"/>
            <wp:effectExtent l="4445" t="5080" r="8890" b="14605"/>
            <wp:wrapSquare wrapText="bothSides"/>
            <wp:docPr id="1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jc w:val="both"/>
        <w:rPr>
          <w:rFonts w:hint="eastAsia" w:ascii="仿宋" w:hAnsi="仿宋" w:eastAsia="仿宋" w:cs="仿宋"/>
          <w:kern w:val="2"/>
          <w:sz w:val="32"/>
          <w:szCs w:val="32"/>
          <w:lang w:val="zh-CN"/>
        </w:rPr>
      </w:pPr>
      <w:r>
        <w:rPr>
          <w:rFonts w:hint="eastAsia" w:ascii="仿宋" w:hAnsi="仿宋" w:eastAsia="仿宋" w:cs="仿宋"/>
          <w:sz w:val="32"/>
          <w:szCs w:val="32"/>
        </w:rPr>
        <w:t>图</w:t>
      </w:r>
      <w:r>
        <w:rPr>
          <w:rFonts w:hint="eastAsia" w:ascii="仿宋" w:hAnsi="仿宋" w:eastAsia="仿宋" w:cs="仿宋"/>
          <w:sz w:val="32"/>
          <w:szCs w:val="32"/>
          <w:lang w:val="en-US" w:eastAsia="zh-CN"/>
        </w:rPr>
        <w:t>4：2023年度财政拨款收支预决算对比情况  单位：万元</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Arial" w:cs="Times New Roman"/>
          <w:highlight w:val="none"/>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both"/>
        <w:outlineLvl w:val="2"/>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（三）财政拨款支出决算结构情况</w:t>
      </w:r>
    </w:p>
    <w:p>
      <w:pPr>
        <w:keepNext w:val="0"/>
        <w:keepLines w:val="0"/>
        <w:pageBreakBefore w:val="0"/>
        <w:kinsoku/>
        <w:wordWrap/>
        <w:overflowPunct/>
        <w:topLinePunct w:val="0"/>
        <w:autoSpaceDE/>
        <w:autoSpaceDN/>
        <w:bidi w:val="0"/>
        <w:adjustRightInd w:val="0"/>
        <w:snapToGrid w:val="0"/>
        <w:spacing w:line="580" w:lineRule="exact"/>
        <w:ind w:firstLine="660" w:firstLineChars="200"/>
        <w:jc w:val="left"/>
        <w:textAlignment w:val="auto"/>
        <w:rPr>
          <w:rFonts w:hint="eastAsia" w:ascii="仿宋" w:hAnsi="仿宋" w:eastAsia="仿宋" w:cs="仿宋"/>
          <w:sz w:val="32"/>
          <w:szCs w:val="32"/>
          <w:highlight w:val="yellow"/>
        </w:rPr>
      </w:pPr>
      <w:r>
        <w:rPr>
          <w:rFonts w:hint="default" w:ascii="Times New Roman" w:hAnsi="Times New Roman" w:eastAsia="仿宋_GB2312" w:cs="Times New Roman"/>
          <w:i w:val="0"/>
          <w:iCs w:val="0"/>
          <w:caps w:val="0"/>
          <w:color w:val="000000"/>
          <w:spacing w:val="0"/>
          <w:sz w:val="33"/>
          <w:szCs w:val="33"/>
          <w:highlight w:val="none"/>
          <w:shd w:val="clear" w:fill="FFFFFF"/>
        </w:rPr>
        <w:t> </w:t>
      </w:r>
      <w:r>
        <w:rPr>
          <w:rFonts w:hint="eastAsia" w:ascii="仿宋" w:hAnsi="仿宋" w:eastAsia="仿宋" w:cs="仿宋"/>
          <w:kern w:val="2"/>
          <w:sz w:val="32"/>
          <w:szCs w:val="32"/>
          <w:lang w:val="zh-CN"/>
        </w:rPr>
        <w:t> 202</w:t>
      </w:r>
      <w:r>
        <w:rPr>
          <w:rFonts w:hint="eastAsia" w:ascii="仿宋" w:hAnsi="仿宋" w:eastAsia="仿宋" w:cs="仿宋"/>
          <w:kern w:val="2"/>
          <w:sz w:val="32"/>
          <w:szCs w:val="32"/>
          <w:lang w:val="en-US" w:eastAsia="zh-CN"/>
        </w:rPr>
        <w:t>3</w:t>
      </w:r>
      <w:r>
        <w:rPr>
          <w:rFonts w:hint="eastAsia" w:ascii="仿宋" w:hAnsi="仿宋" w:eastAsia="仿宋" w:cs="仿宋"/>
          <w:kern w:val="2"/>
          <w:sz w:val="32"/>
          <w:szCs w:val="32"/>
          <w:lang w:val="zh-CN"/>
        </w:rPr>
        <w:t>年度财政拨款支出33,391.44万元，主要用于以下方面：</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zh-CN" w:eastAsia="zh-CN" w:bidi="ar-SA"/>
        </w:rPr>
        <w:t>一般公共服务（类）支出250万元，占0.75%，</w:t>
      </w:r>
      <w:r>
        <w:rPr>
          <w:rFonts w:hint="eastAsia" w:ascii="仿宋" w:hAnsi="仿宋" w:eastAsia="仿宋" w:cs="仿宋"/>
          <w:color w:val="auto"/>
          <w:kern w:val="2"/>
          <w:sz w:val="32"/>
          <w:szCs w:val="32"/>
          <w:lang w:val="en-US" w:eastAsia="zh-CN" w:bidi="ar-SA"/>
        </w:rPr>
        <w:t>主要用于支出商贸事务</w:t>
      </w:r>
      <w:r>
        <w:rPr>
          <w:rFonts w:hint="eastAsia" w:ascii="仿宋" w:hAnsi="仿宋" w:eastAsia="仿宋" w:cs="仿宋"/>
          <w:color w:val="auto"/>
          <w:kern w:val="2"/>
          <w:sz w:val="32"/>
          <w:szCs w:val="32"/>
          <w:lang w:val="zh-CN" w:eastAsia="zh-CN" w:bidi="ar-SA"/>
        </w:rPr>
        <w:t>；科学技术（类）支出33,074.47万元，占99.05%，</w:t>
      </w:r>
      <w:r>
        <w:rPr>
          <w:rFonts w:hint="eastAsia" w:ascii="仿宋" w:hAnsi="仿宋" w:eastAsia="仿宋" w:cs="仿宋"/>
          <w:color w:val="auto"/>
          <w:kern w:val="2"/>
          <w:sz w:val="32"/>
          <w:szCs w:val="32"/>
          <w:lang w:val="en-US" w:eastAsia="zh-CN" w:bidi="ar-SA"/>
        </w:rPr>
        <w:t>主要用于支出科技技术管理事务、基础研究、技术研究与开发、科技条件与服务、科技重大项目</w:t>
      </w:r>
      <w:r>
        <w:rPr>
          <w:rFonts w:hint="eastAsia" w:ascii="仿宋" w:hAnsi="仿宋" w:eastAsia="仿宋" w:cs="仿宋"/>
          <w:color w:val="auto"/>
          <w:kern w:val="2"/>
          <w:sz w:val="32"/>
          <w:szCs w:val="32"/>
          <w:lang w:val="zh-CN" w:eastAsia="zh-CN" w:bidi="ar-SA"/>
        </w:rPr>
        <w:t>；社会保障和就业 （类）支出27.58万元，占0.08%，</w:t>
      </w:r>
      <w:r>
        <w:rPr>
          <w:rFonts w:hint="eastAsia" w:ascii="仿宋" w:hAnsi="仿宋" w:eastAsia="仿宋" w:cs="仿宋"/>
          <w:color w:val="auto"/>
          <w:kern w:val="2"/>
          <w:sz w:val="32"/>
          <w:szCs w:val="32"/>
          <w:lang w:val="en-US" w:eastAsia="zh-CN" w:bidi="ar-SA"/>
        </w:rPr>
        <w:t>主要用于支出行政事业单位养老支出</w:t>
      </w:r>
      <w:r>
        <w:rPr>
          <w:rFonts w:hint="eastAsia" w:ascii="仿宋" w:hAnsi="仿宋" w:eastAsia="仿宋" w:cs="仿宋"/>
          <w:color w:val="auto"/>
          <w:kern w:val="2"/>
          <w:sz w:val="32"/>
          <w:szCs w:val="32"/>
          <w:lang w:val="zh-CN" w:eastAsia="zh-CN" w:bidi="ar-SA"/>
        </w:rPr>
        <w:t>；卫生健康（类）支出11.72万元，占0.04%，</w:t>
      </w:r>
      <w:r>
        <w:rPr>
          <w:rFonts w:hint="eastAsia" w:ascii="仿宋" w:hAnsi="仿宋" w:eastAsia="仿宋" w:cs="仿宋"/>
          <w:color w:val="auto"/>
          <w:kern w:val="2"/>
          <w:sz w:val="32"/>
          <w:szCs w:val="32"/>
          <w:lang w:val="en-US" w:eastAsia="zh-CN" w:bidi="ar-SA"/>
        </w:rPr>
        <w:t>主要用于行政事业单位医疗</w:t>
      </w:r>
      <w:r>
        <w:rPr>
          <w:rFonts w:hint="eastAsia" w:ascii="仿宋" w:hAnsi="仿宋" w:eastAsia="仿宋" w:cs="仿宋"/>
          <w:color w:val="auto"/>
          <w:kern w:val="2"/>
          <w:sz w:val="32"/>
          <w:szCs w:val="32"/>
          <w:lang w:val="zh-CN" w:eastAsia="zh-CN" w:bidi="ar-SA"/>
        </w:rPr>
        <w:t>；住房保障（类）支出27.67万元，占0.08%，</w:t>
      </w:r>
      <w:r>
        <w:rPr>
          <w:rFonts w:hint="eastAsia" w:ascii="仿宋" w:hAnsi="仿宋" w:eastAsia="仿宋" w:cs="仿宋"/>
          <w:color w:val="auto"/>
          <w:kern w:val="2"/>
          <w:sz w:val="32"/>
          <w:szCs w:val="32"/>
          <w:lang w:val="en-US" w:eastAsia="zh-CN" w:bidi="ar-SA"/>
        </w:rPr>
        <w:t>主要用于住房改革支出。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3" w:firstLineChars="200"/>
        <w:jc w:val="left"/>
        <w:textAlignment w:val="auto"/>
        <w:rPr>
          <w:rFonts w:hint="default" w:ascii="Times New Roman" w:hAnsi="Times New Roman" w:eastAsia="楷体_GB2312" w:cs="Times New Roman"/>
          <w:b/>
          <w:bCs/>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（四）</w:t>
      </w:r>
      <w:r>
        <w:rPr>
          <w:rFonts w:hint="default" w:ascii="Times New Roman" w:hAnsi="Times New Roman" w:eastAsia="楷体_GB2312" w:cs="Times New Roman"/>
          <w:b/>
          <w:bCs/>
          <w:kern w:val="2"/>
          <w:sz w:val="32"/>
          <w:szCs w:val="32"/>
          <w:lang w:val="en-US" w:eastAsia="zh-CN" w:bidi="ar-SA"/>
        </w:rPr>
        <w:t>一般公共预算基本支出决算情况说明</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right="0" w:firstLine="640" w:firstLineChars="200"/>
        <w:jc w:val="both"/>
        <w:textAlignment w:val="auto"/>
        <w:rPr>
          <w:rFonts w:hint="eastAsia" w:ascii="仿宋" w:hAnsi="仿宋" w:eastAsia="仿宋" w:cs="仿宋"/>
          <w:color w:val="auto"/>
          <w:kern w:val="2"/>
          <w:sz w:val="32"/>
          <w:szCs w:val="32"/>
          <w:lang w:val="zh-CN" w:eastAsia="zh-CN" w:bidi="ar-SA"/>
        </w:rPr>
      </w:pPr>
      <w:r>
        <w:rPr>
          <w:rFonts w:hint="eastAsia" w:ascii="仿宋" w:hAnsi="仿宋" w:eastAsia="仿宋" w:cs="仿宋"/>
          <w:color w:val="auto"/>
          <w:kern w:val="2"/>
          <w:sz w:val="32"/>
          <w:szCs w:val="32"/>
          <w:lang w:val="zh-CN" w:eastAsia="zh-CN" w:bidi="ar-SA"/>
        </w:rPr>
        <w:t>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年度财政拨款基本支出613.47万元，其中：</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right="0" w:firstLine="640" w:firstLineChars="200"/>
        <w:jc w:val="both"/>
        <w:textAlignment w:val="auto"/>
        <w:rPr>
          <w:rFonts w:hint="eastAsia" w:ascii="仿宋" w:hAnsi="仿宋" w:eastAsia="仿宋" w:cs="仿宋"/>
          <w:sz w:val="32"/>
          <w:szCs w:val="32"/>
        </w:rPr>
      </w:pPr>
      <w:r>
        <w:rPr>
          <w:rFonts w:hint="eastAsia" w:ascii="仿宋" w:hAnsi="仿宋" w:eastAsia="仿宋" w:cs="仿宋"/>
          <w:color w:val="auto"/>
          <w:kern w:val="2"/>
          <w:sz w:val="32"/>
          <w:szCs w:val="32"/>
          <w:lang w:val="zh-CN" w:eastAsia="zh-CN" w:bidi="ar-SA"/>
        </w:rPr>
        <w:t>人员经费465.95万元，主要包括基本工资、津贴补贴、奖金、绩效工资、机关事业部门基本养老保险缴费、职业年金缴费、职工基本医疗保险缴费、公务员医疗补助缴费、住房公积金、医疗费、其他社会保障缴费、其他工资福利支出、离休费、 退休费、 抚恤金、生活补助、医疗费补助、奖励金、其他对</w:t>
      </w:r>
      <w:r>
        <w:rPr>
          <w:rFonts w:hint="eastAsia" w:ascii="仿宋" w:hAnsi="仿宋" w:eastAsia="仿宋" w:cs="仿宋"/>
          <w:i w:val="0"/>
          <w:iCs w:val="0"/>
          <w:caps w:val="0"/>
          <w:color w:val="333333"/>
          <w:spacing w:val="0"/>
          <w:sz w:val="32"/>
          <w:szCs w:val="32"/>
          <w:highlight w:val="none"/>
          <w:shd w:val="clear" w:fill="FFFFFF"/>
        </w:rPr>
        <w:t>个人和家庭</w:t>
      </w:r>
      <w:r>
        <w:rPr>
          <w:rFonts w:hint="eastAsia" w:ascii="仿宋" w:hAnsi="仿宋" w:eastAsia="仿宋" w:cs="仿宋"/>
          <w:color w:val="auto"/>
          <w:kern w:val="2"/>
          <w:sz w:val="32"/>
          <w:szCs w:val="32"/>
          <w:lang w:val="zh-CN" w:eastAsia="zh-CN" w:bidi="ar-SA"/>
        </w:rPr>
        <w:t>的补助支出。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auto"/>
          <w:kern w:val="0"/>
          <w:sz w:val="32"/>
          <w:szCs w:val="32"/>
          <w:highlight w:val="yellow"/>
          <w:lang w:val="en-US" w:eastAsia="zh-CN" w:bidi="ar-SA"/>
        </w:rPr>
      </w:pPr>
      <w:r>
        <w:rPr>
          <w:rFonts w:hint="eastAsia" w:ascii="仿宋" w:hAnsi="仿宋" w:eastAsia="仿宋" w:cs="仿宋"/>
          <w:i w:val="0"/>
          <w:iCs w:val="0"/>
          <w:caps w:val="0"/>
          <w:color w:val="333333"/>
          <w:spacing w:val="0"/>
          <w:sz w:val="32"/>
          <w:szCs w:val="32"/>
          <w:highlight w:val="none"/>
          <w:shd w:val="clear" w:fill="FFFFFF"/>
        </w:rPr>
        <w:t> </w:t>
      </w:r>
      <w:r>
        <w:rPr>
          <w:rFonts w:hint="eastAsia" w:ascii="仿宋" w:hAnsi="仿宋" w:eastAsia="仿宋" w:cs="仿宋"/>
          <w:i w:val="0"/>
          <w:iCs w:val="0"/>
          <w:caps w:val="0"/>
          <w:color w:val="333333"/>
          <w:spacing w:val="0"/>
          <w:sz w:val="32"/>
          <w:szCs w:val="32"/>
          <w:highlight w:val="none"/>
          <w:shd w:val="clear" w:fill="FFFFFF"/>
          <w:lang w:val="en-US" w:eastAsia="zh-CN"/>
        </w:rPr>
        <w:t xml:space="preserve">   </w:t>
      </w:r>
      <w:r>
        <w:rPr>
          <w:rFonts w:hint="eastAsia" w:ascii="仿宋" w:hAnsi="仿宋" w:eastAsia="仿宋" w:cs="仿宋"/>
          <w:color w:val="auto"/>
          <w:kern w:val="2"/>
          <w:sz w:val="32"/>
          <w:szCs w:val="32"/>
          <w:lang w:val="zh-CN" w:eastAsia="zh-CN" w:bidi="ar-SA"/>
        </w:rPr>
        <w:t>公用经费147.52万元，主要包括办公费、印刷费、手续费、差旅费、委托业务费、福利费、其他商品和服务支出。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五、财政拨款“三公” 经费支出决算情况说明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both"/>
        <w:outlineLvl w:val="2"/>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（一）“三公”经费财政拨款支出决算总体情况说明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auto"/>
          <w:kern w:val="2"/>
          <w:sz w:val="32"/>
          <w:szCs w:val="32"/>
          <w:lang w:val="zh-CN" w:eastAsia="zh-CN" w:bidi="ar-SA"/>
        </w:rPr>
      </w:pP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eastAsia="zh-CN"/>
        </w:rPr>
        <w:t xml:space="preserve"> </w:t>
      </w:r>
      <w:r>
        <w:rPr>
          <w:rFonts w:hint="default" w:ascii="Times New Roman" w:hAnsi="Times New Roman" w:eastAsia="仿宋_GB2312" w:cs="Times New Roman"/>
          <w:color w:val="auto"/>
          <w:kern w:val="2"/>
          <w:sz w:val="32"/>
          <w:szCs w:val="32"/>
          <w:lang w:val="en-US" w:eastAsia="zh-CN" w:bidi="ar-SA"/>
        </w:rPr>
        <w:t xml:space="preserve"> </w:t>
      </w:r>
      <w:r>
        <w:rPr>
          <w:rFonts w:hint="eastAsia" w:ascii="仿宋" w:hAnsi="仿宋" w:eastAsia="仿宋" w:cs="仿宋"/>
          <w:color w:val="auto"/>
          <w:kern w:val="2"/>
          <w:sz w:val="32"/>
          <w:szCs w:val="32"/>
          <w:lang w:val="zh-CN" w:eastAsia="zh-CN" w:bidi="ar-SA"/>
        </w:rPr>
        <w:t>本单位202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年度“三公”经费财政拨款支出预算为2万元，支出决算为 0万元，完成预算的 0%，较预算减少2万元，降低100%，主要是</w:t>
      </w:r>
      <w:r>
        <w:rPr>
          <w:rFonts w:hint="eastAsia" w:ascii="仿宋" w:hAnsi="仿宋" w:eastAsia="仿宋" w:cs="仿宋"/>
          <w:sz w:val="32"/>
          <w:szCs w:val="32"/>
        </w:rPr>
        <w:t>落实中央八项规定精神和厉行节约要求，管理制度不断完善</w:t>
      </w:r>
      <w:r>
        <w:rPr>
          <w:rFonts w:hint="eastAsia" w:ascii="仿宋" w:hAnsi="仿宋" w:eastAsia="仿宋" w:cs="仿宋"/>
          <w:sz w:val="32"/>
          <w:szCs w:val="32"/>
          <w:lang w:eastAsia="zh-CN"/>
        </w:rPr>
        <w:t>；</w:t>
      </w:r>
      <w:r>
        <w:rPr>
          <w:rFonts w:hint="eastAsia" w:ascii="仿宋" w:hAnsi="仿宋" w:eastAsia="仿宋" w:cs="仿宋"/>
          <w:color w:val="auto"/>
          <w:kern w:val="2"/>
          <w:sz w:val="32"/>
          <w:szCs w:val="32"/>
          <w:lang w:val="zh-CN" w:eastAsia="zh-CN" w:bidi="ar-SA"/>
        </w:rPr>
        <w:t>较2022年度决算持平。</w:t>
      </w:r>
    </w:p>
    <w:p>
      <w:pPr>
        <w:adjustRightInd w:val="0"/>
        <w:snapToGrid w:val="0"/>
        <w:spacing w:line="580" w:lineRule="exact"/>
        <w:ind w:firstLine="643" w:firstLineChars="200"/>
        <w:rPr>
          <w:rFonts w:hint="eastAsia" w:ascii="楷体" w:hAnsi="楷体" w:eastAsia="楷体" w:cs="楷体"/>
          <w:b/>
          <w:bCs/>
          <w:kern w:val="2"/>
          <w:sz w:val="32"/>
          <w:szCs w:val="32"/>
        </w:rPr>
      </w:pPr>
      <w:r>
        <w:rPr>
          <w:rFonts w:hint="eastAsia" w:ascii="楷体" w:hAnsi="楷体" w:eastAsia="楷体" w:cs="楷体"/>
          <w:b/>
          <w:bCs/>
          <w:kern w:val="2"/>
          <w:sz w:val="32"/>
          <w:szCs w:val="32"/>
        </w:rPr>
        <w:t>（二）“三公”经费财政拨款支出决算具体情况说明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both"/>
        <w:rPr>
          <w:rFonts w:hint="eastAsia" w:ascii="仿宋" w:hAnsi="仿宋" w:eastAsia="仿宋" w:cs="仿宋"/>
          <w:color w:val="auto"/>
          <w:kern w:val="2"/>
          <w:sz w:val="32"/>
          <w:szCs w:val="32"/>
          <w:lang w:val="en-US" w:eastAsia="zh-CN" w:bidi="ar-SA"/>
        </w:rPr>
      </w:pPr>
      <w:r>
        <w:rPr>
          <w:rFonts w:hint="eastAsia" w:ascii="仿宋" w:hAnsi="仿宋" w:eastAsia="仿宋" w:cs="仿宋"/>
          <w:b/>
          <w:bCs/>
          <w:kern w:val="2"/>
          <w:sz w:val="32"/>
          <w:szCs w:val="32"/>
          <w:lang w:val="en-US" w:eastAsia="zh-CN" w:bidi="ar-SA"/>
        </w:rPr>
        <w:t>1.因公出国（境）费支出情况。</w:t>
      </w:r>
      <w:r>
        <w:rPr>
          <w:rFonts w:hint="eastAsia" w:ascii="仿宋" w:hAnsi="仿宋" w:eastAsia="仿宋" w:cs="仿宋"/>
          <w:color w:val="auto"/>
          <w:kern w:val="2"/>
          <w:sz w:val="32"/>
          <w:szCs w:val="32"/>
          <w:lang w:val="zh-CN" w:eastAsia="zh-CN" w:bidi="ar-SA"/>
        </w:rPr>
        <w:t>本单位</w:t>
      </w:r>
      <w:r>
        <w:rPr>
          <w:rFonts w:hint="eastAsia" w:ascii="仿宋" w:hAnsi="仿宋" w:eastAsia="仿宋" w:cs="仿宋"/>
          <w:color w:val="auto"/>
          <w:kern w:val="2"/>
          <w:sz w:val="32"/>
          <w:szCs w:val="32"/>
          <w:lang w:val="en-US" w:eastAsia="zh-CN" w:bidi="ar-SA"/>
        </w:rPr>
        <w:t>2023年度因公出国（境）费支出预算为0万元,支出决算0万元。完成预算的0%。因公出国（境）费支出较预算</w:t>
      </w:r>
      <w:r>
        <w:rPr>
          <w:rFonts w:hint="eastAsia" w:ascii="仿宋" w:hAnsi="仿宋" w:eastAsia="仿宋" w:cs="仿宋"/>
          <w:color w:val="auto"/>
          <w:kern w:val="2"/>
          <w:sz w:val="32"/>
          <w:szCs w:val="32"/>
          <w:lang w:val="zh-CN" w:eastAsia="zh-CN" w:bidi="ar-SA"/>
        </w:rPr>
        <w:t>持平</w:t>
      </w:r>
      <w:r>
        <w:rPr>
          <w:rFonts w:hint="eastAsia" w:ascii="仿宋" w:hAnsi="仿宋" w:eastAsia="仿宋" w:cs="仿宋"/>
          <w:color w:val="auto"/>
          <w:kern w:val="2"/>
          <w:sz w:val="32"/>
          <w:szCs w:val="32"/>
          <w:lang w:val="en-US" w:eastAsia="zh-CN" w:bidi="ar-SA"/>
        </w:rPr>
        <w:t>，主要是</w:t>
      </w:r>
      <w:r>
        <w:rPr>
          <w:rFonts w:hint="eastAsia" w:ascii="仿宋" w:hAnsi="仿宋" w:eastAsia="仿宋" w:cs="仿宋"/>
          <w:sz w:val="32"/>
          <w:szCs w:val="32"/>
          <w:lang w:eastAsia="zh-CN"/>
        </w:rPr>
        <w:t>未</w:t>
      </w:r>
      <w:r>
        <w:rPr>
          <w:rFonts w:hint="eastAsia" w:ascii="仿宋" w:hAnsi="仿宋" w:eastAsia="仿宋" w:cs="仿宋"/>
          <w:sz w:val="32"/>
          <w:szCs w:val="32"/>
        </w:rPr>
        <w:t>安排因公出国出访任务</w:t>
      </w:r>
      <w:r>
        <w:rPr>
          <w:rFonts w:hint="eastAsia" w:ascii="仿宋" w:hAnsi="仿宋" w:eastAsia="仿宋" w:cs="仿宋"/>
          <w:color w:val="auto"/>
          <w:kern w:val="2"/>
          <w:sz w:val="32"/>
          <w:szCs w:val="32"/>
          <w:lang w:val="en-US" w:eastAsia="zh-CN" w:bidi="ar-SA"/>
        </w:rPr>
        <w:t>；较上年</w:t>
      </w:r>
      <w:r>
        <w:rPr>
          <w:rFonts w:hint="eastAsia" w:ascii="仿宋" w:hAnsi="仿宋" w:eastAsia="仿宋" w:cs="仿宋"/>
          <w:color w:val="auto"/>
          <w:kern w:val="2"/>
          <w:sz w:val="32"/>
          <w:szCs w:val="32"/>
          <w:lang w:val="zh-CN" w:eastAsia="zh-CN" w:bidi="ar-SA"/>
        </w:rPr>
        <w:t>持平</w:t>
      </w:r>
      <w:r>
        <w:rPr>
          <w:rFonts w:hint="eastAsia" w:ascii="仿宋" w:hAnsi="仿宋" w:eastAsia="仿宋" w:cs="仿宋"/>
          <w:color w:val="auto"/>
          <w:kern w:val="2"/>
          <w:sz w:val="32"/>
          <w:szCs w:val="32"/>
          <w:lang w:val="en-US" w:eastAsia="zh-CN" w:bidi="ar-SA"/>
        </w:rPr>
        <w:t>，主要是</w:t>
      </w:r>
      <w:r>
        <w:rPr>
          <w:rFonts w:hint="eastAsia" w:ascii="仿宋" w:hAnsi="仿宋" w:eastAsia="仿宋" w:cs="仿宋"/>
          <w:sz w:val="32"/>
          <w:szCs w:val="32"/>
          <w:lang w:eastAsia="zh-CN"/>
        </w:rPr>
        <w:t>未</w:t>
      </w:r>
      <w:r>
        <w:rPr>
          <w:rFonts w:hint="eastAsia" w:ascii="仿宋" w:hAnsi="仿宋" w:eastAsia="仿宋" w:cs="仿宋"/>
          <w:sz w:val="32"/>
          <w:szCs w:val="32"/>
        </w:rPr>
        <w:t>安排因公出国出访任务</w:t>
      </w:r>
      <w:r>
        <w:rPr>
          <w:rFonts w:hint="eastAsia" w:ascii="仿宋" w:hAnsi="仿宋" w:eastAsia="仿宋" w:cs="仿宋"/>
          <w:color w:val="auto"/>
          <w:kern w:val="2"/>
          <w:sz w:val="32"/>
          <w:szCs w:val="32"/>
          <w:lang w:val="en-US" w:eastAsia="zh-CN" w:bidi="ar-SA"/>
        </w:rPr>
        <w:t>。因公出国（境）团组0个、共0人、参加其他单位组织的因公出国（境）团组0个、共0人，无本单位组织的出国（境）团组。</w:t>
      </w:r>
    </w:p>
    <w:p>
      <w:pPr>
        <w:keepNext w:val="0"/>
        <w:keepLines w:val="0"/>
        <w:pageBreakBefore w:val="0"/>
        <w:kinsoku/>
        <w:wordWrap/>
        <w:overflowPunct/>
        <w:topLinePunct w:val="0"/>
        <w:autoSpaceDE/>
        <w:autoSpaceDN/>
        <w:bidi w:val="0"/>
        <w:adjustRightInd w:val="0"/>
        <w:snapToGrid w:val="0"/>
        <w:spacing w:line="580" w:lineRule="exact"/>
        <w:ind w:firstLine="643" w:firstLineChars="200"/>
        <w:jc w:val="both"/>
        <w:textAlignment w:val="auto"/>
        <w:rPr>
          <w:rFonts w:hint="eastAsia" w:ascii="仿宋" w:hAnsi="仿宋" w:eastAsia="仿宋" w:cs="仿宋"/>
          <w:highlight w:val="none"/>
        </w:rPr>
      </w:pPr>
      <w:r>
        <w:rPr>
          <w:rFonts w:hint="eastAsia" w:ascii="仿宋" w:hAnsi="仿宋" w:eastAsia="仿宋" w:cs="仿宋"/>
          <w:b/>
          <w:bCs/>
          <w:kern w:val="2"/>
          <w:sz w:val="32"/>
          <w:szCs w:val="32"/>
          <w:lang w:val="en-US" w:eastAsia="zh-CN" w:bidi="ar-SA"/>
        </w:rPr>
        <w:t>2.</w:t>
      </w:r>
      <w:r>
        <w:rPr>
          <w:rFonts w:hint="eastAsia" w:ascii="仿宋" w:hAnsi="仿宋" w:eastAsia="仿宋" w:cs="仿宋"/>
          <w:b/>
          <w:bCs/>
          <w:sz w:val="32"/>
          <w:szCs w:val="32"/>
        </w:rPr>
        <w:t>公务用车购置及运行维护费支出情况。</w:t>
      </w:r>
      <w:r>
        <w:rPr>
          <w:rFonts w:hint="eastAsia" w:ascii="仿宋" w:hAnsi="仿宋" w:eastAsia="仿宋" w:cs="仿宋"/>
          <w:color w:val="auto"/>
          <w:kern w:val="2"/>
          <w:sz w:val="32"/>
          <w:szCs w:val="32"/>
          <w:lang w:val="zh-CN" w:eastAsia="zh-CN" w:bidi="ar-SA"/>
        </w:rPr>
        <w:t>本单位202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年度公务用车购置及运行维护费预算为0万元，支出决算 0万元，完成预算的0%,较预算持平，主要是</w:t>
      </w:r>
      <w:r>
        <w:rPr>
          <w:rFonts w:hint="eastAsia" w:ascii="仿宋" w:hAnsi="仿宋" w:eastAsia="仿宋" w:cs="仿宋"/>
          <w:sz w:val="32"/>
          <w:szCs w:val="32"/>
        </w:rPr>
        <w:t>无公务用车</w:t>
      </w:r>
      <w:r>
        <w:rPr>
          <w:rFonts w:hint="eastAsia" w:ascii="仿宋" w:hAnsi="仿宋" w:eastAsia="仿宋" w:cs="仿宋"/>
          <w:color w:val="auto"/>
          <w:kern w:val="2"/>
          <w:sz w:val="32"/>
          <w:szCs w:val="32"/>
          <w:lang w:val="zh-CN" w:eastAsia="zh-CN" w:bidi="ar-SA"/>
        </w:rPr>
        <w:t>；较上年持平，主要是</w:t>
      </w:r>
      <w:r>
        <w:rPr>
          <w:rFonts w:hint="eastAsia" w:ascii="仿宋" w:hAnsi="仿宋" w:eastAsia="仿宋" w:cs="仿宋"/>
          <w:sz w:val="32"/>
          <w:szCs w:val="32"/>
        </w:rPr>
        <w:t>无公务用车</w:t>
      </w:r>
      <w:r>
        <w:rPr>
          <w:rFonts w:hint="eastAsia" w:ascii="仿宋" w:hAnsi="仿宋" w:eastAsia="仿宋" w:cs="仿宋"/>
          <w:color w:val="auto"/>
          <w:kern w:val="2"/>
          <w:sz w:val="32"/>
          <w:szCs w:val="32"/>
          <w:lang w:val="zh-CN" w:eastAsia="zh-CN" w:bidi="ar-SA"/>
        </w:rPr>
        <w:t>。其中：</w:t>
      </w:r>
    </w:p>
    <w:p>
      <w:pPr>
        <w:adjustRightInd w:val="0"/>
        <w:snapToGrid w:val="0"/>
        <w:spacing w:line="580" w:lineRule="exact"/>
        <w:ind w:firstLine="643" w:firstLineChars="200"/>
        <w:jc w:val="both"/>
        <w:rPr>
          <w:rFonts w:hint="eastAsia" w:ascii="仿宋" w:hAnsi="仿宋" w:eastAsia="仿宋" w:cs="仿宋"/>
          <w:color w:val="auto"/>
          <w:kern w:val="2"/>
          <w:sz w:val="32"/>
          <w:szCs w:val="32"/>
          <w:lang w:val="zh-CN" w:eastAsia="zh-CN" w:bidi="ar-SA"/>
        </w:rPr>
      </w:pPr>
      <w:r>
        <w:rPr>
          <w:rFonts w:hint="eastAsia" w:ascii="仿宋" w:hAnsi="仿宋" w:eastAsia="仿宋" w:cs="仿宋"/>
          <w:b/>
          <w:sz w:val="32"/>
          <w:szCs w:val="32"/>
        </w:rPr>
        <w:t>公务用车购置费支出</w:t>
      </w:r>
      <w:r>
        <w:rPr>
          <w:rFonts w:hint="eastAsia" w:ascii="仿宋" w:hAnsi="仿宋" w:eastAsia="仿宋" w:cs="仿宋"/>
          <w:b/>
          <w:sz w:val="32"/>
          <w:szCs w:val="32"/>
          <w:lang w:val="en-US" w:eastAsia="zh-CN"/>
        </w:rPr>
        <w:t>0</w:t>
      </w:r>
      <w:r>
        <w:rPr>
          <w:rFonts w:hint="eastAsia" w:ascii="仿宋" w:hAnsi="仿宋" w:eastAsia="仿宋" w:cs="仿宋"/>
          <w:b/>
          <w:bCs/>
          <w:sz w:val="32"/>
          <w:szCs w:val="32"/>
        </w:rPr>
        <w:t>万元</w:t>
      </w:r>
      <w:r>
        <w:rPr>
          <w:rFonts w:hint="eastAsia" w:ascii="仿宋" w:hAnsi="仿宋" w:eastAsia="仿宋" w:cs="仿宋"/>
          <w:b/>
          <w:sz w:val="32"/>
          <w:szCs w:val="32"/>
        </w:rPr>
        <w:t>：</w:t>
      </w:r>
      <w:r>
        <w:rPr>
          <w:rFonts w:hint="eastAsia" w:ascii="仿宋" w:hAnsi="仿宋" w:eastAsia="仿宋" w:cs="仿宋"/>
          <w:color w:val="auto"/>
          <w:kern w:val="2"/>
          <w:sz w:val="32"/>
          <w:szCs w:val="32"/>
          <w:lang w:val="zh-CN" w:eastAsia="zh-CN" w:bidi="ar-SA"/>
        </w:rPr>
        <w:t>本单位202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年度公务用车购置量0辆，发生“公务用车购置”经费支出 0万元。公务用车购置费支出较预算持平，主要是</w:t>
      </w:r>
      <w:r>
        <w:rPr>
          <w:rFonts w:hint="eastAsia" w:ascii="仿宋" w:hAnsi="仿宋" w:eastAsia="仿宋" w:cs="仿宋"/>
          <w:sz w:val="32"/>
          <w:szCs w:val="32"/>
        </w:rPr>
        <w:t>无公务用车购置指标</w:t>
      </w:r>
      <w:r>
        <w:rPr>
          <w:rFonts w:hint="eastAsia" w:ascii="仿宋" w:hAnsi="仿宋" w:eastAsia="仿宋" w:cs="仿宋"/>
          <w:color w:val="auto"/>
          <w:kern w:val="2"/>
          <w:sz w:val="32"/>
          <w:szCs w:val="32"/>
          <w:lang w:val="zh-CN" w:eastAsia="zh-CN" w:bidi="ar-SA"/>
        </w:rPr>
        <w:t>；较上年持平，主要是</w:t>
      </w:r>
      <w:r>
        <w:rPr>
          <w:rFonts w:hint="eastAsia" w:ascii="仿宋" w:hAnsi="仿宋" w:eastAsia="仿宋" w:cs="仿宋"/>
          <w:sz w:val="32"/>
          <w:szCs w:val="32"/>
        </w:rPr>
        <w:t>无公务用车购置指标</w:t>
      </w:r>
      <w:r>
        <w:rPr>
          <w:rFonts w:hint="eastAsia" w:ascii="仿宋" w:hAnsi="仿宋" w:eastAsia="仿宋" w:cs="仿宋"/>
          <w:color w:val="auto"/>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ascii="仿宋" w:hAnsi="仿宋" w:eastAsia="仿宋" w:cs="仿宋"/>
          <w:color w:val="auto"/>
          <w:kern w:val="2"/>
          <w:sz w:val="32"/>
          <w:szCs w:val="32"/>
          <w:lang w:val="zh-CN" w:eastAsia="zh-CN" w:bidi="ar-SA"/>
        </w:rPr>
      </w:pPr>
      <w:r>
        <w:rPr>
          <w:rFonts w:hint="eastAsia" w:ascii="仿宋" w:hAnsi="仿宋" w:eastAsia="仿宋" w:cs="仿宋"/>
          <w:b/>
          <w:sz w:val="32"/>
          <w:szCs w:val="32"/>
        </w:rPr>
        <w:t>公务用车运行维护费支出</w:t>
      </w:r>
      <w:r>
        <w:rPr>
          <w:rFonts w:hint="eastAsia" w:ascii="仿宋" w:hAnsi="仿宋" w:eastAsia="仿宋" w:cs="仿宋"/>
          <w:b/>
          <w:sz w:val="32"/>
          <w:szCs w:val="32"/>
          <w:lang w:val="en-US" w:eastAsia="zh-CN"/>
        </w:rPr>
        <w:t>0</w:t>
      </w:r>
      <w:r>
        <w:rPr>
          <w:rFonts w:hint="eastAsia" w:ascii="仿宋" w:hAnsi="仿宋" w:eastAsia="仿宋" w:cs="仿宋"/>
          <w:b/>
          <w:bCs/>
          <w:sz w:val="32"/>
          <w:szCs w:val="32"/>
        </w:rPr>
        <w:t>万元</w:t>
      </w:r>
      <w:r>
        <w:rPr>
          <w:rFonts w:hint="eastAsia" w:ascii="仿宋" w:hAnsi="仿宋" w:eastAsia="仿宋" w:cs="仿宋"/>
          <w:b/>
          <w:sz w:val="32"/>
          <w:szCs w:val="32"/>
        </w:rPr>
        <w:t>：</w:t>
      </w:r>
      <w:r>
        <w:rPr>
          <w:rFonts w:hint="eastAsia" w:ascii="仿宋" w:hAnsi="仿宋" w:eastAsia="仿宋" w:cs="仿宋"/>
          <w:color w:val="auto"/>
          <w:kern w:val="2"/>
          <w:sz w:val="32"/>
          <w:szCs w:val="32"/>
          <w:lang w:val="zh-CN" w:eastAsia="zh-CN" w:bidi="ar-SA"/>
        </w:rPr>
        <w:t>本单位202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年度单位公务用车保有量0辆，发生运行维护费支出0万元。公车运行维护费支出较预算持平，主要是</w:t>
      </w:r>
      <w:r>
        <w:rPr>
          <w:rFonts w:hint="eastAsia" w:ascii="仿宋" w:hAnsi="仿宋" w:eastAsia="仿宋" w:cs="仿宋"/>
          <w:color w:val="auto"/>
          <w:kern w:val="2"/>
          <w:sz w:val="32"/>
          <w:szCs w:val="32"/>
          <w:lang w:val="en-US" w:eastAsia="zh-CN" w:bidi="ar-SA"/>
        </w:rPr>
        <w:t>无公务用车</w:t>
      </w:r>
      <w:r>
        <w:rPr>
          <w:rFonts w:hint="eastAsia" w:ascii="仿宋" w:hAnsi="仿宋" w:eastAsia="仿宋" w:cs="仿宋"/>
          <w:color w:val="auto"/>
          <w:kern w:val="2"/>
          <w:sz w:val="32"/>
          <w:szCs w:val="32"/>
          <w:lang w:val="zh-CN" w:eastAsia="zh-CN" w:bidi="ar-SA"/>
        </w:rPr>
        <w:t>；较上年持平，主要是</w:t>
      </w:r>
      <w:r>
        <w:rPr>
          <w:rFonts w:hint="eastAsia" w:ascii="仿宋" w:hAnsi="仿宋" w:eastAsia="仿宋" w:cs="仿宋"/>
          <w:color w:val="auto"/>
          <w:kern w:val="2"/>
          <w:sz w:val="32"/>
          <w:szCs w:val="32"/>
          <w:lang w:val="en-US" w:eastAsia="zh-CN" w:bidi="ar-SA"/>
        </w:rPr>
        <w:t>无公务用车</w:t>
      </w:r>
      <w:r>
        <w:rPr>
          <w:rFonts w:hint="eastAsia" w:ascii="仿宋" w:hAnsi="仿宋" w:eastAsia="仿宋" w:cs="仿宋"/>
          <w:color w:val="auto"/>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both"/>
        <w:textAlignment w:val="auto"/>
        <w:rPr>
          <w:rFonts w:hint="eastAsia" w:ascii="仿宋" w:hAnsi="仿宋" w:eastAsia="仿宋" w:cs="仿宋"/>
          <w:color w:val="auto"/>
          <w:kern w:val="2"/>
          <w:sz w:val="32"/>
          <w:szCs w:val="32"/>
          <w:lang w:val="zh-CN" w:eastAsia="zh-CN" w:bidi="ar-SA"/>
        </w:rPr>
      </w:pPr>
      <w:r>
        <w:rPr>
          <w:rFonts w:hint="eastAsia" w:ascii="仿宋" w:hAnsi="仿宋" w:eastAsia="仿宋" w:cs="仿宋"/>
          <w:b/>
          <w:bCs/>
          <w:kern w:val="2"/>
          <w:sz w:val="32"/>
          <w:szCs w:val="32"/>
          <w:lang w:val="en-US" w:eastAsia="zh-CN" w:bidi="ar-SA"/>
        </w:rPr>
        <w:t>3.公务接待费。</w:t>
      </w:r>
      <w:r>
        <w:rPr>
          <w:rFonts w:hint="eastAsia" w:ascii="仿宋" w:hAnsi="仿宋" w:eastAsia="仿宋" w:cs="仿宋"/>
          <w:color w:val="auto"/>
          <w:kern w:val="2"/>
          <w:sz w:val="32"/>
          <w:szCs w:val="32"/>
          <w:lang w:val="zh-CN" w:eastAsia="zh-CN" w:bidi="ar-SA"/>
        </w:rPr>
        <w:t>本单位202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年度公务接待费支出预算为2万元，支出决算0万元，完成预算的0%。公务接待费支出较预算减少2万元，降低100%，主要是</w:t>
      </w:r>
      <w:r>
        <w:rPr>
          <w:rFonts w:hint="eastAsia" w:ascii="仿宋" w:hAnsi="仿宋" w:eastAsia="仿宋" w:cs="仿宋"/>
          <w:color w:val="auto"/>
          <w:kern w:val="2"/>
          <w:sz w:val="32"/>
          <w:szCs w:val="32"/>
          <w:lang w:val="en-US" w:eastAsia="zh-CN" w:bidi="ar-SA"/>
        </w:rPr>
        <w:t>无公务接待活动</w:t>
      </w:r>
      <w:r>
        <w:rPr>
          <w:rFonts w:hint="eastAsia" w:ascii="仿宋" w:hAnsi="仿宋" w:eastAsia="仿宋" w:cs="仿宋"/>
          <w:color w:val="auto"/>
          <w:kern w:val="2"/>
          <w:sz w:val="32"/>
          <w:szCs w:val="32"/>
          <w:lang w:val="zh-CN" w:eastAsia="zh-CN" w:bidi="ar-SA"/>
        </w:rPr>
        <w:t>；较上年度持平，主要是</w:t>
      </w:r>
      <w:r>
        <w:rPr>
          <w:rFonts w:hint="eastAsia" w:ascii="仿宋" w:hAnsi="仿宋" w:eastAsia="仿宋" w:cs="仿宋"/>
          <w:sz w:val="32"/>
          <w:szCs w:val="32"/>
        </w:rPr>
        <w:t>积极贯彻落实中央和省委关于厉行节约要求，严控公务接待支出</w:t>
      </w:r>
      <w:r>
        <w:rPr>
          <w:rFonts w:hint="eastAsia" w:ascii="仿宋" w:hAnsi="仿宋" w:eastAsia="仿宋" w:cs="仿宋"/>
          <w:color w:val="auto"/>
          <w:kern w:val="2"/>
          <w:sz w:val="32"/>
          <w:szCs w:val="32"/>
          <w:lang w:val="zh-CN" w:eastAsia="zh-CN" w:bidi="ar-SA"/>
        </w:rPr>
        <w:t>。本年度共发生公务接待</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批次、</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人次。</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Times New Roman" w:hAnsi="Times New Roman" w:eastAsia="黑体" w:cs="Times New Roman"/>
          <w:i w:val="0"/>
          <w:iCs w:val="0"/>
          <w:caps w:val="0"/>
          <w:color w:val="333333"/>
          <w:spacing w:val="0"/>
          <w:sz w:val="32"/>
          <w:szCs w:val="32"/>
          <w:highlight w:val="none"/>
          <w:shd w:val="clear" w:fill="FFFFFF"/>
          <w:lang w:eastAsia="zh-CN"/>
        </w:rPr>
      </w:pPr>
      <w:r>
        <w:rPr>
          <w:rFonts w:hint="default" w:ascii="Times New Roman" w:hAnsi="Times New Roman" w:eastAsia="黑体" w:cs="Times New Roman"/>
          <w:i w:val="0"/>
          <w:iCs w:val="0"/>
          <w:caps w:val="0"/>
          <w:color w:val="333333"/>
          <w:spacing w:val="0"/>
          <w:sz w:val="32"/>
          <w:szCs w:val="32"/>
          <w:highlight w:val="none"/>
          <w:shd w:val="clear" w:fill="FFFFFF"/>
        </w:rPr>
        <w:t>六、</w:t>
      </w:r>
      <w:r>
        <w:rPr>
          <w:rFonts w:hint="default" w:ascii="Times New Roman" w:hAnsi="Times New Roman" w:eastAsia="黑体" w:cs="Times New Roman"/>
          <w:sz w:val="32"/>
          <w:szCs w:val="32"/>
        </w:rPr>
        <w:t>机关运行经费支出说明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auto"/>
          <w:kern w:val="0"/>
          <w:sz w:val="32"/>
          <w:szCs w:val="32"/>
          <w:highlight w:val="yellow"/>
          <w:lang w:val="en-US" w:eastAsia="zh-CN" w:bidi="ar-SA"/>
        </w:rPr>
      </w:pP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t xml:space="preserve"> </w:t>
      </w:r>
      <w:r>
        <w:rPr>
          <w:rFonts w:hint="default" w:ascii="Times New Roman" w:hAnsi="Times New Roman" w:eastAsia="仿宋_GB2312" w:cs="Times New Roman"/>
          <w:i w:val="0"/>
          <w:iCs w:val="0"/>
          <w:caps w:val="0"/>
          <w:color w:val="333333"/>
          <w:spacing w:val="0"/>
          <w:sz w:val="33"/>
          <w:szCs w:val="33"/>
          <w:highlight w:val="none"/>
          <w:shd w:val="clear" w:fill="FFFFFF"/>
          <w:lang w:eastAsia="zh-CN"/>
        </w:rPr>
        <w:t xml:space="preserve"> </w:t>
      </w:r>
      <w:r>
        <w:rPr>
          <w:rFonts w:hint="eastAsia" w:ascii="仿宋" w:hAnsi="仿宋" w:eastAsia="仿宋" w:cs="仿宋"/>
          <w:color w:val="auto"/>
          <w:kern w:val="2"/>
          <w:sz w:val="32"/>
          <w:szCs w:val="32"/>
          <w:lang w:val="zh-CN" w:eastAsia="zh-CN" w:bidi="ar-SA"/>
        </w:rPr>
        <w:t>本单位202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年度机关运行经费支出147.52万元，较2022年度增加124.5万元，增长540.85%，主要原因是</w:t>
      </w:r>
      <w:r>
        <w:rPr>
          <w:rFonts w:hint="eastAsia" w:ascii="仿宋" w:hAnsi="仿宋" w:eastAsia="仿宋" w:cs="仿宋"/>
          <w:color w:val="auto"/>
          <w:kern w:val="2"/>
          <w:sz w:val="32"/>
          <w:szCs w:val="32"/>
          <w:lang w:val="en-US" w:eastAsia="zh-CN" w:bidi="ar-SA"/>
        </w:rPr>
        <w:t>人员增多</w:t>
      </w:r>
      <w:r>
        <w:rPr>
          <w:rFonts w:hint="eastAsia" w:ascii="仿宋" w:hAnsi="仿宋" w:eastAsia="仿宋" w:cs="仿宋"/>
          <w:color w:val="auto"/>
          <w:kern w:val="2"/>
          <w:sz w:val="32"/>
          <w:szCs w:val="32"/>
          <w:lang w:val="zh-CN" w:eastAsia="zh-CN" w:bidi="ar-SA"/>
        </w:rPr>
        <w:t>。</w:t>
      </w:r>
    </w:p>
    <w:p>
      <w:pPr>
        <w:adjustRightInd w:val="0"/>
        <w:snapToGrid w:val="0"/>
        <w:spacing w:line="580" w:lineRule="exact"/>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黑体" w:cs="Times New Roman"/>
          <w:i w:val="0"/>
          <w:iCs w:val="0"/>
          <w:caps w:val="0"/>
          <w:color w:val="333333"/>
          <w:spacing w:val="0"/>
          <w:sz w:val="32"/>
          <w:szCs w:val="32"/>
          <w:highlight w:val="none"/>
          <w:shd w:val="clear" w:fill="FFFFFF"/>
        </w:rPr>
        <w:t>七、</w:t>
      </w:r>
      <w:r>
        <w:rPr>
          <w:rFonts w:hint="default" w:ascii="Times New Roman" w:hAnsi="Times New Roman" w:eastAsia="黑体" w:cs="Times New Roman"/>
          <w:sz w:val="32"/>
          <w:szCs w:val="32"/>
        </w:rPr>
        <w:t>政府采购支出说明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sz w:val="32"/>
          <w:szCs w:val="32"/>
          <w:highlight w:val="yellow"/>
        </w:rPr>
      </w:pPr>
      <w:r>
        <w:rPr>
          <w:rFonts w:hint="default" w:ascii="Times New Roman" w:hAnsi="Times New Roman" w:eastAsia="Arial" w:cs="Times New Roman"/>
          <w:i w:val="0"/>
          <w:iCs w:val="0"/>
          <w:caps w:val="0"/>
          <w:color w:val="333333"/>
          <w:spacing w:val="0"/>
          <w:sz w:val="19"/>
          <w:szCs w:val="19"/>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 xml:space="preserve"> </w:t>
      </w:r>
      <w:r>
        <w:rPr>
          <w:rFonts w:hint="eastAsia" w:ascii="仿宋" w:hAnsi="仿宋" w:eastAsia="仿宋" w:cs="仿宋"/>
          <w:color w:val="auto"/>
          <w:kern w:val="2"/>
          <w:sz w:val="32"/>
          <w:szCs w:val="32"/>
          <w:lang w:val="zh-CN" w:eastAsia="zh-CN" w:bidi="ar-SA"/>
        </w:rPr>
        <w:t>本单位202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年度政府采购支出总额639.96万元，从采购类型来看，政府采购货物支出11.6万元、政府采购工程支出0万元、政府采购服务支出628.36万元。授予中小企业</w:t>
      </w:r>
      <w:r>
        <w:rPr>
          <w:rFonts w:hint="eastAsia" w:ascii="仿宋" w:hAnsi="仿宋" w:eastAsia="仿宋" w:cs="仿宋"/>
          <w:color w:val="auto"/>
          <w:kern w:val="2"/>
          <w:sz w:val="32"/>
          <w:szCs w:val="32"/>
          <w:lang w:val="en-US" w:eastAsia="zh-CN" w:bidi="ar-SA"/>
        </w:rPr>
        <w:t>合同金额</w:t>
      </w:r>
      <w:r>
        <w:rPr>
          <w:rFonts w:hint="eastAsia" w:ascii="仿宋" w:hAnsi="仿宋" w:eastAsia="仿宋" w:cs="仿宋"/>
          <w:color w:val="auto"/>
          <w:kern w:val="2"/>
          <w:sz w:val="32"/>
          <w:szCs w:val="32"/>
          <w:lang w:val="zh-CN" w:eastAsia="zh-CN" w:bidi="ar-SA"/>
        </w:rPr>
        <w:t>0万元，占政府采购支出总额的0%，其中授予小微企业合同金额0万元，占政府采购支出总额的0%。</w:t>
      </w:r>
    </w:p>
    <w:p>
      <w:pPr>
        <w:snapToGrid w:val="0"/>
        <w:spacing w:line="580" w:lineRule="exact"/>
        <w:ind w:firstLine="640" w:firstLineChars="200"/>
        <w:jc w:val="left"/>
        <w:rPr>
          <w:rFonts w:hint="default" w:ascii="Times New Roman" w:hAnsi="Times New Roman" w:eastAsia="仿宋_GB2312" w:cs="Times New Roman"/>
          <w:sz w:val="32"/>
          <w:szCs w:val="32"/>
          <w:highlight w:val="yellow"/>
        </w:rPr>
      </w:pPr>
      <w:r>
        <w:rPr>
          <w:rFonts w:hint="default" w:ascii="Times New Roman" w:hAnsi="Times New Roman" w:eastAsia="黑体" w:cs="Times New Roman"/>
          <w:i w:val="0"/>
          <w:iCs w:val="0"/>
          <w:caps w:val="0"/>
          <w:color w:val="333333"/>
          <w:spacing w:val="0"/>
          <w:sz w:val="32"/>
          <w:szCs w:val="32"/>
          <w:highlight w:val="none"/>
          <w:shd w:val="clear" w:fill="FFFFFF"/>
        </w:rPr>
        <w:t>八、</w:t>
      </w:r>
      <w:r>
        <w:rPr>
          <w:rFonts w:hint="default" w:ascii="Times New Roman" w:hAnsi="Times New Roman" w:eastAsia="黑体" w:cs="Times New Roman"/>
          <w:sz w:val="32"/>
          <w:szCs w:val="32"/>
        </w:rPr>
        <w:t>国有资产占用情况说明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auto"/>
          <w:kern w:val="2"/>
          <w:sz w:val="32"/>
          <w:szCs w:val="32"/>
          <w:lang w:val="zh-CN" w:eastAsia="zh-CN" w:bidi="ar-SA"/>
        </w:rPr>
      </w:pP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t xml:space="preserve">   </w:t>
      </w:r>
      <w:r>
        <w:rPr>
          <w:rFonts w:hint="eastAsia" w:ascii="仿宋" w:hAnsi="仿宋" w:eastAsia="仿宋" w:cs="仿宋"/>
          <w:color w:val="auto"/>
          <w:kern w:val="2"/>
          <w:sz w:val="32"/>
          <w:szCs w:val="32"/>
          <w:lang w:val="zh-CN" w:eastAsia="zh-CN" w:bidi="ar-SA"/>
        </w:rPr>
        <w:t>截至202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年12月31日，本单位共有车辆0辆，比上年持平辆，主要是</w:t>
      </w:r>
      <w:r>
        <w:rPr>
          <w:rFonts w:hint="eastAsia" w:ascii="仿宋" w:hAnsi="仿宋" w:eastAsia="仿宋" w:cs="仿宋"/>
          <w:color w:val="auto"/>
          <w:kern w:val="2"/>
          <w:sz w:val="32"/>
          <w:szCs w:val="32"/>
          <w:lang w:val="en-US" w:eastAsia="zh-CN" w:bidi="ar-SA"/>
        </w:rPr>
        <w:t>无公务用车</w:t>
      </w:r>
      <w:r>
        <w:rPr>
          <w:rFonts w:hint="eastAsia" w:ascii="仿宋" w:hAnsi="仿宋" w:eastAsia="仿宋" w:cs="仿宋"/>
          <w:color w:val="auto"/>
          <w:kern w:val="2"/>
          <w:sz w:val="32"/>
          <w:szCs w:val="32"/>
          <w:lang w:val="zh-CN" w:eastAsia="zh-CN" w:bidi="ar-SA"/>
        </w:rPr>
        <w:t>。其中，副部（省）级及以上领导用车0辆，主要</w:t>
      </w:r>
      <w:r>
        <w:rPr>
          <w:rFonts w:hint="eastAsia" w:ascii="仿宋" w:hAnsi="仿宋" w:eastAsia="仿宋" w:cs="仿宋"/>
          <w:color w:val="auto"/>
          <w:kern w:val="2"/>
          <w:sz w:val="32"/>
          <w:szCs w:val="32"/>
          <w:lang w:val="en-US" w:eastAsia="zh-CN" w:bidi="ar-SA"/>
        </w:rPr>
        <w:t>负责人</w:t>
      </w:r>
      <w:r>
        <w:rPr>
          <w:rFonts w:hint="eastAsia" w:ascii="仿宋" w:hAnsi="仿宋" w:eastAsia="仿宋" w:cs="仿宋"/>
          <w:color w:val="auto"/>
          <w:kern w:val="2"/>
          <w:sz w:val="32"/>
          <w:szCs w:val="32"/>
          <w:lang w:val="zh-CN" w:eastAsia="zh-CN" w:bidi="ar-SA"/>
        </w:rPr>
        <w:t>用车0辆，机要通信用车0辆，应急保障用车0辆，执法执勤用车0辆，特种专业技术用车0辆，离退休干部用车0辆，其他用车0辆，主要是</w:t>
      </w:r>
      <w:r>
        <w:rPr>
          <w:rFonts w:hint="eastAsia" w:ascii="仿宋" w:hAnsi="仿宋" w:eastAsia="仿宋" w:cs="仿宋"/>
          <w:sz w:val="32"/>
          <w:szCs w:val="32"/>
        </w:rPr>
        <w:t>未发生购置事项</w:t>
      </w:r>
      <w:r>
        <w:rPr>
          <w:rFonts w:hint="eastAsia" w:ascii="仿宋" w:hAnsi="仿宋" w:eastAsia="仿宋" w:cs="仿宋"/>
          <w:color w:val="auto"/>
          <w:kern w:val="2"/>
          <w:sz w:val="32"/>
          <w:szCs w:val="32"/>
          <w:lang w:val="zh-CN" w:eastAsia="zh-CN" w:bidi="ar-SA"/>
        </w:rPr>
        <w:t>。单位价值100万元（含）以上设备（不含车辆）0台（套）。</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outlineLvl w:val="1"/>
        <w:rPr>
          <w:rFonts w:hint="default" w:ascii="Times New Roman" w:hAnsi="Times New Roman" w:eastAsia="黑体" w:cs="Times New Roman"/>
          <w:kern w:val="2"/>
          <w:sz w:val="32"/>
          <w:szCs w:val="40"/>
          <w:highlight w:val="none"/>
          <w:lang w:val="en-US" w:eastAsia="zh-CN" w:bidi="ar-SA"/>
        </w:rPr>
      </w:pPr>
      <w:r>
        <w:rPr>
          <w:rFonts w:hint="default" w:ascii="Times New Roman" w:hAnsi="Times New Roman" w:eastAsia="黑体" w:cs="Times New Roman"/>
          <w:kern w:val="2"/>
          <w:sz w:val="32"/>
          <w:szCs w:val="40"/>
          <w:highlight w:val="none"/>
          <w:lang w:val="en-US" w:eastAsia="zh-CN" w:bidi="ar-SA"/>
        </w:rPr>
        <w:t>九、预算绩效情况说明</w:t>
      </w:r>
    </w:p>
    <w:p>
      <w:pPr>
        <w:adjustRightInd w:val="0"/>
        <w:snapToGrid w:val="0"/>
        <w:spacing w:line="58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（一）预算绩效管理工作开展情况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 w:hAnsi="仿宋" w:eastAsia="仿宋" w:cs="仿宋"/>
          <w:color w:val="auto"/>
          <w:kern w:val="2"/>
          <w:sz w:val="32"/>
          <w:szCs w:val="32"/>
          <w:lang w:val="zh-CN" w:eastAsia="zh-CN" w:bidi="ar-SA"/>
        </w:rPr>
      </w:pPr>
      <w:r>
        <w:rPr>
          <w:rFonts w:hint="eastAsia" w:ascii="仿宋" w:hAnsi="仿宋" w:eastAsia="仿宋" w:cs="仿宋"/>
          <w:color w:val="auto"/>
          <w:kern w:val="2"/>
          <w:sz w:val="32"/>
          <w:szCs w:val="32"/>
          <w:lang w:val="zh-CN" w:eastAsia="zh-CN" w:bidi="ar-SA"/>
        </w:rPr>
        <w:t>根据预算绩效管理要求，本单位组织对2023年度一般公共预算项目支出全面开展绩效自评，其中，一级项目</w:t>
      </w:r>
      <w:r>
        <w:rPr>
          <w:rFonts w:hint="eastAsia" w:ascii="仿宋" w:hAnsi="仿宋" w:eastAsia="仿宋" w:cs="仿宋"/>
          <w:color w:val="auto"/>
          <w:kern w:val="2"/>
          <w:sz w:val="32"/>
          <w:szCs w:val="32"/>
          <w:lang w:val="en-US" w:eastAsia="zh-CN" w:bidi="ar-SA"/>
        </w:rPr>
        <w:t>41</w:t>
      </w:r>
      <w:r>
        <w:rPr>
          <w:rFonts w:hint="eastAsia" w:ascii="仿宋" w:hAnsi="仿宋" w:eastAsia="仿宋" w:cs="仿宋"/>
          <w:color w:val="auto"/>
          <w:kern w:val="2"/>
          <w:sz w:val="32"/>
          <w:szCs w:val="32"/>
          <w:lang w:val="zh-CN" w:eastAsia="zh-CN" w:bidi="ar-SA"/>
        </w:rPr>
        <w:t>个，二级项目</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个，共涉及资金</w:t>
      </w:r>
      <w:r>
        <w:rPr>
          <w:rFonts w:hint="eastAsia" w:ascii="仿宋" w:hAnsi="仿宋" w:eastAsia="仿宋" w:cs="仿宋"/>
          <w:color w:val="auto"/>
          <w:kern w:val="2"/>
          <w:sz w:val="32"/>
          <w:szCs w:val="32"/>
          <w:lang w:val="en-US" w:eastAsia="zh-CN" w:bidi="ar-SA"/>
        </w:rPr>
        <w:t>28939.04</w:t>
      </w:r>
      <w:r>
        <w:rPr>
          <w:rFonts w:hint="eastAsia" w:ascii="仿宋" w:hAnsi="仿宋" w:eastAsia="仿宋" w:cs="仿宋"/>
          <w:color w:val="auto"/>
          <w:kern w:val="2"/>
          <w:sz w:val="32"/>
          <w:szCs w:val="32"/>
          <w:lang w:val="zh-CN" w:eastAsia="zh-CN" w:bidi="ar-SA"/>
        </w:rPr>
        <w:t>万元，占一般公共预算项目支出总额的</w:t>
      </w:r>
      <w:r>
        <w:rPr>
          <w:rFonts w:hint="eastAsia" w:ascii="仿宋" w:hAnsi="仿宋" w:eastAsia="仿宋" w:cs="仿宋"/>
          <w:color w:val="auto"/>
          <w:kern w:val="2"/>
          <w:sz w:val="32"/>
          <w:szCs w:val="32"/>
          <w:lang w:val="en-US" w:eastAsia="zh-CN" w:bidi="ar-SA"/>
        </w:rPr>
        <w:t>100</w:t>
      </w:r>
      <w:r>
        <w:rPr>
          <w:rFonts w:hint="eastAsia" w:ascii="仿宋" w:hAnsi="仿宋" w:eastAsia="仿宋" w:cs="仿宋"/>
          <w:color w:val="auto"/>
          <w:kern w:val="2"/>
          <w:sz w:val="32"/>
          <w:szCs w:val="32"/>
          <w:lang w:val="zh-CN" w:eastAsia="zh-CN" w:bidi="ar-SA"/>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default" w:ascii="Times New Roman" w:hAnsi="Times New Roman" w:eastAsia="仿宋_GB2312" w:cs="Times New Roman"/>
          <w:sz w:val="32"/>
          <w:szCs w:val="32"/>
          <w:highlight w:val="yellow"/>
        </w:rPr>
      </w:pPr>
      <w:r>
        <w:rPr>
          <w:rFonts w:hint="eastAsia" w:ascii="仿宋" w:hAnsi="仿宋" w:eastAsia="仿宋" w:cs="仿宋"/>
          <w:color w:val="auto"/>
          <w:kern w:val="2"/>
          <w:sz w:val="32"/>
          <w:szCs w:val="32"/>
          <w:lang w:val="zh-CN" w:eastAsia="zh-CN" w:bidi="ar-SA"/>
        </w:rPr>
        <w:t>组织对“</w:t>
      </w:r>
      <w:r>
        <w:rPr>
          <w:rFonts w:hint="eastAsia" w:ascii="仿宋" w:hAnsi="仿宋" w:eastAsia="仿宋" w:cs="仿宋"/>
          <w:color w:val="auto"/>
          <w:kern w:val="2"/>
          <w:sz w:val="32"/>
          <w:szCs w:val="32"/>
          <w:lang w:val="en-US" w:eastAsia="zh-CN" w:bidi="ar-SA"/>
        </w:rPr>
        <w:t>2023年县域科技创新能力跃升市级资金</w:t>
      </w:r>
      <w:r>
        <w:rPr>
          <w:rFonts w:hint="eastAsia" w:ascii="仿宋" w:hAnsi="仿宋" w:eastAsia="仿宋" w:cs="仿宋"/>
          <w:color w:val="auto"/>
          <w:kern w:val="2"/>
          <w:sz w:val="32"/>
          <w:szCs w:val="32"/>
          <w:lang w:val="zh-CN" w:eastAsia="zh-CN" w:bidi="ar-SA"/>
        </w:rPr>
        <w:t>”、“</w:t>
      </w:r>
      <w:r>
        <w:rPr>
          <w:rFonts w:hint="eastAsia" w:ascii="仿宋" w:hAnsi="仿宋" w:eastAsia="仿宋" w:cs="仿宋"/>
          <w:color w:val="auto"/>
          <w:kern w:val="2"/>
          <w:sz w:val="32"/>
          <w:szCs w:val="32"/>
          <w:lang w:val="en-US" w:eastAsia="zh-CN" w:bidi="ar-SA"/>
        </w:rPr>
        <w:t>2022年度科技型中小企业贷款贴息资金</w:t>
      </w:r>
      <w:r>
        <w:rPr>
          <w:rFonts w:hint="eastAsia" w:ascii="仿宋" w:hAnsi="仿宋" w:eastAsia="仿宋" w:cs="仿宋"/>
          <w:color w:val="auto"/>
          <w:kern w:val="2"/>
          <w:sz w:val="32"/>
          <w:szCs w:val="32"/>
          <w:lang w:val="zh-CN" w:eastAsia="zh-CN" w:bidi="ar-SA"/>
        </w:rPr>
        <w:t>”、“2023年引进高层次科技创新创业人才市级专项资金”</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个项目开展了部门评价，涉及一般公共预算支出</w:t>
      </w:r>
      <w:r>
        <w:rPr>
          <w:rFonts w:hint="eastAsia" w:ascii="仿宋" w:hAnsi="仿宋" w:eastAsia="仿宋" w:cs="仿宋"/>
          <w:color w:val="auto"/>
          <w:kern w:val="2"/>
          <w:sz w:val="32"/>
          <w:szCs w:val="32"/>
          <w:lang w:val="en-US" w:eastAsia="zh-CN" w:bidi="ar-SA"/>
        </w:rPr>
        <w:t>1853.99</w:t>
      </w:r>
      <w:r>
        <w:rPr>
          <w:rFonts w:hint="eastAsia" w:ascii="仿宋" w:hAnsi="仿宋" w:eastAsia="仿宋" w:cs="仿宋"/>
          <w:color w:val="auto"/>
          <w:kern w:val="2"/>
          <w:sz w:val="32"/>
          <w:szCs w:val="32"/>
          <w:lang w:val="zh-CN" w:eastAsia="zh-CN" w:bidi="ar-SA"/>
        </w:rPr>
        <w:t>万元。政府性基金预算支出</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万元，国有资本经营预算支出</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万元。从评价情况来看，</w:t>
      </w:r>
      <w:r>
        <w:rPr>
          <w:rFonts w:hint="eastAsia" w:ascii="仿宋" w:hAnsi="仿宋" w:eastAsia="仿宋" w:cs="仿宋"/>
          <w:color w:val="auto"/>
          <w:kern w:val="2"/>
          <w:sz w:val="32"/>
          <w:szCs w:val="32"/>
          <w:lang w:val="en-US" w:eastAsia="zh-CN" w:bidi="ar-SA"/>
        </w:rPr>
        <w:t>支出进度100%，年初设定绩效目标全部完成。</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Arial" w:cs="Times New Roman"/>
          <w:highlight w:val="none"/>
        </w:rPr>
      </w:pPr>
    </w:p>
    <w:p>
      <w:pPr>
        <w:adjustRightInd w:val="0"/>
        <w:snapToGrid w:val="0"/>
        <w:spacing w:line="580" w:lineRule="exact"/>
        <w:ind w:firstLine="643" w:firstLineChars="200"/>
        <w:rPr>
          <w:rFonts w:hint="eastAsia" w:ascii="楷体" w:hAnsi="楷体" w:eastAsia="楷体" w:cs="楷体"/>
          <w:b/>
          <w:bCs/>
          <w:sz w:val="32"/>
          <w:szCs w:val="32"/>
          <w:highlight w:val="none"/>
        </w:rPr>
      </w:pPr>
      <w:r>
        <w:rPr>
          <w:rFonts w:hint="eastAsia" w:ascii="楷体" w:hAnsi="楷体" w:eastAsia="楷体" w:cs="楷体"/>
          <w:b/>
          <w:bCs/>
          <w:sz w:val="32"/>
          <w:szCs w:val="32"/>
          <w:highlight w:val="none"/>
        </w:rPr>
        <w:t>（二）部门决算中项目绩效自评结果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 w:hAnsi="仿宋" w:eastAsia="仿宋" w:cs="仿宋"/>
          <w:color w:val="auto"/>
          <w:kern w:val="2"/>
          <w:sz w:val="32"/>
          <w:szCs w:val="32"/>
          <w:highlight w:val="none"/>
          <w:lang w:val="zh-CN" w:eastAsia="zh-CN" w:bidi="ar-SA"/>
        </w:rPr>
      </w:pPr>
      <w:r>
        <w:rPr>
          <w:rFonts w:hint="default" w:ascii="Times New Roman" w:hAnsi="Times New Roman" w:eastAsia="仿宋_GB2312" w:cs="Times New Roman"/>
          <w:i w:val="0"/>
          <w:iCs w:val="0"/>
          <w:caps w:val="0"/>
          <w:color w:val="333333"/>
          <w:spacing w:val="0"/>
          <w:sz w:val="32"/>
          <w:szCs w:val="32"/>
          <w:highlight w:val="none"/>
          <w:shd w:val="clear" w:fill="FFFFFF"/>
        </w:rPr>
        <w:t> </w:t>
      </w:r>
      <w:r>
        <w:rPr>
          <w:rFonts w:hint="eastAsia" w:ascii="仿宋" w:hAnsi="仿宋" w:eastAsia="仿宋" w:cs="仿宋"/>
          <w:color w:val="auto"/>
          <w:kern w:val="2"/>
          <w:sz w:val="32"/>
          <w:szCs w:val="32"/>
          <w:highlight w:val="none"/>
          <w:lang w:val="zh-CN" w:eastAsia="zh-CN" w:bidi="ar-SA"/>
        </w:rPr>
        <w:t>本单位在今年部门决算公开中反映“</w:t>
      </w:r>
      <w:r>
        <w:rPr>
          <w:rFonts w:hint="eastAsia" w:ascii="仿宋" w:hAnsi="仿宋" w:eastAsia="仿宋" w:cs="仿宋"/>
          <w:color w:val="auto"/>
          <w:kern w:val="2"/>
          <w:sz w:val="32"/>
          <w:szCs w:val="32"/>
          <w:highlight w:val="none"/>
          <w:lang w:val="en-US" w:eastAsia="zh-CN" w:bidi="ar-SA"/>
        </w:rPr>
        <w:t>中小企业发展专项资金（孵化器、众创空间认定备案奖励）”1</w:t>
      </w:r>
      <w:r>
        <w:rPr>
          <w:rFonts w:hint="eastAsia" w:ascii="仿宋" w:hAnsi="仿宋" w:eastAsia="仿宋" w:cs="仿宋"/>
          <w:color w:val="auto"/>
          <w:kern w:val="2"/>
          <w:sz w:val="32"/>
          <w:szCs w:val="32"/>
          <w:highlight w:val="none"/>
          <w:lang w:val="zh-CN" w:eastAsia="zh-CN" w:bidi="ar-SA"/>
        </w:rPr>
        <w:t>个项目绩效自评结果。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i w:val="0"/>
          <w:iCs w:val="0"/>
          <w:color w:val="000000"/>
          <w:kern w:val="0"/>
          <w:sz w:val="32"/>
          <w:szCs w:val="32"/>
          <w:highlight w:val="none"/>
          <w:u w:val="none"/>
          <w:lang w:val="en-US" w:eastAsia="zh-CN" w:bidi="ar"/>
        </w:rPr>
        <w:t>中小企业发展专项资金（孵化器、众创空间认定备案奖励）</w:t>
      </w:r>
      <w:r>
        <w:rPr>
          <w:rFonts w:hint="eastAsia" w:ascii="仿宋" w:hAnsi="仿宋" w:eastAsia="仿宋" w:cs="仿宋"/>
          <w:color w:val="auto"/>
          <w:kern w:val="2"/>
          <w:sz w:val="32"/>
          <w:szCs w:val="32"/>
          <w:highlight w:val="none"/>
          <w:lang w:val="zh-CN" w:eastAsia="zh-CN" w:bidi="ar-SA"/>
        </w:rPr>
        <w:t>项目绩效自评情况：根据年初设定的绩效目标，</w:t>
      </w:r>
      <w:r>
        <w:rPr>
          <w:rFonts w:hint="eastAsia" w:ascii="仿宋" w:hAnsi="仿宋" w:eastAsia="仿宋" w:cs="仿宋"/>
          <w:i w:val="0"/>
          <w:iCs w:val="0"/>
          <w:color w:val="000000"/>
          <w:kern w:val="0"/>
          <w:sz w:val="32"/>
          <w:szCs w:val="32"/>
          <w:highlight w:val="none"/>
          <w:u w:val="none"/>
          <w:lang w:val="en-US" w:eastAsia="zh-CN" w:bidi="ar"/>
        </w:rPr>
        <w:t>中小企业发展专项资金（孵化器、众创空间认定备案奖励）</w:t>
      </w:r>
      <w:r>
        <w:rPr>
          <w:rFonts w:hint="eastAsia" w:ascii="仿宋" w:hAnsi="仿宋" w:eastAsia="仿宋" w:cs="仿宋"/>
          <w:color w:val="auto"/>
          <w:kern w:val="2"/>
          <w:sz w:val="32"/>
          <w:szCs w:val="32"/>
          <w:highlight w:val="none"/>
          <w:lang w:val="zh-CN" w:eastAsia="zh-CN" w:bidi="ar-SA"/>
        </w:rPr>
        <w:t>项目绩效自评得分为</w:t>
      </w:r>
      <w:r>
        <w:rPr>
          <w:rFonts w:hint="eastAsia" w:ascii="仿宋" w:hAnsi="仿宋" w:eastAsia="仿宋" w:cs="仿宋"/>
          <w:color w:val="auto"/>
          <w:kern w:val="2"/>
          <w:sz w:val="32"/>
          <w:szCs w:val="32"/>
          <w:highlight w:val="none"/>
          <w:lang w:val="en-US" w:eastAsia="zh-CN" w:bidi="ar-SA"/>
        </w:rPr>
        <w:t>10</w:t>
      </w:r>
      <w:r>
        <w:rPr>
          <w:rFonts w:hint="eastAsia" w:ascii="仿宋" w:hAnsi="仿宋" w:eastAsia="仿宋" w:cs="仿宋"/>
          <w:color w:val="auto"/>
          <w:kern w:val="2"/>
          <w:sz w:val="32"/>
          <w:szCs w:val="32"/>
          <w:highlight w:val="none"/>
          <w:lang w:val="zh-CN" w:eastAsia="zh-CN" w:bidi="ar-SA"/>
        </w:rPr>
        <w:t>分（绩效自评表附后）。全年预算数为</w:t>
      </w:r>
      <w:r>
        <w:rPr>
          <w:rFonts w:hint="eastAsia" w:ascii="仿宋" w:hAnsi="仿宋" w:eastAsia="仿宋" w:cs="仿宋"/>
          <w:color w:val="auto"/>
          <w:kern w:val="2"/>
          <w:sz w:val="32"/>
          <w:szCs w:val="32"/>
          <w:highlight w:val="none"/>
          <w:lang w:val="en-US" w:eastAsia="zh-CN" w:bidi="ar-SA"/>
        </w:rPr>
        <w:t>227.45</w:t>
      </w:r>
      <w:r>
        <w:rPr>
          <w:rFonts w:hint="eastAsia" w:ascii="仿宋" w:hAnsi="仿宋" w:eastAsia="仿宋" w:cs="仿宋"/>
          <w:color w:val="auto"/>
          <w:kern w:val="2"/>
          <w:sz w:val="32"/>
          <w:szCs w:val="32"/>
          <w:highlight w:val="none"/>
          <w:lang w:val="zh-CN" w:eastAsia="zh-CN" w:bidi="ar-SA"/>
        </w:rPr>
        <w:t>万元，执行数为</w:t>
      </w:r>
      <w:r>
        <w:rPr>
          <w:rFonts w:hint="eastAsia" w:ascii="仿宋" w:hAnsi="仿宋" w:eastAsia="仿宋" w:cs="仿宋"/>
          <w:color w:val="auto"/>
          <w:kern w:val="2"/>
          <w:sz w:val="32"/>
          <w:szCs w:val="32"/>
          <w:highlight w:val="none"/>
          <w:lang w:val="en-US" w:eastAsia="zh-CN" w:bidi="ar-SA"/>
        </w:rPr>
        <w:t>227.45</w:t>
      </w:r>
      <w:r>
        <w:rPr>
          <w:rFonts w:hint="eastAsia" w:ascii="仿宋" w:hAnsi="仿宋" w:eastAsia="仿宋" w:cs="仿宋"/>
          <w:color w:val="auto"/>
          <w:kern w:val="2"/>
          <w:sz w:val="32"/>
          <w:szCs w:val="32"/>
          <w:highlight w:val="none"/>
          <w:lang w:val="zh-CN" w:eastAsia="zh-CN" w:bidi="ar-SA"/>
        </w:rPr>
        <w:t>万元，完成预算的</w:t>
      </w:r>
      <w:r>
        <w:rPr>
          <w:rFonts w:hint="eastAsia" w:ascii="仿宋" w:hAnsi="仿宋" w:eastAsia="仿宋" w:cs="仿宋"/>
          <w:color w:val="auto"/>
          <w:kern w:val="2"/>
          <w:sz w:val="32"/>
          <w:szCs w:val="32"/>
          <w:highlight w:val="none"/>
          <w:lang w:val="en-US" w:eastAsia="zh-CN" w:bidi="ar-SA"/>
        </w:rPr>
        <w:t>100.0</w:t>
      </w:r>
      <w:r>
        <w:rPr>
          <w:rFonts w:hint="eastAsia" w:ascii="仿宋" w:hAnsi="仿宋" w:eastAsia="仿宋" w:cs="仿宋"/>
          <w:color w:val="auto"/>
          <w:kern w:val="2"/>
          <w:sz w:val="32"/>
          <w:szCs w:val="32"/>
          <w:highlight w:val="none"/>
          <w:lang w:val="zh-CN" w:eastAsia="zh-CN" w:bidi="ar-SA"/>
        </w:rPr>
        <w:t>%。项目绩效目标完成情况：</w:t>
      </w:r>
      <w:r>
        <w:rPr>
          <w:rFonts w:hint="eastAsia" w:ascii="仿宋" w:hAnsi="仿宋" w:eastAsia="仿宋" w:cs="仿宋"/>
          <w:color w:val="auto"/>
          <w:kern w:val="2"/>
          <w:sz w:val="32"/>
          <w:szCs w:val="32"/>
          <w:highlight w:val="none"/>
          <w:lang w:val="en-US" w:eastAsia="zh-CN" w:bidi="ar-SA"/>
        </w:rPr>
        <w:t>按要求完成了绩效目标，</w:t>
      </w:r>
      <w:r>
        <w:rPr>
          <w:rFonts w:hint="eastAsia" w:ascii="仿宋" w:hAnsi="仿宋" w:eastAsia="仿宋" w:cs="仿宋"/>
          <w:i w:val="0"/>
          <w:iCs w:val="0"/>
          <w:color w:val="000000"/>
          <w:kern w:val="0"/>
          <w:sz w:val="32"/>
          <w:szCs w:val="32"/>
          <w:highlight w:val="none"/>
          <w:u w:val="none"/>
          <w:lang w:val="en-US" w:eastAsia="zh-CN" w:bidi="ar"/>
        </w:rPr>
        <w:t>支持孵化载体数量，培育科小高企数量18家</w:t>
      </w:r>
      <w:r>
        <w:rPr>
          <w:rFonts w:hint="eastAsia" w:ascii="仿宋" w:hAnsi="仿宋" w:eastAsia="仿宋" w:cs="仿宋"/>
          <w:color w:val="auto"/>
          <w:kern w:val="2"/>
          <w:sz w:val="32"/>
          <w:szCs w:val="32"/>
          <w:highlight w:val="none"/>
          <w:lang w:val="zh-CN" w:eastAsia="zh-CN" w:bidi="ar-SA"/>
        </w:rPr>
        <w:t>，</w:t>
      </w:r>
      <w:r>
        <w:rPr>
          <w:rFonts w:hint="eastAsia" w:ascii="仿宋" w:hAnsi="仿宋" w:eastAsia="仿宋" w:cs="仿宋"/>
          <w:color w:val="auto"/>
          <w:kern w:val="0"/>
          <w:sz w:val="32"/>
          <w:szCs w:val="32"/>
          <w:highlight w:val="none"/>
          <w:lang w:val="en-US" w:eastAsia="zh-CN" w:bidi="ar-SA"/>
        </w:rPr>
        <w:t>未发现问题。</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7"/>
        <w:gridCol w:w="1381"/>
        <w:gridCol w:w="799"/>
        <w:gridCol w:w="604"/>
        <w:gridCol w:w="799"/>
        <w:gridCol w:w="897"/>
        <w:gridCol w:w="1187"/>
        <w:gridCol w:w="1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default" w:ascii="方正小标宋_GBK" w:hAnsi="方正小标宋_GBK" w:eastAsia="方正小标宋_GBK" w:cs="方正小标宋_GBK"/>
                <w:i w:val="0"/>
                <w:iCs w:val="0"/>
                <w:color w:val="000000"/>
                <w:kern w:val="0"/>
                <w:sz w:val="44"/>
                <w:szCs w:val="44"/>
                <w:u w:val="none"/>
                <w:lang w:val="en-US" w:eastAsia="zh-CN" w:bidi="ar"/>
              </w:rPr>
              <w:t>区级部门预算项目绩效自评表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gridSpan w:val="8"/>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高新区科技局</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基本情况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中小企业发展专项资金（孵化器、众创空间认定备案奖励）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石家庄高新区科技局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孵化器、众创空间培育科小高企数量不少于6家；通过对孵化载体给予资金支持，为高新区营造良好的创新创业环境。</w:t>
            </w: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孵化器、众创空间培育科小高企18家；通过对孵化载体给予资金支持，为高新区营造了良好的创新创业环境。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年度绩效指标完成情况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支持孵化载体数量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培育科小高企数量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资金下达时效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&lt;=60</w:t>
            </w:r>
            <w:r>
              <w:rPr>
                <w:rFonts w:hint="eastAsia" w:ascii="宋体" w:hAnsi="宋体" w:eastAsia="宋体" w:cs="宋体"/>
                <w:i w:val="0"/>
                <w:iCs w:val="0"/>
                <w:color w:val="000000"/>
                <w:kern w:val="0"/>
                <w:sz w:val="20"/>
                <w:szCs w:val="20"/>
                <w:u w:val="none"/>
                <w:lang w:val="en-US" w:eastAsia="zh-CN" w:bidi="ar"/>
              </w:rPr>
              <w:t>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25</w:t>
            </w:r>
            <w:r>
              <w:rPr>
                <w:rFonts w:hint="eastAsia" w:ascii="宋体" w:hAnsi="宋体" w:eastAsia="宋体" w:cs="宋体"/>
                <w:i w:val="0"/>
                <w:iCs w:val="0"/>
                <w:color w:val="000000"/>
                <w:kern w:val="0"/>
                <w:sz w:val="20"/>
                <w:szCs w:val="20"/>
                <w:u w:val="none"/>
                <w:lang w:val="en-US" w:eastAsia="zh-CN" w:bidi="ar"/>
              </w:rPr>
              <w:t>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拨付资金所需人力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等线"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0" w:type="auto"/>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营造良好的创新创业环境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良好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效果良好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30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&gt;=95%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存在问题、原因及下一步整改措施</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填报人：</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方肖</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85099753</w:t>
            </w:r>
          </w:p>
        </w:tc>
      </w:tr>
    </w:tbl>
    <w:p>
      <w:pPr>
        <w:rPr>
          <w:rFonts w:hint="default" w:ascii="Times New Roman" w:hAnsi="Times New Roman" w:eastAsia="仿宋_GB2312" w:cs="Times New Roman"/>
          <w:sz w:val="32"/>
          <w:szCs w:val="32"/>
          <w:highlight w:val="yellow"/>
        </w:rPr>
      </w:pPr>
    </w:p>
    <w:p>
      <w:pPr>
        <w:numPr>
          <w:ilvl w:val="0"/>
          <w:numId w:val="2"/>
        </w:numPr>
        <w:adjustRightInd w:val="0"/>
        <w:snapToGrid w:val="0"/>
        <w:spacing w:line="580" w:lineRule="exact"/>
        <w:ind w:left="480" w:leftChars="200" w:firstLine="321" w:firstLineChars="100"/>
        <w:rPr>
          <w:rFonts w:hint="eastAsia" w:ascii="楷体" w:hAnsi="楷体" w:eastAsia="楷体" w:cs="楷体"/>
          <w:b/>
          <w:bCs/>
          <w:sz w:val="32"/>
          <w:szCs w:val="32"/>
          <w:highlight w:val="none"/>
        </w:rPr>
      </w:pPr>
      <w:r>
        <w:rPr>
          <w:rFonts w:hint="eastAsia" w:ascii="楷体" w:hAnsi="楷体" w:eastAsia="楷体" w:cs="楷体"/>
          <w:b/>
          <w:bCs/>
          <w:sz w:val="32"/>
          <w:szCs w:val="32"/>
          <w:highlight w:val="none"/>
        </w:rPr>
        <w:t>部门评价项目绩效评价结果</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4"/>
        <w:gridCol w:w="1483"/>
        <w:gridCol w:w="551"/>
        <w:gridCol w:w="738"/>
        <w:gridCol w:w="655"/>
        <w:gridCol w:w="866"/>
        <w:gridCol w:w="121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default" w:ascii="方正小标宋_GBK" w:hAnsi="方正小标宋_GBK" w:eastAsia="方正小标宋_GBK" w:cs="方正小标宋_GBK"/>
                <w:i w:val="0"/>
                <w:iCs w:val="0"/>
                <w:color w:val="000000"/>
                <w:kern w:val="0"/>
                <w:sz w:val="44"/>
                <w:szCs w:val="44"/>
                <w:u w:val="none"/>
                <w:lang w:val="en-US" w:eastAsia="zh-CN" w:bidi="ar"/>
              </w:rPr>
              <w:t>区级部门预算项目绩效自评表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gridSpan w:val="8"/>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w:t>
            </w:r>
          </w:p>
        </w:tc>
        <w:tc>
          <w:tcPr>
            <w:tcW w:w="0" w:type="auto"/>
            <w:tcBorders>
              <w:top w:val="nil"/>
              <w:left w:val="nil"/>
              <w:bottom w:val="nil"/>
              <w:right w:val="nil"/>
            </w:tcBorders>
            <w:shd w:val="clear" w:color="auto" w:fill="auto"/>
            <w:noWrap/>
            <w:vAlign w:val="center"/>
          </w:tcPr>
          <w:p>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高新区科技局</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25"/>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Style w:val="25"/>
                <w:lang w:val="en-US" w:eastAsia="zh-CN" w:bidi="ar"/>
              </w:rPr>
              <w:t>基本情况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石财教【2023】56号2023年县域科技创新能力跃升市级资金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306-石家庄高新技术产业开发区科学技术局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205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Calibri" w:hAnsi="Calibri" w:eastAsia="等线" w:cs="Calibri"/>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促进科技创新成果转化与扩散</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促进科技创新成果转化与扩散</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支持企业科技创新，促进科技创新能力提升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支持企业科技创新，促进科技创新能力提升</w:t>
            </w: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5"/>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Style w:val="25"/>
                <w:lang w:val="en-US" w:eastAsia="zh-CN" w:bidi="ar"/>
              </w:rPr>
              <w:t>年度绩效指标完成情况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获得2023年县域科技创新能力跃升资金的项目数量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≥6家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Style w:val="27"/>
                <w:rFonts w:eastAsia="等线"/>
                <w:lang w:val="en-US" w:eastAsia="zh-CN" w:bidi="ar"/>
              </w:rPr>
              <w:t>6</w:t>
            </w:r>
            <w:r>
              <w:rPr>
                <w:rStyle w:val="28"/>
                <w:lang w:val="en-US" w:eastAsia="zh-CN" w:bidi="ar"/>
              </w:rPr>
              <w:t>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资金下达时效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&lt;=30天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&lt;=30天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需要支出资金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&lt;=205万元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Style w:val="27"/>
                <w:rFonts w:eastAsia="等线"/>
                <w:lang w:val="en-US" w:eastAsia="zh-CN" w:bidi="ar"/>
              </w:rPr>
              <w:t>205</w:t>
            </w:r>
            <w:r>
              <w:rPr>
                <w:rStyle w:val="28"/>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0" w:type="auto"/>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促进科技创新能力提升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&gt;=95%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25"/>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Style w:val="25"/>
                <w:lang w:val="en-US" w:eastAsia="zh-CN" w:bidi="ar"/>
              </w:rPr>
              <w:t>存在问题、原因及下一步整改措施</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填报人：</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吕楠楠</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85093609</w:t>
            </w:r>
          </w:p>
        </w:tc>
      </w:tr>
    </w:tbl>
    <w:p>
      <w:pPr>
        <w:numPr>
          <w:ilvl w:val="0"/>
          <w:numId w:val="0"/>
        </w:numPr>
        <w:adjustRightInd w:val="0"/>
        <w:snapToGrid w:val="0"/>
        <w:spacing w:line="580" w:lineRule="exact"/>
        <w:rPr>
          <w:rFonts w:hint="default" w:ascii="Times New Roman" w:hAnsi="Times New Roman" w:eastAsia="仿宋_GB2312" w:cs="Times New Roman"/>
          <w:b/>
          <w:bCs/>
          <w:sz w:val="32"/>
          <w:szCs w:val="32"/>
          <w:highlight w:val="yellow"/>
        </w:rPr>
      </w:pPr>
    </w:p>
    <w:p>
      <w:pPr>
        <w:numPr>
          <w:ilvl w:val="0"/>
          <w:numId w:val="0"/>
        </w:numPr>
        <w:adjustRightInd w:val="0"/>
        <w:snapToGrid w:val="0"/>
        <w:spacing w:line="580" w:lineRule="exact"/>
        <w:rPr>
          <w:rFonts w:hint="default" w:ascii="Times New Roman" w:hAnsi="Times New Roman" w:eastAsia="仿宋_GB2312" w:cs="Times New Roman"/>
          <w:b/>
          <w:bCs/>
          <w:sz w:val="32"/>
          <w:szCs w:val="32"/>
          <w:highlight w:val="yellow"/>
        </w:rPr>
      </w:pPr>
    </w:p>
    <w:tbl>
      <w:tblPr>
        <w:tblStyle w:val="11"/>
        <w:tblW w:w="844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91"/>
        <w:gridCol w:w="665"/>
        <w:gridCol w:w="686"/>
        <w:gridCol w:w="592"/>
        <w:gridCol w:w="686"/>
        <w:gridCol w:w="731"/>
        <w:gridCol w:w="1157"/>
        <w:gridCol w:w="1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442"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default" w:ascii="方正小标宋_GBK" w:hAnsi="方正小标宋_GBK" w:eastAsia="方正小标宋_GBK" w:cs="方正小标宋_GBK"/>
                <w:i w:val="0"/>
                <w:iCs w:val="0"/>
                <w:color w:val="000000"/>
                <w:kern w:val="0"/>
                <w:sz w:val="44"/>
                <w:szCs w:val="44"/>
                <w:u w:val="none"/>
                <w:lang w:val="en-US" w:eastAsia="zh-CN" w:bidi="ar"/>
              </w:rPr>
              <w:t>区级部门预算项目绩效自评表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42" w:type="dxa"/>
            <w:gridSpan w:val="8"/>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2023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39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填报单位：高新区科技局</w:t>
            </w:r>
          </w:p>
        </w:tc>
        <w:tc>
          <w:tcPr>
            <w:tcW w:w="665"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6"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92"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6"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31"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15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5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23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基本情况</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石财教[2023]55号2022年度科技型中小企业贷款贴息市级补助资金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34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306-石家庄高新技术产业开发区科学技术局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13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18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3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980.4</w:t>
            </w:r>
          </w:p>
        </w:tc>
        <w:tc>
          <w:tcPr>
            <w:tcW w:w="1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23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Calibri" w:hAnsi="Calibri" w:eastAsia="等线" w:cs="Calibri"/>
                <w:i w:val="0"/>
                <w:iCs w:val="0"/>
                <w:color w:val="000000"/>
                <w:sz w:val="20"/>
                <w:szCs w:val="20"/>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23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1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25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3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降低科技型中小企业贷款成本，支持企业发展；提升企业金融服务环境，提高高新区营商环境，提高对外吸引力。</w:t>
            </w:r>
          </w:p>
        </w:tc>
        <w:tc>
          <w:tcPr>
            <w:tcW w:w="257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降低了科技型中小企业贷款成本，支持企业发展；提升了企业金融服务环境，提高了高新区营商环境，提高对外吸引力。</w:t>
            </w:r>
          </w:p>
        </w:tc>
        <w:tc>
          <w:tcPr>
            <w:tcW w:w="1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3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7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391"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年度绩效指标完成情况</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391"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产出指标（50）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r>
              <w:rPr>
                <w:rFonts w:ascii="Calibri" w:hAnsi="Calibri" w:eastAsia="宋体" w:cs="Calibri"/>
                <w:i w:val="0"/>
                <w:iCs w:val="0"/>
                <w:color w:val="000000"/>
                <w:kern w:val="0"/>
                <w:sz w:val="20"/>
                <w:szCs w:val="20"/>
                <w:u w:val="none"/>
                <w:lang w:val="en-US" w:eastAsia="zh-CN" w:bidi="ar"/>
              </w:rPr>
              <w:t xml:space="preserve"> </w:t>
            </w:r>
            <w:r>
              <w:rPr>
                <w:rFonts w:ascii="Arial Unicode MS" w:hAnsi="Arial Unicode MS" w:eastAsia="Arial Unicode MS" w:cs="Arial Unicode MS"/>
                <w:i w:val="0"/>
                <w:iCs w:val="0"/>
                <w:color w:val="000000"/>
                <w:kern w:val="0"/>
                <w:sz w:val="20"/>
                <w:szCs w:val="20"/>
                <w:u w:val="none"/>
                <w:lang w:val="en-US" w:eastAsia="zh-CN" w:bidi="ar"/>
              </w:rPr>
              <w:t>１</w:t>
            </w:r>
            <w:r>
              <w:rPr>
                <w:rFonts w:hint="eastAsia" w:ascii="宋体" w:hAnsi="宋体" w:eastAsia="宋体" w:cs="宋体"/>
                <w:i w:val="0"/>
                <w:iCs w:val="0"/>
                <w:color w:val="000000"/>
                <w:kern w:val="0"/>
                <w:sz w:val="20"/>
                <w:szCs w:val="20"/>
                <w:u w:val="none"/>
                <w:lang w:val="en-US" w:eastAsia="zh-CN" w:bidi="ar"/>
              </w:rPr>
              <w:t>科技型中小企业贴息数量</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拨付资金率</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2391"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拨付资金时间</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2023</w:t>
            </w:r>
            <w:r>
              <w:rPr>
                <w:rFonts w:hint="eastAsia" w:ascii="宋体" w:hAnsi="宋体" w:eastAsia="宋体" w:cs="宋体"/>
                <w:i w:val="0"/>
                <w:iCs w:val="0"/>
                <w:color w:val="000000"/>
                <w:kern w:val="0"/>
                <w:sz w:val="20"/>
                <w:szCs w:val="20"/>
                <w:u w:val="none"/>
                <w:lang w:val="en-US" w:eastAsia="zh-CN" w:bidi="ar"/>
              </w:rPr>
              <w:t>年</w:t>
            </w: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月底前</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2023</w:t>
            </w:r>
            <w:r>
              <w:rPr>
                <w:rFonts w:hint="eastAsia" w:ascii="宋体" w:hAnsi="宋体" w:eastAsia="宋体" w:cs="宋体"/>
                <w:i w:val="0"/>
                <w:iCs w:val="0"/>
                <w:color w:val="000000"/>
                <w:kern w:val="0"/>
                <w:sz w:val="20"/>
                <w:szCs w:val="20"/>
                <w:u w:val="none"/>
                <w:lang w:val="en-US" w:eastAsia="zh-CN" w:bidi="ar"/>
              </w:rPr>
              <w:t>年</w:t>
            </w: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月底前</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预算资金使用率</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391"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68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效益指标（30）</w:t>
            </w:r>
          </w:p>
        </w:tc>
        <w:tc>
          <w:tcPr>
            <w:tcW w:w="68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对企业运营的影响</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长期对企业发展生态环境的影响</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68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≥95%</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95%</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5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9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存在问题、原因及下一步整改措施</w:t>
            </w:r>
          </w:p>
        </w:tc>
        <w:tc>
          <w:tcPr>
            <w:tcW w:w="60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239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填报人：</w:t>
            </w:r>
          </w:p>
        </w:tc>
        <w:tc>
          <w:tcPr>
            <w:tcW w:w="66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张玉英</w:t>
            </w:r>
          </w:p>
        </w:tc>
        <w:tc>
          <w:tcPr>
            <w:tcW w:w="686"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92"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6"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31"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157"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15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86096875</w:t>
            </w:r>
          </w:p>
        </w:tc>
      </w:tr>
    </w:tbl>
    <w:p>
      <w:pPr>
        <w:numPr>
          <w:ilvl w:val="0"/>
          <w:numId w:val="0"/>
        </w:numPr>
        <w:adjustRightInd w:val="0"/>
        <w:snapToGrid w:val="0"/>
        <w:spacing w:line="580" w:lineRule="exact"/>
        <w:ind w:leftChars="300"/>
        <w:rPr>
          <w:rFonts w:hint="default" w:ascii="Times New Roman" w:hAnsi="Times New Roman" w:eastAsia="仿宋_GB2312" w:cs="Times New Roman"/>
          <w:b/>
          <w:bCs/>
          <w:sz w:val="32"/>
          <w:szCs w:val="32"/>
          <w:highlight w:val="yellow"/>
        </w:rPr>
      </w:pPr>
    </w:p>
    <w:p>
      <w:pPr>
        <w:adjustRightInd w:val="0"/>
        <w:snapToGrid w:val="0"/>
        <w:spacing w:line="580" w:lineRule="exact"/>
        <w:ind w:firstLine="640" w:firstLineChars="200"/>
        <w:rPr>
          <w:rFonts w:hint="default" w:ascii="Times New Roman" w:hAnsi="Times New Roman" w:eastAsia="楷体_GB2312" w:cs="Times New Roman"/>
          <w:b/>
          <w:bCs/>
          <w:sz w:val="32"/>
          <w:szCs w:val="32"/>
        </w:rPr>
      </w:pPr>
      <w:r>
        <w:rPr>
          <w:rFonts w:hint="default" w:ascii="Times New Roman" w:hAnsi="Times New Roman" w:eastAsia="黑体" w:cs="Times New Roman"/>
          <w:sz w:val="32"/>
          <w:szCs w:val="32"/>
        </w:rPr>
        <w:t>十、其他需要说明的情况</w:t>
      </w:r>
    </w:p>
    <w:p>
      <w:p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1. </w:t>
      </w:r>
      <w:bookmarkStart w:id="0" w:name="_GoBack"/>
      <w:r>
        <w:rPr>
          <w:rFonts w:hint="eastAsia" w:ascii="仿宋" w:hAnsi="仿宋" w:eastAsia="仿宋" w:cs="仿宋"/>
          <w:sz w:val="32"/>
          <w:szCs w:val="32"/>
        </w:rPr>
        <w:t>本</w:t>
      </w:r>
      <w:r>
        <w:rPr>
          <w:rFonts w:hint="eastAsia" w:ascii="仿宋" w:hAnsi="仿宋" w:eastAsia="仿宋" w:cs="仿宋"/>
          <w:sz w:val="32"/>
          <w:szCs w:val="32"/>
          <w:lang w:eastAsia="zh-CN"/>
        </w:rPr>
        <w:t>单位</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年度未发生政府性基金预算、国有资金经营预算收支及结转结余情况，故政府性基金预算财政拨款收入支出决算表、国有资金经营预算财政拨款支出决算表等表以空表列示。</w:t>
      </w:r>
    </w:p>
    <w:p>
      <w:p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 由于决算公开表格中金额数值应当保留两位小数，公开数据为四舍五入计算结果，个别数据合计项与分项之和存在小数点后差额，特此说明。</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bookmarkEnd w:id="0"/>
    <w:p>
      <w:pPr>
        <w:adjustRightInd w:val="0"/>
        <w:snapToGrid w:val="0"/>
        <w:spacing w:line="580" w:lineRule="exact"/>
        <w:ind w:firstLine="640" w:firstLineChars="200"/>
        <w:rPr>
          <w:rFonts w:hint="default" w:ascii="Times New Roman" w:hAnsi="Times New Roman" w:eastAsia="仿宋_GB2312" w:cs="Times New Roman"/>
          <w:sz w:val="32"/>
          <w:szCs w:val="32"/>
        </w:rPr>
      </w:pPr>
    </w:p>
    <w:p>
      <w:pPr>
        <w:widowControl/>
        <w:spacing w:line="580" w:lineRule="exact"/>
        <w:ind w:firstLine="883" w:firstLineChars="200"/>
        <w:jc w:val="left"/>
        <w:rPr>
          <w:rFonts w:hint="default" w:ascii="Times New Roman" w:hAnsi="Times New Roman" w:eastAsia="宋体" w:cs="Times New Roman"/>
          <w:b/>
          <w:bCs/>
          <w:kern w:val="0"/>
          <w:sz w:val="44"/>
          <w:szCs w:val="44"/>
        </w:rPr>
      </w:pPr>
    </w:p>
    <w:p>
      <w:pPr>
        <w:rPr>
          <w:rFonts w:hint="default" w:ascii="Times New Roman" w:hAnsi="Times New Roman" w:eastAsia="仿宋_GB2312" w:cs="Times New Roman"/>
          <w:sz w:val="32"/>
          <w:szCs w:val="32"/>
        </w:rPr>
      </w:pPr>
    </w:p>
    <w:p>
      <w:pPr>
        <w:widowControl/>
        <w:jc w:val="cente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cente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第四部分 相关名词解释</w:t>
      </w:r>
    </w:p>
    <w:p>
      <w:pP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br w:type="page"/>
      </w:r>
    </w:p>
    <w:p>
      <w:pPr>
        <w:widowControl/>
        <w:jc w:val="cente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rPr>
          <w:rFonts w:hint="default" w:ascii="Times New Roman" w:hAnsi="Times New Roman" w:eastAsia="仿宋_GB2312" w:cs="Times New Roman"/>
          <w:sz w:val="32"/>
          <w:szCs w:val="32"/>
        </w:rPr>
      </w:pP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一、</w:t>
      </w:r>
      <w:r>
        <w:rPr>
          <w:rFonts w:hint="eastAsia" w:ascii="仿宋" w:hAnsi="仿宋" w:eastAsia="仿宋" w:cs="仿宋"/>
          <w:b/>
          <w:bCs/>
          <w:color w:val="000000"/>
          <w:kern w:val="0"/>
          <w:sz w:val="32"/>
          <w:szCs w:val="32"/>
        </w:rPr>
        <w:t>财政拨款收入：</w:t>
      </w:r>
      <w:r>
        <w:rPr>
          <w:rFonts w:hint="eastAsia" w:ascii="仿宋" w:hAnsi="仿宋" w:eastAsia="仿宋" w:cs="仿宋"/>
          <w:bCs/>
          <w:color w:val="000000"/>
          <w:kern w:val="0"/>
          <w:sz w:val="32"/>
          <w:szCs w:val="32"/>
        </w:rPr>
        <w:t>指单位从同级财政部门取得的财政预算资金。</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二、</w:t>
      </w:r>
      <w:r>
        <w:rPr>
          <w:rFonts w:hint="eastAsia" w:ascii="仿宋" w:hAnsi="仿宋" w:eastAsia="仿宋" w:cs="仿宋"/>
          <w:b/>
          <w:bCs/>
          <w:color w:val="000000"/>
          <w:kern w:val="0"/>
          <w:sz w:val="32"/>
          <w:szCs w:val="32"/>
        </w:rPr>
        <w:t>事业收入：</w:t>
      </w:r>
      <w:r>
        <w:rPr>
          <w:rFonts w:hint="eastAsia" w:ascii="仿宋" w:hAnsi="仿宋" w:eastAsia="仿宋" w:cs="仿宋"/>
          <w:bCs/>
          <w:color w:val="000000"/>
          <w:kern w:val="0"/>
          <w:sz w:val="32"/>
          <w:szCs w:val="32"/>
        </w:rPr>
        <w:t>指事业单位开展专业业务活动及辅助活动取得的收入。</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三、</w:t>
      </w:r>
      <w:r>
        <w:rPr>
          <w:rFonts w:hint="eastAsia" w:ascii="仿宋" w:hAnsi="仿宋" w:eastAsia="仿宋" w:cs="仿宋"/>
          <w:b/>
          <w:bCs/>
          <w:color w:val="000000"/>
          <w:kern w:val="0"/>
          <w:sz w:val="32"/>
          <w:szCs w:val="32"/>
        </w:rPr>
        <w:t>经营收入：</w:t>
      </w:r>
      <w:r>
        <w:rPr>
          <w:rFonts w:hint="eastAsia" w:ascii="仿宋" w:hAnsi="仿宋" w:eastAsia="仿宋" w:cs="仿宋"/>
          <w:bCs/>
          <w:color w:val="000000"/>
          <w:kern w:val="0"/>
          <w:sz w:val="32"/>
          <w:szCs w:val="32"/>
        </w:rPr>
        <w:t>指事业单位在专业业务活动及其辅助活动之外开展非独立核算经营活动取得的收入。</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四、</w:t>
      </w:r>
      <w:r>
        <w:rPr>
          <w:rFonts w:hint="eastAsia" w:ascii="仿宋" w:hAnsi="仿宋" w:eastAsia="仿宋" w:cs="仿宋"/>
          <w:b/>
          <w:bCs/>
          <w:color w:val="000000"/>
          <w:kern w:val="0"/>
          <w:sz w:val="32"/>
          <w:szCs w:val="32"/>
        </w:rPr>
        <w:t>其他收入：</w:t>
      </w:r>
      <w:r>
        <w:rPr>
          <w:rFonts w:hint="eastAsia" w:ascii="仿宋" w:hAnsi="仿宋" w:eastAsia="仿宋" w:cs="仿宋"/>
          <w:bCs/>
          <w:color w:val="000000"/>
          <w:kern w:val="0"/>
          <w:sz w:val="32"/>
          <w:szCs w:val="32"/>
        </w:rPr>
        <w:t>指单位取得的除上述收入以外的各项收</w:t>
      </w:r>
    </w:p>
    <w:p>
      <w:pPr>
        <w:spacing w:line="580" w:lineRule="exact"/>
        <w:rPr>
          <w:rFonts w:hint="eastAsia" w:ascii="仿宋" w:hAnsi="仿宋" w:eastAsia="仿宋" w:cs="仿宋"/>
          <w:b/>
          <w:bCs/>
          <w:color w:val="000000"/>
          <w:kern w:val="0"/>
          <w:sz w:val="32"/>
          <w:szCs w:val="32"/>
        </w:rPr>
      </w:pPr>
      <w:r>
        <w:rPr>
          <w:rFonts w:hint="eastAsia" w:ascii="仿宋" w:hAnsi="仿宋" w:eastAsia="仿宋" w:cs="仿宋"/>
          <w:bCs/>
          <w:color w:val="000000"/>
          <w:kern w:val="0"/>
          <w:sz w:val="32"/>
          <w:szCs w:val="32"/>
        </w:rPr>
        <w:t>入。主要是事业单位固定资产出租收入、存款利息收入等。</w:t>
      </w:r>
    </w:p>
    <w:p>
      <w:p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五、</w:t>
      </w:r>
      <w:r>
        <w:rPr>
          <w:rFonts w:hint="eastAsia" w:ascii="仿宋" w:hAnsi="仿宋" w:eastAsia="仿宋" w:cs="仿宋"/>
          <w:b/>
          <w:bCs/>
          <w:color w:val="000000"/>
          <w:kern w:val="0"/>
          <w:sz w:val="32"/>
          <w:szCs w:val="32"/>
        </w:rPr>
        <w:t>使用非财政拨款结余（含专用结余）：</w:t>
      </w:r>
      <w:r>
        <w:rPr>
          <w:rFonts w:hint="eastAsia" w:ascii="仿宋" w:hAnsi="仿宋" w:eastAsia="仿宋" w:cs="仿宋"/>
          <w:bCs/>
          <w:color w:val="000000"/>
          <w:kern w:val="0"/>
          <w:sz w:val="32"/>
          <w:szCs w:val="32"/>
        </w:rPr>
        <w:t>指事业单位按照预算管理要求使用非财政拨款结余弥补收支差额的金额，以及使用专用结余安排支出的金额。</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六、</w:t>
      </w:r>
      <w:r>
        <w:rPr>
          <w:rFonts w:hint="eastAsia" w:ascii="仿宋" w:hAnsi="仿宋" w:eastAsia="仿宋" w:cs="仿宋"/>
          <w:b/>
          <w:bCs/>
          <w:color w:val="000000"/>
          <w:kern w:val="0"/>
          <w:sz w:val="32"/>
          <w:szCs w:val="32"/>
        </w:rPr>
        <w:t>年初结转和结余：</w:t>
      </w:r>
      <w:r>
        <w:rPr>
          <w:rFonts w:hint="eastAsia" w:ascii="仿宋" w:hAnsi="仿宋" w:eastAsia="仿宋" w:cs="仿宋"/>
          <w:bCs/>
          <w:color w:val="000000"/>
          <w:kern w:val="0"/>
          <w:sz w:val="32"/>
          <w:szCs w:val="32"/>
        </w:rPr>
        <w:t>指单位以前年度尚未完成、结转到本年仍按原规定用途继续使用的资金，或项目已完成等产生的结余资金。</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七、</w:t>
      </w:r>
      <w:r>
        <w:rPr>
          <w:rFonts w:hint="eastAsia" w:ascii="仿宋" w:hAnsi="仿宋" w:eastAsia="仿宋" w:cs="仿宋"/>
          <w:b/>
          <w:bCs/>
          <w:color w:val="000000"/>
          <w:kern w:val="0"/>
          <w:sz w:val="32"/>
          <w:szCs w:val="32"/>
        </w:rPr>
        <w:t>结余分配：</w:t>
      </w:r>
      <w:r>
        <w:rPr>
          <w:rFonts w:hint="eastAsia" w:ascii="仿宋" w:hAnsi="仿宋" w:eastAsia="仿宋" w:cs="仿宋"/>
          <w:bCs/>
          <w:color w:val="000000"/>
          <w:kern w:val="0"/>
          <w:sz w:val="32"/>
          <w:szCs w:val="32"/>
        </w:rPr>
        <w:t>指事业单位按照会计制度规定缴纳的所得税、提取的专用结余以及转入非财政拨款结余的金额等。</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八、</w:t>
      </w:r>
      <w:r>
        <w:rPr>
          <w:rFonts w:hint="eastAsia" w:ascii="仿宋" w:hAnsi="仿宋" w:eastAsia="仿宋" w:cs="仿宋"/>
          <w:b/>
          <w:bCs/>
          <w:color w:val="000000"/>
          <w:kern w:val="0"/>
          <w:sz w:val="32"/>
          <w:szCs w:val="32"/>
        </w:rPr>
        <w:t>年末结转和结余：</w:t>
      </w:r>
      <w:r>
        <w:rPr>
          <w:rFonts w:hint="eastAsia" w:ascii="仿宋" w:hAnsi="仿宋" w:eastAsia="仿宋" w:cs="仿宋"/>
          <w:bCs/>
          <w:color w:val="000000"/>
          <w:kern w:val="0"/>
          <w:sz w:val="32"/>
          <w:szCs w:val="32"/>
        </w:rPr>
        <w:t>指单位按有关规定结转到下年或以后年度继续使用的资金，或项目已完成等产生的结余资金。</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九、</w:t>
      </w:r>
      <w:r>
        <w:rPr>
          <w:rFonts w:hint="eastAsia" w:ascii="仿宋" w:hAnsi="仿宋" w:eastAsia="仿宋" w:cs="仿宋"/>
          <w:b/>
          <w:bCs/>
          <w:color w:val="000000"/>
          <w:kern w:val="0"/>
          <w:sz w:val="32"/>
          <w:szCs w:val="32"/>
        </w:rPr>
        <w:t>基本支出：</w:t>
      </w:r>
      <w:r>
        <w:rPr>
          <w:rFonts w:hint="eastAsia" w:ascii="仿宋" w:hAnsi="仿宋" w:eastAsia="仿宋" w:cs="仿宋"/>
          <w:bCs/>
          <w:color w:val="000000"/>
          <w:kern w:val="0"/>
          <w:sz w:val="32"/>
          <w:szCs w:val="32"/>
        </w:rPr>
        <w:t>指为保障机构正常运转、完成日常工作任务而发生的人员支出和公用支出。</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w:t>
      </w:r>
      <w:r>
        <w:rPr>
          <w:rFonts w:hint="eastAsia" w:ascii="仿宋" w:hAnsi="仿宋" w:eastAsia="仿宋" w:cs="仿宋"/>
          <w:b/>
          <w:bCs/>
          <w:color w:val="000000"/>
          <w:kern w:val="0"/>
          <w:sz w:val="32"/>
          <w:szCs w:val="32"/>
        </w:rPr>
        <w:t>项目支出：</w:t>
      </w:r>
      <w:r>
        <w:rPr>
          <w:rFonts w:hint="eastAsia" w:ascii="仿宋" w:hAnsi="仿宋" w:eastAsia="仿宋" w:cs="仿宋"/>
          <w:color w:val="000000"/>
          <w:kern w:val="0"/>
          <w:sz w:val="32"/>
          <w:szCs w:val="32"/>
        </w:rPr>
        <w:t>指在基本支出之外为完成特定行政任务和事业发展目标所发生的支出。</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十一、</w:t>
      </w:r>
      <w:r>
        <w:rPr>
          <w:rFonts w:hint="eastAsia" w:ascii="仿宋" w:hAnsi="仿宋" w:eastAsia="仿宋" w:cs="仿宋"/>
          <w:b/>
          <w:bCs/>
          <w:color w:val="000000"/>
          <w:kern w:val="0"/>
          <w:sz w:val="32"/>
          <w:szCs w:val="32"/>
        </w:rPr>
        <w:t>经营支出 ：</w:t>
      </w:r>
      <w:r>
        <w:rPr>
          <w:rFonts w:hint="eastAsia" w:ascii="仿宋" w:hAnsi="仿宋" w:eastAsia="仿宋" w:cs="仿宋"/>
          <w:color w:val="000000"/>
          <w:kern w:val="0"/>
          <w:sz w:val="32"/>
          <w:szCs w:val="32"/>
        </w:rPr>
        <w:t>指事业单位在专业业务活动及其辅助活动之外开展非独立核算经营活动发生的支出。</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十二、</w:t>
      </w:r>
      <w:r>
        <w:rPr>
          <w:rFonts w:hint="eastAsia" w:ascii="仿宋" w:hAnsi="仿宋" w:eastAsia="仿宋" w:cs="仿宋"/>
          <w:b/>
          <w:bCs/>
          <w:color w:val="000000"/>
          <w:kern w:val="0"/>
          <w:sz w:val="32"/>
          <w:szCs w:val="32"/>
        </w:rPr>
        <w:t>基本建设支出：</w:t>
      </w:r>
      <w:r>
        <w:rPr>
          <w:rFonts w:hint="eastAsia" w:ascii="仿宋" w:hAnsi="仿宋" w:eastAsia="仿宋" w:cs="仿宋"/>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pPr>
        <w:widowControl/>
        <w:spacing w:line="560" w:lineRule="exact"/>
        <w:ind w:firstLine="643" w:firstLineChars="200"/>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lang w:val="en-US" w:eastAsia="zh-CN"/>
        </w:rPr>
        <w:t>十三、</w:t>
      </w:r>
      <w:r>
        <w:rPr>
          <w:rFonts w:hint="eastAsia" w:ascii="仿宋" w:hAnsi="仿宋" w:eastAsia="仿宋" w:cs="仿宋"/>
          <w:b/>
          <w:bCs/>
          <w:color w:val="000000"/>
          <w:kern w:val="0"/>
          <w:sz w:val="32"/>
          <w:szCs w:val="32"/>
        </w:rPr>
        <w:t>其他资本性支出：</w:t>
      </w:r>
      <w:r>
        <w:rPr>
          <w:rFonts w:hint="eastAsia" w:ascii="仿宋" w:hAnsi="仿宋" w:eastAsia="仿宋" w:cs="仿宋"/>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pPr>
        <w:snapToGrid w:val="0"/>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十四、</w:t>
      </w:r>
      <w:r>
        <w:rPr>
          <w:rFonts w:hint="eastAsia" w:ascii="仿宋" w:hAnsi="仿宋" w:eastAsia="仿宋" w:cs="仿宋"/>
          <w:b/>
          <w:bCs/>
          <w:color w:val="000000"/>
          <w:kern w:val="0"/>
          <w:sz w:val="32"/>
          <w:szCs w:val="32"/>
        </w:rPr>
        <w:t>“三公”经费：</w:t>
      </w:r>
      <w:r>
        <w:rPr>
          <w:rFonts w:hint="eastAsia" w:ascii="仿宋" w:hAnsi="仿宋" w:eastAsia="仿宋" w:cs="仿宋"/>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pPr>
        <w:snapToGrid w:val="0"/>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十五、</w:t>
      </w:r>
      <w:r>
        <w:rPr>
          <w:rFonts w:hint="eastAsia" w:ascii="仿宋" w:hAnsi="仿宋" w:eastAsia="仿宋" w:cs="仿宋"/>
          <w:b/>
          <w:bCs/>
          <w:color w:val="000000"/>
          <w:kern w:val="0"/>
          <w:sz w:val="32"/>
          <w:szCs w:val="32"/>
        </w:rPr>
        <w:t>其他交通费用：</w:t>
      </w:r>
      <w:r>
        <w:rPr>
          <w:rFonts w:hint="eastAsia" w:ascii="仿宋" w:hAnsi="仿宋" w:eastAsia="仿宋" w:cs="仿宋"/>
          <w:color w:val="000000"/>
          <w:kern w:val="0"/>
          <w:sz w:val="32"/>
          <w:szCs w:val="32"/>
        </w:rPr>
        <w:t>填列单位除公务用车运行维护费以外的其他交通费用。如公务交通补贴、租车费用、出租车费用，飞机、船舶等燃料费、维修费、保险费等。</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十六、</w:t>
      </w:r>
      <w:r>
        <w:rPr>
          <w:rFonts w:hint="eastAsia" w:ascii="仿宋" w:hAnsi="仿宋" w:eastAsia="仿宋" w:cs="仿宋"/>
          <w:b/>
          <w:bCs/>
          <w:color w:val="000000"/>
          <w:kern w:val="0"/>
          <w:sz w:val="32"/>
          <w:szCs w:val="32"/>
        </w:rPr>
        <w:t>公务用车购置：</w:t>
      </w:r>
      <w:r>
        <w:rPr>
          <w:rFonts w:hint="eastAsia" w:ascii="仿宋" w:hAnsi="仿宋" w:eastAsia="仿宋" w:cs="仿宋"/>
          <w:color w:val="000000"/>
          <w:kern w:val="0"/>
          <w:sz w:val="32"/>
          <w:szCs w:val="32"/>
        </w:rPr>
        <w:t>填列单位公务用车车辆购置支出（含车辆购置税、牌照费）。</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十七、</w:t>
      </w:r>
      <w:r>
        <w:rPr>
          <w:rFonts w:hint="eastAsia" w:ascii="仿宋" w:hAnsi="仿宋" w:eastAsia="仿宋" w:cs="仿宋"/>
          <w:b/>
          <w:bCs/>
          <w:color w:val="000000"/>
          <w:kern w:val="0"/>
          <w:sz w:val="32"/>
          <w:szCs w:val="32"/>
        </w:rPr>
        <w:t>其他交通工具购置：</w:t>
      </w:r>
      <w:r>
        <w:rPr>
          <w:rFonts w:hint="eastAsia" w:ascii="仿宋" w:hAnsi="仿宋" w:eastAsia="仿宋" w:cs="仿宋"/>
          <w:color w:val="000000"/>
          <w:kern w:val="0"/>
          <w:sz w:val="32"/>
          <w:szCs w:val="32"/>
        </w:rPr>
        <w:t>填列单位除公务用车外的其他各类交通工具（如船舶、飞机等）购置支出（含车辆购置税、牌照费）。</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十八、机关运行经费：</w:t>
      </w:r>
      <w:r>
        <w:rPr>
          <w:rFonts w:hint="eastAsia" w:ascii="仿宋" w:hAnsi="仿宋" w:eastAsia="仿宋" w:cs="仿宋"/>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pPr>
        <w:tabs>
          <w:tab w:val="left" w:pos="235"/>
        </w:tabs>
        <w:ind w:firstLine="643" w:firstLineChars="200"/>
        <w:jc w:val="left"/>
        <w:rPr>
          <w:rFonts w:hint="eastAsia" w:ascii="仿宋" w:hAnsi="仿宋" w:eastAsia="仿宋" w:cs="仿宋"/>
          <w:kern w:val="0"/>
          <w:sz w:val="32"/>
          <w:szCs w:val="32"/>
          <w:lang w:eastAsia="zh-CN"/>
        </w:rPr>
      </w:pPr>
      <w:r>
        <w:rPr>
          <w:rFonts w:hint="eastAsia" w:ascii="仿宋" w:hAnsi="仿宋" w:eastAsia="仿宋" w:cs="仿宋"/>
          <w:b/>
          <w:bCs/>
          <w:color w:val="000000"/>
          <w:kern w:val="0"/>
          <w:sz w:val="32"/>
          <w:szCs w:val="32"/>
        </w:rPr>
        <w:t>十九、经费形式:</w:t>
      </w:r>
      <w:r>
        <w:rPr>
          <w:rFonts w:hint="eastAsia" w:ascii="仿宋" w:hAnsi="仿宋" w:eastAsia="仿宋" w:cs="仿宋"/>
          <w:color w:val="000000"/>
          <w:kern w:val="0"/>
          <w:sz w:val="32"/>
          <w:szCs w:val="32"/>
        </w:rPr>
        <w:t>按照经费来源，</w:t>
      </w:r>
      <w:r>
        <w:rPr>
          <w:rFonts w:hint="eastAsia" w:ascii="仿宋" w:hAnsi="仿宋" w:eastAsia="仿宋" w:cs="仿宋"/>
          <w:kern w:val="0"/>
          <w:sz w:val="32"/>
          <w:szCs w:val="32"/>
        </w:rPr>
        <w:t>可分为财政拨款、财政性资金基本保证、财政性资金定额或定项补助、财政性资金零补助四类</w:t>
      </w:r>
      <w:r>
        <w:rPr>
          <w:rFonts w:hint="eastAsia" w:ascii="仿宋" w:hAnsi="仿宋" w:eastAsia="仿宋" w:cs="仿宋"/>
          <w:kern w:val="0"/>
          <w:sz w:val="32"/>
          <w:szCs w:val="32"/>
          <w:lang w:eastAsia="zh-CN"/>
        </w:rPr>
        <w:t>。</w:t>
      </w:r>
    </w:p>
    <w:p>
      <w:pPr>
        <w:rPr>
          <w:rFonts w:hint="default" w:ascii="Times New Roman" w:hAnsi="Times New Roman" w:cs="Times New Roma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仿宋_GB2312" w:cs="Times New Roman"/>
          <w:i w:val="0"/>
          <w:iCs w:val="0"/>
          <w:caps w:val="0"/>
          <w:color w:val="333333"/>
          <w:spacing w:val="0"/>
          <w:sz w:val="33"/>
          <w:szCs w:val="33"/>
          <w:highlight w:val="none"/>
          <w:shd w:val="clear" w:fill="FFFFFF"/>
        </w:rPr>
      </w:pPr>
    </w:p>
    <w:p>
      <w:pP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CA7F5EA-6193-427C-A0D7-86E45C2A671A}"/>
  </w:font>
  <w:font w:name="黑体">
    <w:panose1 w:val="02010609060101010101"/>
    <w:charset w:val="86"/>
    <w:family w:val="auto"/>
    <w:pitch w:val="default"/>
    <w:sig w:usb0="800002BF" w:usb1="38CF7CFA" w:usb2="00000016" w:usb3="00000000" w:csb0="00040001" w:csb1="00000000"/>
    <w:embedRegular r:id="rId2" w:fontKey="{E3ED7258-9E98-4A69-9999-81C6FD417E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7F7D2E6-26D9-4E0D-AB0E-B253F76F316B}"/>
  </w:font>
  <w:font w:name="仿宋">
    <w:panose1 w:val="02010609060101010101"/>
    <w:charset w:val="86"/>
    <w:family w:val="modern"/>
    <w:pitch w:val="default"/>
    <w:sig w:usb0="800002BF" w:usb1="38CF7CFA" w:usb2="00000016" w:usb3="00000000" w:csb0="00040001" w:csb1="00000000"/>
    <w:embedRegular r:id="rId4" w:fontKey="{39628D4B-62BB-4858-B9C0-083A131BC955}"/>
  </w:font>
  <w:font w:name="Calibri Light">
    <w:panose1 w:val="020F0302020204030204"/>
    <w:charset w:val="00"/>
    <w:family w:val="auto"/>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altName w:val="Arial"/>
    <w:panose1 w:val="00000000000000000000"/>
    <w:charset w:val="00"/>
    <w:family w:val="auto"/>
    <w:pitch w:val="default"/>
    <w:sig w:usb0="00000000" w:usb1="00000000" w:usb2="00000000" w:usb3="00000000" w:csb0="00000000" w:csb1="00000000"/>
    <w:embedRegular r:id="rId5" w:fontKey="{E7587B78-0325-4021-811B-1AB2EB62E038}"/>
  </w:font>
  <w:font w:name="方正魏碑简体">
    <w:altName w:val="微软雅黑"/>
    <w:panose1 w:val="00000000000000000000"/>
    <w:charset w:val="86"/>
    <w:family w:val="auto"/>
    <w:pitch w:val="default"/>
    <w:sig w:usb0="00000000" w:usb1="00000000" w:usb2="00000010" w:usb3="00000000" w:csb0="00040000" w:csb1="00000000"/>
    <w:embedRegular r:id="rId6" w:fontKey="{D2ED3BAF-9F9A-4219-B824-16B6E7D8ECFB}"/>
  </w:font>
  <w:font w:name="思源黑体 CN Heavy">
    <w:altName w:val="黑体"/>
    <w:panose1 w:val="00000000000000000000"/>
    <w:charset w:val="86"/>
    <w:family w:val="swiss"/>
    <w:pitch w:val="default"/>
    <w:sig w:usb0="00000000" w:usb1="00000000" w:usb2="00000016" w:usb3="00000000" w:csb0="00060107" w:csb1="00000000"/>
    <w:embedRegular r:id="rId7" w:fontKey="{E56114B2-61FA-4CF1-AA0D-C3C49BB10B61}"/>
  </w:font>
  <w:font w:name="楷体_GB2312">
    <w:altName w:val="楷体"/>
    <w:panose1 w:val="02010609030101010101"/>
    <w:charset w:val="86"/>
    <w:family w:val="auto"/>
    <w:pitch w:val="default"/>
    <w:sig w:usb0="00000000" w:usb1="00000000" w:usb2="00000000" w:usb3="00000000" w:csb0="00040000" w:csb1="00000000"/>
    <w:embedRegular r:id="rId8" w:fontKey="{EC828F6D-9EB0-4AE8-A2E0-C1AF006DDC2E}"/>
  </w:font>
  <w:font w:name="仿宋_GB2312">
    <w:panose1 w:val="02010609030101010101"/>
    <w:charset w:val="86"/>
    <w:family w:val="auto"/>
    <w:pitch w:val="default"/>
    <w:sig w:usb0="00000001" w:usb1="080E0000" w:usb2="00000000" w:usb3="00000000" w:csb0="00040000" w:csb1="00000000"/>
    <w:embedRegular r:id="rId9" w:fontKey="{9E130E13-98CA-4DED-AFCD-52F266189F04}"/>
  </w:font>
  <w:font w:name="ArialUnicodeMS">
    <w:altName w:val="Malgun Gothic"/>
    <w:panose1 w:val="00000000000000000000"/>
    <w:charset w:val="81"/>
    <w:family w:val="auto"/>
    <w:pitch w:val="default"/>
    <w:sig w:usb0="00000000" w:usb1="00000000" w:usb2="00000010" w:usb3="00000000" w:csb0="00080001" w:csb1="00000000"/>
    <w:embedRegular r:id="rId10" w:fontKey="{D6D30910-F17C-4B75-912A-6A4A75DEDECD}"/>
  </w:font>
  <w:font w:name="楷体">
    <w:panose1 w:val="02010609060101010101"/>
    <w:charset w:val="86"/>
    <w:family w:val="auto"/>
    <w:pitch w:val="default"/>
    <w:sig w:usb0="800002BF" w:usb1="38CF7CFA" w:usb2="00000016" w:usb3="00000000" w:csb0="00040001" w:csb1="00000000"/>
    <w:embedRegular r:id="rId11" w:fontKey="{E935D229-C1F9-4921-98C3-2ADAB439B45D}"/>
  </w:font>
  <w:font w:name="方正小标宋_GBK">
    <w:altName w:val="微软雅黑"/>
    <w:panose1 w:val="00000000000000000000"/>
    <w:charset w:val="00"/>
    <w:family w:val="auto"/>
    <w:pitch w:val="default"/>
    <w:sig w:usb0="00000000" w:usb1="00000000" w:usb2="00000000" w:usb3="00000000" w:csb0="00000000" w:csb1="00000000"/>
    <w:embedRegular r:id="rId12" w:fontKey="{9694C3C1-E43C-45AF-AE92-F117435B803B}"/>
  </w:font>
  <w:font w:name="等线">
    <w:panose1 w:val="02010600030101010101"/>
    <w:charset w:val="86"/>
    <w:family w:val="auto"/>
    <w:pitch w:val="default"/>
    <w:sig w:usb0="A00002BF" w:usb1="38CF7CFA" w:usb2="00000016" w:usb3="00000000" w:csb0="0004000F" w:csb1="00000000"/>
    <w:embedRegular r:id="rId13" w:fontKey="{E082EFC3-19E5-4176-8971-5E0DD0A463D0}"/>
  </w:font>
  <w:font w:name="微软雅黑">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FB901"/>
    <w:multiLevelType w:val="singleLevel"/>
    <w:tmpl w:val="28FFB901"/>
    <w:lvl w:ilvl="0" w:tentative="0">
      <w:start w:val="3"/>
      <w:numFmt w:val="chineseCounting"/>
      <w:suff w:val="nothing"/>
      <w:lvlText w:val="（%1）"/>
      <w:lvlJc w:val="left"/>
      <w:rPr>
        <w:rFonts w:hint="eastAsia"/>
      </w:rPr>
    </w:lvl>
  </w:abstractNum>
  <w:abstractNum w:abstractNumId="1">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DAsImhkaWQiOiJhYmY1MDFhMDQ1OWVlNTQ5Zjk1ZjQxY2UzMGM0ZTY5NiIsInVzZXJDb3VudCI6MjF9"/>
  </w:docVars>
  <w:rsids>
    <w:rsidRoot w:val="00000000"/>
    <w:rsid w:val="00086151"/>
    <w:rsid w:val="00236F8C"/>
    <w:rsid w:val="008E12CF"/>
    <w:rsid w:val="0096690D"/>
    <w:rsid w:val="00C65689"/>
    <w:rsid w:val="00CC2C8E"/>
    <w:rsid w:val="00F27B04"/>
    <w:rsid w:val="01616D62"/>
    <w:rsid w:val="01900E19"/>
    <w:rsid w:val="01A03C5A"/>
    <w:rsid w:val="01A5267D"/>
    <w:rsid w:val="02363AF1"/>
    <w:rsid w:val="024808A2"/>
    <w:rsid w:val="025C3821"/>
    <w:rsid w:val="02C50D23"/>
    <w:rsid w:val="02DA3B1B"/>
    <w:rsid w:val="02E57B4D"/>
    <w:rsid w:val="033D3951"/>
    <w:rsid w:val="037B12D4"/>
    <w:rsid w:val="03804D63"/>
    <w:rsid w:val="03FB73B0"/>
    <w:rsid w:val="04BD008C"/>
    <w:rsid w:val="04C55939"/>
    <w:rsid w:val="04DA28BB"/>
    <w:rsid w:val="04F528BE"/>
    <w:rsid w:val="05991C82"/>
    <w:rsid w:val="06021ED4"/>
    <w:rsid w:val="06113CB0"/>
    <w:rsid w:val="061416A9"/>
    <w:rsid w:val="06236884"/>
    <w:rsid w:val="067E788A"/>
    <w:rsid w:val="06FC7C2A"/>
    <w:rsid w:val="07097292"/>
    <w:rsid w:val="0715055B"/>
    <w:rsid w:val="071E363B"/>
    <w:rsid w:val="07533AFE"/>
    <w:rsid w:val="07B3657A"/>
    <w:rsid w:val="07C857D0"/>
    <w:rsid w:val="080B6ECA"/>
    <w:rsid w:val="08AB5AAF"/>
    <w:rsid w:val="09012C64"/>
    <w:rsid w:val="093B2E99"/>
    <w:rsid w:val="095D7943"/>
    <w:rsid w:val="09C006C6"/>
    <w:rsid w:val="0A10621F"/>
    <w:rsid w:val="0A464C4F"/>
    <w:rsid w:val="0A6729A3"/>
    <w:rsid w:val="0A694877"/>
    <w:rsid w:val="0A8A06EA"/>
    <w:rsid w:val="0AA954BE"/>
    <w:rsid w:val="0AE70639"/>
    <w:rsid w:val="0B4F5E6D"/>
    <w:rsid w:val="0B753AE2"/>
    <w:rsid w:val="0BB67D0A"/>
    <w:rsid w:val="0BC56230"/>
    <w:rsid w:val="0BCF21BD"/>
    <w:rsid w:val="0C4E53E8"/>
    <w:rsid w:val="0C9F7900"/>
    <w:rsid w:val="0CB23317"/>
    <w:rsid w:val="0D101068"/>
    <w:rsid w:val="0D49470D"/>
    <w:rsid w:val="0D7557DF"/>
    <w:rsid w:val="0D853E34"/>
    <w:rsid w:val="0D9C2A57"/>
    <w:rsid w:val="0DFA5D82"/>
    <w:rsid w:val="0E1E52CE"/>
    <w:rsid w:val="0E341BC0"/>
    <w:rsid w:val="0E866524"/>
    <w:rsid w:val="0E9268D3"/>
    <w:rsid w:val="0E957F1F"/>
    <w:rsid w:val="0F0E7284"/>
    <w:rsid w:val="0F28110F"/>
    <w:rsid w:val="0F37083F"/>
    <w:rsid w:val="0F891DB8"/>
    <w:rsid w:val="0FAA3B86"/>
    <w:rsid w:val="10191346"/>
    <w:rsid w:val="10754A6C"/>
    <w:rsid w:val="108B537D"/>
    <w:rsid w:val="10B11DB1"/>
    <w:rsid w:val="10B14C22"/>
    <w:rsid w:val="10C7485C"/>
    <w:rsid w:val="11177F57"/>
    <w:rsid w:val="11217C97"/>
    <w:rsid w:val="11464C20"/>
    <w:rsid w:val="115E4926"/>
    <w:rsid w:val="116461D4"/>
    <w:rsid w:val="118A1FFA"/>
    <w:rsid w:val="11E35B5A"/>
    <w:rsid w:val="11E42DD6"/>
    <w:rsid w:val="125F5A1B"/>
    <w:rsid w:val="126979D6"/>
    <w:rsid w:val="129E45A7"/>
    <w:rsid w:val="13074404"/>
    <w:rsid w:val="136A5C00"/>
    <w:rsid w:val="13C527AC"/>
    <w:rsid w:val="14711797"/>
    <w:rsid w:val="147B6F17"/>
    <w:rsid w:val="14D42061"/>
    <w:rsid w:val="15081C8B"/>
    <w:rsid w:val="15090D5C"/>
    <w:rsid w:val="15CF053D"/>
    <w:rsid w:val="15E0131A"/>
    <w:rsid w:val="16042304"/>
    <w:rsid w:val="16457D9F"/>
    <w:rsid w:val="17223EFF"/>
    <w:rsid w:val="17B713F6"/>
    <w:rsid w:val="184350A0"/>
    <w:rsid w:val="18541CC2"/>
    <w:rsid w:val="187B3DA8"/>
    <w:rsid w:val="18935485"/>
    <w:rsid w:val="18946C52"/>
    <w:rsid w:val="18A34206"/>
    <w:rsid w:val="18DE3B2C"/>
    <w:rsid w:val="1906685D"/>
    <w:rsid w:val="19111683"/>
    <w:rsid w:val="19353916"/>
    <w:rsid w:val="19B07C1B"/>
    <w:rsid w:val="19C10AF1"/>
    <w:rsid w:val="19C71876"/>
    <w:rsid w:val="1A2672DE"/>
    <w:rsid w:val="1A2E4BEE"/>
    <w:rsid w:val="1AA81D42"/>
    <w:rsid w:val="1AB433D9"/>
    <w:rsid w:val="1B1B11EE"/>
    <w:rsid w:val="1B3719E0"/>
    <w:rsid w:val="1B6261C3"/>
    <w:rsid w:val="1B731730"/>
    <w:rsid w:val="1B882BB5"/>
    <w:rsid w:val="1B906310"/>
    <w:rsid w:val="1B9B33C7"/>
    <w:rsid w:val="1B9D7FEC"/>
    <w:rsid w:val="1BA55461"/>
    <w:rsid w:val="1BE74496"/>
    <w:rsid w:val="1C3D67D1"/>
    <w:rsid w:val="1C40731A"/>
    <w:rsid w:val="1C560392"/>
    <w:rsid w:val="1C581532"/>
    <w:rsid w:val="1C7D181A"/>
    <w:rsid w:val="1CA15E03"/>
    <w:rsid w:val="1CA24F0C"/>
    <w:rsid w:val="1CF8716C"/>
    <w:rsid w:val="1D1E5EC4"/>
    <w:rsid w:val="1D230EBD"/>
    <w:rsid w:val="1D4B1F5B"/>
    <w:rsid w:val="1D6C5CA0"/>
    <w:rsid w:val="1D725586"/>
    <w:rsid w:val="1D745B4F"/>
    <w:rsid w:val="1D867987"/>
    <w:rsid w:val="1D944010"/>
    <w:rsid w:val="1DA60472"/>
    <w:rsid w:val="1DD70E85"/>
    <w:rsid w:val="1DE6414E"/>
    <w:rsid w:val="1DE74AD7"/>
    <w:rsid w:val="1DF60A19"/>
    <w:rsid w:val="1DFA6713"/>
    <w:rsid w:val="1E050843"/>
    <w:rsid w:val="1E20024F"/>
    <w:rsid w:val="1E2D3FB0"/>
    <w:rsid w:val="1E2E50F1"/>
    <w:rsid w:val="1E2F73C2"/>
    <w:rsid w:val="1E3B4E26"/>
    <w:rsid w:val="1E4F574E"/>
    <w:rsid w:val="1E97477F"/>
    <w:rsid w:val="1EDF707D"/>
    <w:rsid w:val="1F10627D"/>
    <w:rsid w:val="1F136EB1"/>
    <w:rsid w:val="1F2E2127"/>
    <w:rsid w:val="1F65664C"/>
    <w:rsid w:val="1F79478A"/>
    <w:rsid w:val="1F7C149A"/>
    <w:rsid w:val="1F84140D"/>
    <w:rsid w:val="1F863C54"/>
    <w:rsid w:val="1F9B7FFD"/>
    <w:rsid w:val="1F9C7614"/>
    <w:rsid w:val="1FB810FB"/>
    <w:rsid w:val="1FBE1971"/>
    <w:rsid w:val="2008768D"/>
    <w:rsid w:val="203F0864"/>
    <w:rsid w:val="204C2B10"/>
    <w:rsid w:val="207D30AD"/>
    <w:rsid w:val="209064B9"/>
    <w:rsid w:val="20970D81"/>
    <w:rsid w:val="20B44032"/>
    <w:rsid w:val="20D165D5"/>
    <w:rsid w:val="20D77E7D"/>
    <w:rsid w:val="210878E6"/>
    <w:rsid w:val="210E1408"/>
    <w:rsid w:val="211069AD"/>
    <w:rsid w:val="21573FAB"/>
    <w:rsid w:val="2172069C"/>
    <w:rsid w:val="21987BC4"/>
    <w:rsid w:val="220451AB"/>
    <w:rsid w:val="2237486E"/>
    <w:rsid w:val="223D1378"/>
    <w:rsid w:val="22940650"/>
    <w:rsid w:val="22AD4B1E"/>
    <w:rsid w:val="22D31DF3"/>
    <w:rsid w:val="22FD3CF7"/>
    <w:rsid w:val="2356249E"/>
    <w:rsid w:val="23605570"/>
    <w:rsid w:val="236E713A"/>
    <w:rsid w:val="23700968"/>
    <w:rsid w:val="238761A6"/>
    <w:rsid w:val="23920578"/>
    <w:rsid w:val="23A10B26"/>
    <w:rsid w:val="23BB6F9A"/>
    <w:rsid w:val="23FC3864"/>
    <w:rsid w:val="247D7230"/>
    <w:rsid w:val="24F25212"/>
    <w:rsid w:val="254B0AC6"/>
    <w:rsid w:val="25571AB6"/>
    <w:rsid w:val="25B40AD6"/>
    <w:rsid w:val="25BE7872"/>
    <w:rsid w:val="25BF702A"/>
    <w:rsid w:val="25FA6065"/>
    <w:rsid w:val="2611374E"/>
    <w:rsid w:val="261F111C"/>
    <w:rsid w:val="26477410"/>
    <w:rsid w:val="264D2D17"/>
    <w:rsid w:val="26D50E55"/>
    <w:rsid w:val="270763D6"/>
    <w:rsid w:val="271A539C"/>
    <w:rsid w:val="2740075D"/>
    <w:rsid w:val="274972D4"/>
    <w:rsid w:val="275048F0"/>
    <w:rsid w:val="275C72A5"/>
    <w:rsid w:val="27AA3D97"/>
    <w:rsid w:val="28405AA6"/>
    <w:rsid w:val="289057C5"/>
    <w:rsid w:val="28A67C7A"/>
    <w:rsid w:val="28D1057E"/>
    <w:rsid w:val="28EA3248"/>
    <w:rsid w:val="28F879DA"/>
    <w:rsid w:val="294630F8"/>
    <w:rsid w:val="294B7731"/>
    <w:rsid w:val="296A5FF1"/>
    <w:rsid w:val="29D21FF2"/>
    <w:rsid w:val="29E96D21"/>
    <w:rsid w:val="2A611B0F"/>
    <w:rsid w:val="2AC1762B"/>
    <w:rsid w:val="2AE845D0"/>
    <w:rsid w:val="2B4975FB"/>
    <w:rsid w:val="2B695031"/>
    <w:rsid w:val="2B735A8F"/>
    <w:rsid w:val="2BA7478D"/>
    <w:rsid w:val="2BB038DB"/>
    <w:rsid w:val="2BB761E0"/>
    <w:rsid w:val="2BB812F9"/>
    <w:rsid w:val="2BE319AF"/>
    <w:rsid w:val="2BE35C27"/>
    <w:rsid w:val="2BFA504B"/>
    <w:rsid w:val="2C681F1F"/>
    <w:rsid w:val="2C8608DC"/>
    <w:rsid w:val="2CA4764A"/>
    <w:rsid w:val="2CC42ECA"/>
    <w:rsid w:val="2CDA4349"/>
    <w:rsid w:val="2D225539"/>
    <w:rsid w:val="2D4618D2"/>
    <w:rsid w:val="2D5F021B"/>
    <w:rsid w:val="2D6E1286"/>
    <w:rsid w:val="2D70583E"/>
    <w:rsid w:val="2D99655D"/>
    <w:rsid w:val="2E1B4BB8"/>
    <w:rsid w:val="2E256CB6"/>
    <w:rsid w:val="2E3224D3"/>
    <w:rsid w:val="2E5F27E4"/>
    <w:rsid w:val="2E9871B6"/>
    <w:rsid w:val="2EBD223E"/>
    <w:rsid w:val="2EC10AD1"/>
    <w:rsid w:val="2ECB6A5A"/>
    <w:rsid w:val="2EFC0112"/>
    <w:rsid w:val="2F2B730D"/>
    <w:rsid w:val="2F42598B"/>
    <w:rsid w:val="2F8169E4"/>
    <w:rsid w:val="2F9F3DC1"/>
    <w:rsid w:val="2FFC7AC2"/>
    <w:rsid w:val="301430AF"/>
    <w:rsid w:val="30630612"/>
    <w:rsid w:val="308E59B0"/>
    <w:rsid w:val="30B10568"/>
    <w:rsid w:val="30E55DD3"/>
    <w:rsid w:val="30E60399"/>
    <w:rsid w:val="30ED4A7A"/>
    <w:rsid w:val="31356AA5"/>
    <w:rsid w:val="313E22F0"/>
    <w:rsid w:val="31B0194C"/>
    <w:rsid w:val="31CE17D1"/>
    <w:rsid w:val="320F6F96"/>
    <w:rsid w:val="323E4515"/>
    <w:rsid w:val="3286389B"/>
    <w:rsid w:val="32CF5C94"/>
    <w:rsid w:val="32D337C7"/>
    <w:rsid w:val="32E200EC"/>
    <w:rsid w:val="32E5408B"/>
    <w:rsid w:val="32E9750B"/>
    <w:rsid w:val="32EB0D70"/>
    <w:rsid w:val="332868BB"/>
    <w:rsid w:val="333211F3"/>
    <w:rsid w:val="333E3678"/>
    <w:rsid w:val="33504B41"/>
    <w:rsid w:val="335174BC"/>
    <w:rsid w:val="338B4A07"/>
    <w:rsid w:val="33944811"/>
    <w:rsid w:val="33CE0488"/>
    <w:rsid w:val="34005866"/>
    <w:rsid w:val="34182C85"/>
    <w:rsid w:val="34262463"/>
    <w:rsid w:val="34296F31"/>
    <w:rsid w:val="34340A27"/>
    <w:rsid w:val="346A2989"/>
    <w:rsid w:val="34714663"/>
    <w:rsid w:val="348865E9"/>
    <w:rsid w:val="348F70D5"/>
    <w:rsid w:val="349D2BAD"/>
    <w:rsid w:val="34B25886"/>
    <w:rsid w:val="34B40430"/>
    <w:rsid w:val="35277FF8"/>
    <w:rsid w:val="35776F72"/>
    <w:rsid w:val="35997371"/>
    <w:rsid w:val="360134DF"/>
    <w:rsid w:val="360B1E2F"/>
    <w:rsid w:val="360D500F"/>
    <w:rsid w:val="36330424"/>
    <w:rsid w:val="36990C8E"/>
    <w:rsid w:val="36FE3ABA"/>
    <w:rsid w:val="37072BDE"/>
    <w:rsid w:val="3716321D"/>
    <w:rsid w:val="37252B82"/>
    <w:rsid w:val="37455334"/>
    <w:rsid w:val="376A14D2"/>
    <w:rsid w:val="37731921"/>
    <w:rsid w:val="37E509C0"/>
    <w:rsid w:val="37E96FB8"/>
    <w:rsid w:val="38222D85"/>
    <w:rsid w:val="386D5023"/>
    <w:rsid w:val="38803721"/>
    <w:rsid w:val="38925A62"/>
    <w:rsid w:val="389F5F4F"/>
    <w:rsid w:val="38C36BA2"/>
    <w:rsid w:val="38F6595C"/>
    <w:rsid w:val="391702A7"/>
    <w:rsid w:val="39286EB6"/>
    <w:rsid w:val="39601DF4"/>
    <w:rsid w:val="39840D35"/>
    <w:rsid w:val="39A239AC"/>
    <w:rsid w:val="39A97DAF"/>
    <w:rsid w:val="39CD1330"/>
    <w:rsid w:val="39DD1AFF"/>
    <w:rsid w:val="3A0C13D5"/>
    <w:rsid w:val="3A2510B9"/>
    <w:rsid w:val="3A2A2EDD"/>
    <w:rsid w:val="3A2B1DFC"/>
    <w:rsid w:val="3A3643B6"/>
    <w:rsid w:val="3AA6422C"/>
    <w:rsid w:val="3AAF46D5"/>
    <w:rsid w:val="3AB900D5"/>
    <w:rsid w:val="3B135A0E"/>
    <w:rsid w:val="3B272BBC"/>
    <w:rsid w:val="3B374FEE"/>
    <w:rsid w:val="3B4410EE"/>
    <w:rsid w:val="3B56159C"/>
    <w:rsid w:val="3B7D732B"/>
    <w:rsid w:val="3BD30423"/>
    <w:rsid w:val="3C3A1750"/>
    <w:rsid w:val="3C6147F2"/>
    <w:rsid w:val="3C6C0B58"/>
    <w:rsid w:val="3CBE41D5"/>
    <w:rsid w:val="3D305D4F"/>
    <w:rsid w:val="3D446B0E"/>
    <w:rsid w:val="3D953A6B"/>
    <w:rsid w:val="3DA07301"/>
    <w:rsid w:val="3DBB2CD5"/>
    <w:rsid w:val="3DBB5979"/>
    <w:rsid w:val="3E1057AF"/>
    <w:rsid w:val="3E6C0DFA"/>
    <w:rsid w:val="3E740322"/>
    <w:rsid w:val="3E7F4380"/>
    <w:rsid w:val="3E8D171B"/>
    <w:rsid w:val="3E8E5574"/>
    <w:rsid w:val="3EA5630D"/>
    <w:rsid w:val="3EBA731B"/>
    <w:rsid w:val="3EFB5800"/>
    <w:rsid w:val="3F3B4E59"/>
    <w:rsid w:val="3F4D1B74"/>
    <w:rsid w:val="3F6E677C"/>
    <w:rsid w:val="3F712F46"/>
    <w:rsid w:val="3FBC0EF7"/>
    <w:rsid w:val="3FCD2AB9"/>
    <w:rsid w:val="3FD17600"/>
    <w:rsid w:val="4050218A"/>
    <w:rsid w:val="405C7868"/>
    <w:rsid w:val="408B24EB"/>
    <w:rsid w:val="417044B8"/>
    <w:rsid w:val="41A203A0"/>
    <w:rsid w:val="41E83F8C"/>
    <w:rsid w:val="422D1842"/>
    <w:rsid w:val="425B7C31"/>
    <w:rsid w:val="42737A55"/>
    <w:rsid w:val="427D66D0"/>
    <w:rsid w:val="42BC7E02"/>
    <w:rsid w:val="42C82575"/>
    <w:rsid w:val="43022EE1"/>
    <w:rsid w:val="431A5F8F"/>
    <w:rsid w:val="431F247A"/>
    <w:rsid w:val="43335E8F"/>
    <w:rsid w:val="433F2968"/>
    <w:rsid w:val="43676E20"/>
    <w:rsid w:val="43A31040"/>
    <w:rsid w:val="43BF774E"/>
    <w:rsid w:val="43CD062F"/>
    <w:rsid w:val="43E214F9"/>
    <w:rsid w:val="43F06264"/>
    <w:rsid w:val="43FE1568"/>
    <w:rsid w:val="44404C8E"/>
    <w:rsid w:val="447537F1"/>
    <w:rsid w:val="44795B2A"/>
    <w:rsid w:val="44870D07"/>
    <w:rsid w:val="45513D03"/>
    <w:rsid w:val="45541E1C"/>
    <w:rsid w:val="45F657C2"/>
    <w:rsid w:val="460713D2"/>
    <w:rsid w:val="461F0A8B"/>
    <w:rsid w:val="46256F3D"/>
    <w:rsid w:val="4648721E"/>
    <w:rsid w:val="46663E71"/>
    <w:rsid w:val="466A37AC"/>
    <w:rsid w:val="46CB071B"/>
    <w:rsid w:val="46DE140B"/>
    <w:rsid w:val="46E77334"/>
    <w:rsid w:val="46F22E29"/>
    <w:rsid w:val="46F7142F"/>
    <w:rsid w:val="47107AE3"/>
    <w:rsid w:val="473C62ED"/>
    <w:rsid w:val="47617242"/>
    <w:rsid w:val="478C16C9"/>
    <w:rsid w:val="47AD79CE"/>
    <w:rsid w:val="47BD246B"/>
    <w:rsid w:val="47CB2B0C"/>
    <w:rsid w:val="47E773CE"/>
    <w:rsid w:val="48015FF5"/>
    <w:rsid w:val="484C45A4"/>
    <w:rsid w:val="48692CD0"/>
    <w:rsid w:val="48AE3D01"/>
    <w:rsid w:val="48D9540B"/>
    <w:rsid w:val="49067B2F"/>
    <w:rsid w:val="496008AE"/>
    <w:rsid w:val="49677E31"/>
    <w:rsid w:val="496C2225"/>
    <w:rsid w:val="497C7F8C"/>
    <w:rsid w:val="49AE2880"/>
    <w:rsid w:val="49F42EAF"/>
    <w:rsid w:val="49F96FB8"/>
    <w:rsid w:val="4A337323"/>
    <w:rsid w:val="4A3679E8"/>
    <w:rsid w:val="4A5B28DC"/>
    <w:rsid w:val="4AA06B93"/>
    <w:rsid w:val="4ADB18EB"/>
    <w:rsid w:val="4AEE5418"/>
    <w:rsid w:val="4B0371D8"/>
    <w:rsid w:val="4B96118E"/>
    <w:rsid w:val="4BAE1B66"/>
    <w:rsid w:val="4BED4708"/>
    <w:rsid w:val="4BF133DC"/>
    <w:rsid w:val="4C507D4A"/>
    <w:rsid w:val="4CDF5563"/>
    <w:rsid w:val="4CFB2214"/>
    <w:rsid w:val="4D1A3672"/>
    <w:rsid w:val="4D2C4D26"/>
    <w:rsid w:val="4D335E0E"/>
    <w:rsid w:val="4D4E4EA3"/>
    <w:rsid w:val="4D9A5B1B"/>
    <w:rsid w:val="4DA55D85"/>
    <w:rsid w:val="4DBB20DB"/>
    <w:rsid w:val="4DDC3F22"/>
    <w:rsid w:val="4E1040C7"/>
    <w:rsid w:val="4E1760BF"/>
    <w:rsid w:val="4E646AEA"/>
    <w:rsid w:val="4EBA03C3"/>
    <w:rsid w:val="4EBC5459"/>
    <w:rsid w:val="4ED94CB0"/>
    <w:rsid w:val="4EEC2ED3"/>
    <w:rsid w:val="4F037DB0"/>
    <w:rsid w:val="4F0B74A3"/>
    <w:rsid w:val="4F0E56EA"/>
    <w:rsid w:val="4F2E11BC"/>
    <w:rsid w:val="4F3C4343"/>
    <w:rsid w:val="4F416688"/>
    <w:rsid w:val="4F5620B0"/>
    <w:rsid w:val="4F6654EE"/>
    <w:rsid w:val="4F7379C6"/>
    <w:rsid w:val="4F872183"/>
    <w:rsid w:val="4F872BDB"/>
    <w:rsid w:val="4FA033E9"/>
    <w:rsid w:val="4FA743DA"/>
    <w:rsid w:val="4FB3565A"/>
    <w:rsid w:val="4FED77BF"/>
    <w:rsid w:val="50203397"/>
    <w:rsid w:val="503D1C79"/>
    <w:rsid w:val="504A3CA9"/>
    <w:rsid w:val="507A6406"/>
    <w:rsid w:val="50853863"/>
    <w:rsid w:val="508A4590"/>
    <w:rsid w:val="509352D9"/>
    <w:rsid w:val="50F1461D"/>
    <w:rsid w:val="50FE5411"/>
    <w:rsid w:val="510B072E"/>
    <w:rsid w:val="511B0BF4"/>
    <w:rsid w:val="51264306"/>
    <w:rsid w:val="516123CE"/>
    <w:rsid w:val="517C0361"/>
    <w:rsid w:val="51B177A9"/>
    <w:rsid w:val="51CF0D81"/>
    <w:rsid w:val="51E066EB"/>
    <w:rsid w:val="51E84FDE"/>
    <w:rsid w:val="5267570A"/>
    <w:rsid w:val="52707792"/>
    <w:rsid w:val="52A12CDC"/>
    <w:rsid w:val="52AA2CA4"/>
    <w:rsid w:val="52DF0C92"/>
    <w:rsid w:val="52E1159C"/>
    <w:rsid w:val="52E34D6A"/>
    <w:rsid w:val="531E524E"/>
    <w:rsid w:val="534072EB"/>
    <w:rsid w:val="538E2D0B"/>
    <w:rsid w:val="53922782"/>
    <w:rsid w:val="539C1424"/>
    <w:rsid w:val="53A639C0"/>
    <w:rsid w:val="53F00A24"/>
    <w:rsid w:val="53F63DBA"/>
    <w:rsid w:val="53FF767B"/>
    <w:rsid w:val="5448624E"/>
    <w:rsid w:val="546E2B1A"/>
    <w:rsid w:val="5482555F"/>
    <w:rsid w:val="551452C2"/>
    <w:rsid w:val="55363E67"/>
    <w:rsid w:val="556E6DF7"/>
    <w:rsid w:val="559D47CE"/>
    <w:rsid w:val="55BE1959"/>
    <w:rsid w:val="56232437"/>
    <w:rsid w:val="56541A75"/>
    <w:rsid w:val="568832FC"/>
    <w:rsid w:val="568C4181"/>
    <w:rsid w:val="56AC2FF1"/>
    <w:rsid w:val="570725A9"/>
    <w:rsid w:val="5714693E"/>
    <w:rsid w:val="571D0C9C"/>
    <w:rsid w:val="573A16CE"/>
    <w:rsid w:val="577F71A8"/>
    <w:rsid w:val="579C7F80"/>
    <w:rsid w:val="57B30D7C"/>
    <w:rsid w:val="58166B03"/>
    <w:rsid w:val="583E3C94"/>
    <w:rsid w:val="58721734"/>
    <w:rsid w:val="58900246"/>
    <w:rsid w:val="58977358"/>
    <w:rsid w:val="58D53944"/>
    <w:rsid w:val="58D65478"/>
    <w:rsid w:val="58F52487"/>
    <w:rsid w:val="58F778BC"/>
    <w:rsid w:val="590422E6"/>
    <w:rsid w:val="592257E5"/>
    <w:rsid w:val="59655E33"/>
    <w:rsid w:val="59CF5BD9"/>
    <w:rsid w:val="59E20C3C"/>
    <w:rsid w:val="5A1D5B0A"/>
    <w:rsid w:val="5A3B4B4E"/>
    <w:rsid w:val="5A4804CA"/>
    <w:rsid w:val="5A594C85"/>
    <w:rsid w:val="5A7D649E"/>
    <w:rsid w:val="5AAD3411"/>
    <w:rsid w:val="5AEB1E3C"/>
    <w:rsid w:val="5B2507CA"/>
    <w:rsid w:val="5B2A474A"/>
    <w:rsid w:val="5B830730"/>
    <w:rsid w:val="5B871C49"/>
    <w:rsid w:val="5BBB2DD6"/>
    <w:rsid w:val="5BE263B6"/>
    <w:rsid w:val="5C0D7BAD"/>
    <w:rsid w:val="5C8E5C5A"/>
    <w:rsid w:val="5C965E61"/>
    <w:rsid w:val="5CA76AD9"/>
    <w:rsid w:val="5D242A11"/>
    <w:rsid w:val="5D8A795A"/>
    <w:rsid w:val="5D9217C2"/>
    <w:rsid w:val="5DAD06BF"/>
    <w:rsid w:val="5DD07F2B"/>
    <w:rsid w:val="5DE23CB3"/>
    <w:rsid w:val="5DE97EEC"/>
    <w:rsid w:val="5DF43138"/>
    <w:rsid w:val="5DFA5EB0"/>
    <w:rsid w:val="5E0B583E"/>
    <w:rsid w:val="5E201A7B"/>
    <w:rsid w:val="5E36060D"/>
    <w:rsid w:val="5EBD0484"/>
    <w:rsid w:val="5F2C5C7C"/>
    <w:rsid w:val="5F2E6A0B"/>
    <w:rsid w:val="5F966B2A"/>
    <w:rsid w:val="5FC5273F"/>
    <w:rsid w:val="60806DF2"/>
    <w:rsid w:val="61072DA5"/>
    <w:rsid w:val="611C0817"/>
    <w:rsid w:val="61224A52"/>
    <w:rsid w:val="61520CCB"/>
    <w:rsid w:val="61851A29"/>
    <w:rsid w:val="61882403"/>
    <w:rsid w:val="622D1522"/>
    <w:rsid w:val="622E0574"/>
    <w:rsid w:val="62683B6B"/>
    <w:rsid w:val="62AC5944"/>
    <w:rsid w:val="632731DA"/>
    <w:rsid w:val="637279B4"/>
    <w:rsid w:val="63817D2B"/>
    <w:rsid w:val="639E415F"/>
    <w:rsid w:val="63BD1FA9"/>
    <w:rsid w:val="63D27965"/>
    <w:rsid w:val="63FF063D"/>
    <w:rsid w:val="64095516"/>
    <w:rsid w:val="641A2468"/>
    <w:rsid w:val="64372F20"/>
    <w:rsid w:val="64DC72D7"/>
    <w:rsid w:val="653619A6"/>
    <w:rsid w:val="65610A02"/>
    <w:rsid w:val="65A11EA3"/>
    <w:rsid w:val="65AC3D66"/>
    <w:rsid w:val="65BB5334"/>
    <w:rsid w:val="663E1DBA"/>
    <w:rsid w:val="665D0213"/>
    <w:rsid w:val="669E59F1"/>
    <w:rsid w:val="66A2024B"/>
    <w:rsid w:val="66EA4BA0"/>
    <w:rsid w:val="6704732B"/>
    <w:rsid w:val="670F6731"/>
    <w:rsid w:val="67280F62"/>
    <w:rsid w:val="67585CB0"/>
    <w:rsid w:val="67770F0C"/>
    <w:rsid w:val="67B03535"/>
    <w:rsid w:val="6801775B"/>
    <w:rsid w:val="68174F69"/>
    <w:rsid w:val="682C436A"/>
    <w:rsid w:val="68382778"/>
    <w:rsid w:val="68391F41"/>
    <w:rsid w:val="68436B8C"/>
    <w:rsid w:val="68797358"/>
    <w:rsid w:val="6884624F"/>
    <w:rsid w:val="68A519DF"/>
    <w:rsid w:val="68C4160B"/>
    <w:rsid w:val="68C41C30"/>
    <w:rsid w:val="68CF3BA4"/>
    <w:rsid w:val="69257FA7"/>
    <w:rsid w:val="693711B0"/>
    <w:rsid w:val="693F26C7"/>
    <w:rsid w:val="697E12B2"/>
    <w:rsid w:val="69C8706D"/>
    <w:rsid w:val="6A0147CA"/>
    <w:rsid w:val="6A0E3FB4"/>
    <w:rsid w:val="6A292754"/>
    <w:rsid w:val="6A5E3B28"/>
    <w:rsid w:val="6A6B1EBE"/>
    <w:rsid w:val="6A8F43F7"/>
    <w:rsid w:val="6ABF79B7"/>
    <w:rsid w:val="6AD625F3"/>
    <w:rsid w:val="6B5F25EA"/>
    <w:rsid w:val="6B750BA9"/>
    <w:rsid w:val="6BB93285"/>
    <w:rsid w:val="6C0C698C"/>
    <w:rsid w:val="6C222401"/>
    <w:rsid w:val="6C24541E"/>
    <w:rsid w:val="6C56267F"/>
    <w:rsid w:val="6C826EF9"/>
    <w:rsid w:val="6CAE4C93"/>
    <w:rsid w:val="6D0B1869"/>
    <w:rsid w:val="6D4F2D32"/>
    <w:rsid w:val="6D65402D"/>
    <w:rsid w:val="6D683822"/>
    <w:rsid w:val="6D8D136C"/>
    <w:rsid w:val="6DBF2759"/>
    <w:rsid w:val="6DC96F36"/>
    <w:rsid w:val="6DFA3EBF"/>
    <w:rsid w:val="6E3E63D2"/>
    <w:rsid w:val="6E5F7BE6"/>
    <w:rsid w:val="6E6918C6"/>
    <w:rsid w:val="6E8E495B"/>
    <w:rsid w:val="6EEB4AC4"/>
    <w:rsid w:val="6F212DD6"/>
    <w:rsid w:val="6F3B5912"/>
    <w:rsid w:val="6F3D39F1"/>
    <w:rsid w:val="6FA14A81"/>
    <w:rsid w:val="6FA3261F"/>
    <w:rsid w:val="6FBA5815"/>
    <w:rsid w:val="6FD66A2F"/>
    <w:rsid w:val="70090BB2"/>
    <w:rsid w:val="700D6539"/>
    <w:rsid w:val="700D6ECA"/>
    <w:rsid w:val="704203E3"/>
    <w:rsid w:val="7058046B"/>
    <w:rsid w:val="707F2079"/>
    <w:rsid w:val="70922734"/>
    <w:rsid w:val="70CE6DC7"/>
    <w:rsid w:val="70F66882"/>
    <w:rsid w:val="710B3646"/>
    <w:rsid w:val="71156C43"/>
    <w:rsid w:val="711759F2"/>
    <w:rsid w:val="713C4ED8"/>
    <w:rsid w:val="71407642"/>
    <w:rsid w:val="71641210"/>
    <w:rsid w:val="71D95B7C"/>
    <w:rsid w:val="71EA6A50"/>
    <w:rsid w:val="71EC42C1"/>
    <w:rsid w:val="71FE31A8"/>
    <w:rsid w:val="721F6113"/>
    <w:rsid w:val="7233782C"/>
    <w:rsid w:val="73177841"/>
    <w:rsid w:val="733774FE"/>
    <w:rsid w:val="73617E1B"/>
    <w:rsid w:val="736D7653"/>
    <w:rsid w:val="738035CB"/>
    <w:rsid w:val="7396335C"/>
    <w:rsid w:val="73F46595"/>
    <w:rsid w:val="74283FA2"/>
    <w:rsid w:val="742C135B"/>
    <w:rsid w:val="74463733"/>
    <w:rsid w:val="748A2F40"/>
    <w:rsid w:val="748A603A"/>
    <w:rsid w:val="74D65B77"/>
    <w:rsid w:val="74F85778"/>
    <w:rsid w:val="75272439"/>
    <w:rsid w:val="758F1E9B"/>
    <w:rsid w:val="75CE266B"/>
    <w:rsid w:val="76120141"/>
    <w:rsid w:val="76C23B43"/>
    <w:rsid w:val="76FD6F97"/>
    <w:rsid w:val="770218E8"/>
    <w:rsid w:val="77242776"/>
    <w:rsid w:val="77C875A5"/>
    <w:rsid w:val="784654D3"/>
    <w:rsid w:val="78A27DF6"/>
    <w:rsid w:val="78F461E9"/>
    <w:rsid w:val="79285B3A"/>
    <w:rsid w:val="79625CA9"/>
    <w:rsid w:val="79A91196"/>
    <w:rsid w:val="7A0B32D3"/>
    <w:rsid w:val="7AC13CD3"/>
    <w:rsid w:val="7AE10264"/>
    <w:rsid w:val="7B086EDB"/>
    <w:rsid w:val="7B4A207F"/>
    <w:rsid w:val="7B936F45"/>
    <w:rsid w:val="7BA47419"/>
    <w:rsid w:val="7BB10D45"/>
    <w:rsid w:val="7BB44151"/>
    <w:rsid w:val="7BEC320B"/>
    <w:rsid w:val="7BF82951"/>
    <w:rsid w:val="7C3307AB"/>
    <w:rsid w:val="7C656A39"/>
    <w:rsid w:val="7C6E21F1"/>
    <w:rsid w:val="7CB93996"/>
    <w:rsid w:val="7CBE0F99"/>
    <w:rsid w:val="7D4E45F1"/>
    <w:rsid w:val="7D733448"/>
    <w:rsid w:val="7DFB6D82"/>
    <w:rsid w:val="7E1D71D1"/>
    <w:rsid w:val="7E246254"/>
    <w:rsid w:val="7E6D090F"/>
    <w:rsid w:val="7E7E259B"/>
    <w:rsid w:val="7ECC66B2"/>
    <w:rsid w:val="7EF015E4"/>
    <w:rsid w:val="7F087006"/>
    <w:rsid w:val="7F103EBA"/>
    <w:rsid w:val="7F833169"/>
    <w:rsid w:val="7FA837EF"/>
    <w:rsid w:val="7FC36955"/>
    <w:rsid w:val="7FE903A0"/>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71"/>
    <w:basedOn w:val="13"/>
    <w:uiPriority w:val="0"/>
    <w:rPr>
      <w:rFonts w:hint="eastAsia" w:ascii="宋体" w:hAnsi="宋体" w:eastAsia="宋体" w:cs="宋体"/>
      <w:color w:val="000000"/>
      <w:sz w:val="20"/>
      <w:szCs w:val="20"/>
      <w:u w:val="none"/>
    </w:rPr>
  </w:style>
  <w:style w:type="character" w:customStyle="1" w:styleId="26">
    <w:name w:val="font101"/>
    <w:basedOn w:val="13"/>
    <w:uiPriority w:val="0"/>
    <w:rPr>
      <w:rFonts w:ascii="Arial Unicode MS" w:hAnsi="Arial Unicode MS" w:eastAsia="Arial Unicode MS" w:cs="Arial Unicode MS"/>
      <w:color w:val="000000"/>
      <w:sz w:val="20"/>
      <w:szCs w:val="20"/>
      <w:u w:val="none"/>
    </w:rPr>
  </w:style>
  <w:style w:type="character" w:customStyle="1" w:styleId="27">
    <w:name w:val="font21"/>
    <w:basedOn w:val="13"/>
    <w:uiPriority w:val="0"/>
    <w:rPr>
      <w:rFonts w:hint="default" w:ascii="Calibri" w:hAnsi="Calibri" w:cs="Calibri"/>
      <w:color w:val="000000"/>
      <w:sz w:val="20"/>
      <w:szCs w:val="20"/>
      <w:u w:val="none"/>
    </w:rPr>
  </w:style>
  <w:style w:type="character" w:customStyle="1" w:styleId="28">
    <w:name w:val="font81"/>
    <w:basedOn w:val="13"/>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4.xml"/><Relationship Id="rId21" Type="http://schemas.openxmlformats.org/officeDocument/2006/relationships/chart" Target="charts/chart3.xml"/><Relationship Id="rId20" Type="http://schemas.openxmlformats.org/officeDocument/2006/relationships/chart" Target="charts/chart2.xml"/><Relationship Id="rId2" Type="http://schemas.openxmlformats.org/officeDocument/2006/relationships/settings" Target="settings.xml"/><Relationship Id="rId19" Type="http://schemas.openxmlformats.org/officeDocument/2006/relationships/chart" Target="charts/chart1.xml"/><Relationship Id="rId18" Type="http://schemas.openxmlformats.org/officeDocument/2006/relationships/image" Target="media/image6.svg"/><Relationship Id="rId17" Type="http://schemas.openxmlformats.org/officeDocument/2006/relationships/image" Target="media/image5.pn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39640;&#26032;&#31185;&#25216;&#23616;zy\&#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39640;&#26032;&#31185;&#25216;&#23616;zy\&#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39640;&#26032;&#31185;&#25216;&#23616;zy\&#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39640;&#26032;&#31185;&#25216;&#23616;zy\&#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XLS 工作表.xls]Sheet1'!$A$2</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工作表.xls]Sheet1'!$B$1:$C$1</c:f>
              <c:strCache>
                <c:ptCount val="2"/>
                <c:pt idx="0">
                  <c:v>2022年</c:v>
                </c:pt>
                <c:pt idx="1">
                  <c:v>2023年</c:v>
                </c:pt>
              </c:strCache>
            </c:strRef>
          </c:cat>
          <c:val>
            <c:numRef>
              <c:f>'[新建 XLS 工作表.xls]Sheet1'!$B$2:$C$2</c:f>
              <c:numCache>
                <c:formatCode>General</c:formatCode>
                <c:ptCount val="2"/>
                <c:pt idx="0">
                  <c:v>22623.52</c:v>
                </c:pt>
                <c:pt idx="1">
                  <c:v>33391.44</c:v>
                </c:pt>
              </c:numCache>
            </c:numRef>
          </c:val>
        </c:ser>
        <c:dLbls>
          <c:showLegendKey val="0"/>
          <c:showVal val="1"/>
          <c:showCatName val="0"/>
          <c:showSerName val="0"/>
          <c:showPercent val="0"/>
          <c:showBubbleSize val="0"/>
        </c:dLbls>
        <c:gapWidth val="219"/>
        <c:overlap val="-27"/>
        <c:axId val="958675556"/>
        <c:axId val="565018100"/>
      </c:barChart>
      <c:catAx>
        <c:axId val="9586755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5018100"/>
        <c:crosses val="autoZero"/>
        <c:auto val="1"/>
        <c:lblAlgn val="ctr"/>
        <c:lblOffset val="100"/>
        <c:noMultiLvlLbl val="0"/>
      </c:catAx>
      <c:valAx>
        <c:axId val="5650181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6755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744406498741611"/>
                  <c:y val="0.01049837196808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66666666666667"/>
                  <c:y val="0.0055555555555555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工作表.xls]Sheet2'!$B$4:$F$4</c:f>
              <c:strCache>
                <c:ptCount val="5"/>
                <c:pt idx="0">
                  <c:v>基本支出</c:v>
                </c:pt>
                <c:pt idx="1">
                  <c:v>项目支出</c:v>
                </c:pt>
                <c:pt idx="2">
                  <c:v>上缴上级支出</c:v>
                </c:pt>
                <c:pt idx="3">
                  <c:v>经营支出</c:v>
                </c:pt>
                <c:pt idx="4">
                  <c:v>对附属单位补助支出</c:v>
                </c:pt>
              </c:strCache>
            </c:strRef>
          </c:cat>
          <c:val>
            <c:numRef>
              <c:f>'[新建 XLS 工作表.xls]Sheet2'!$B$5:$F$5</c:f>
              <c:numCache>
                <c:formatCode>0.00%</c:formatCode>
                <c:ptCount val="5"/>
                <c:pt idx="0">
                  <c:v>0.0184</c:v>
                </c:pt>
                <c:pt idx="1">
                  <c:v>0.9816</c:v>
                </c:pt>
                <c:pt idx="2" c:formatCode="0%">
                  <c:v>0</c:v>
                </c:pt>
                <c:pt idx="3" c:formatCode="0%">
                  <c:v>0</c:v>
                </c:pt>
                <c:pt idx="4" c:formatCode="0%">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68055555555556"/>
          <c:y val="0.9159722222222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'[新建 XLS 工作表.xls]Sheet3'!$B$2</c:f>
              <c:strCache>
                <c:ptCount val="1"/>
                <c:pt idx="0">
                  <c:v>2022年度</c:v>
                </c:pt>
              </c:strCache>
            </c:strRef>
          </c:tx>
          <c:spPr>
            <a:solidFill>
              <a:schemeClr val="accent1"/>
            </a:solidFill>
            <a:ln>
              <a:noFill/>
            </a:ln>
            <a:effectLst/>
          </c:spPr>
          <c:invertIfNegative val="0"/>
          <c:dLbls>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工作表.xls]Sheet3'!$A$3:$A$5</c:f>
              <c:strCache>
                <c:ptCount val="3"/>
                <c:pt idx="0">
                  <c:v>财政拨款收入</c:v>
                </c:pt>
                <c:pt idx="2">
                  <c:v>财政拨款支出</c:v>
                </c:pt>
              </c:strCache>
            </c:strRef>
          </c:cat>
          <c:val>
            <c:numRef>
              <c:f>'[新建 XLS 工作表.xls]Sheet3'!$B$3:$B$5</c:f>
              <c:numCache>
                <c:formatCode>General</c:formatCode>
                <c:ptCount val="3"/>
                <c:pt idx="0">
                  <c:v>18623.52</c:v>
                </c:pt>
                <c:pt idx="1">
                  <c:v>0</c:v>
                </c:pt>
                <c:pt idx="2">
                  <c:v>18623.52</c:v>
                </c:pt>
              </c:numCache>
            </c:numRef>
          </c:val>
        </c:ser>
        <c:ser>
          <c:idx val="1"/>
          <c:order val="1"/>
          <c:tx>
            <c:strRef>
              <c:f>'[新建 XLS 工作表.xls]Sheet3'!$C$2</c:f>
              <c:strCache>
                <c:ptCount val="1"/>
                <c:pt idx="0">
                  <c:v>2023年度</c:v>
                </c:pt>
              </c:strCache>
            </c:strRef>
          </c:tx>
          <c:spPr>
            <a:solidFill>
              <a:schemeClr val="accent2"/>
            </a:solidFill>
            <a:ln>
              <a:noFill/>
            </a:ln>
            <a:effectLst/>
          </c:spPr>
          <c:invertIfNegative val="0"/>
          <c:dLbls>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工作表.xls]Sheet3'!$A$3:$A$5</c:f>
              <c:strCache>
                <c:ptCount val="3"/>
                <c:pt idx="0">
                  <c:v>财政拨款收入</c:v>
                </c:pt>
                <c:pt idx="2">
                  <c:v>财政拨款支出</c:v>
                </c:pt>
              </c:strCache>
            </c:strRef>
          </c:cat>
          <c:val>
            <c:numRef>
              <c:f>'[新建 XLS 工作表.xls]Sheet3'!$C$3:$C$5</c:f>
              <c:numCache>
                <c:formatCode>General</c:formatCode>
                <c:ptCount val="3"/>
                <c:pt idx="0">
                  <c:v>29391.44</c:v>
                </c:pt>
                <c:pt idx="1">
                  <c:v>0</c:v>
                </c:pt>
                <c:pt idx="2">
                  <c:v>33391.44</c:v>
                </c:pt>
              </c:numCache>
            </c:numRef>
          </c:val>
        </c:ser>
        <c:dLbls>
          <c:showLegendKey val="0"/>
          <c:showVal val="1"/>
          <c:showCatName val="0"/>
          <c:showSerName val="0"/>
          <c:showPercent val="0"/>
          <c:showBubbleSize val="0"/>
        </c:dLbls>
        <c:gapWidth val="219"/>
        <c:overlap val="-27"/>
        <c:axId val="639733916"/>
        <c:axId val="314790094"/>
      </c:barChart>
      <c:catAx>
        <c:axId val="6397339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790094"/>
        <c:crosses val="autoZero"/>
        <c:auto val="1"/>
        <c:lblAlgn val="ctr"/>
        <c:lblOffset val="100"/>
        <c:noMultiLvlLbl val="0"/>
      </c:catAx>
      <c:valAx>
        <c:axId val="31479009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97339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09079640533"/>
          <c:y val="0.00752068187515668"/>
          <c:w val="0.85426092345832"/>
          <c:h val="0.710554023564803"/>
        </c:manualLayout>
      </c:layout>
      <c:barChart>
        <c:barDir val="col"/>
        <c:grouping val="clustered"/>
        <c:varyColors val="0"/>
        <c:ser>
          <c:idx val="0"/>
          <c:order val="0"/>
          <c:tx>
            <c:strRef>
              <c:f>'[新建 XLS 工作表.xls]Sheet4'!$B$3</c:f>
              <c:strCache>
                <c:ptCount val="1"/>
                <c:pt idx="0">
                  <c:v>预算数</c:v>
                </c:pt>
              </c:strCache>
            </c:strRef>
          </c:tx>
          <c:spPr>
            <a:solidFill>
              <a:schemeClr val="accent1"/>
            </a:solidFill>
            <a:ln>
              <a:noFill/>
            </a:ln>
            <a:effectLst/>
          </c:spPr>
          <c:invertIfNegative val="0"/>
          <c:dLbls>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工作表.xls]Sheet4'!$A$4:$A$6</c:f>
              <c:strCache>
                <c:ptCount val="3"/>
                <c:pt idx="0">
                  <c:v>财政拨款收入</c:v>
                </c:pt>
                <c:pt idx="2">
                  <c:v>财政拨款支出</c:v>
                </c:pt>
              </c:strCache>
            </c:strRef>
          </c:cat>
          <c:val>
            <c:numRef>
              <c:f>'[新建 XLS 工作表.xls]Sheet4'!$B$4:$B$6</c:f>
              <c:numCache>
                <c:formatCode>General</c:formatCode>
                <c:ptCount val="3"/>
                <c:pt idx="0">
                  <c:v>37221.8</c:v>
                </c:pt>
                <c:pt idx="1">
                  <c:v>0</c:v>
                </c:pt>
                <c:pt idx="2">
                  <c:v>37221.8</c:v>
                </c:pt>
              </c:numCache>
            </c:numRef>
          </c:val>
        </c:ser>
        <c:ser>
          <c:idx val="1"/>
          <c:order val="1"/>
          <c:tx>
            <c:strRef>
              <c:f>'[新建 XLS 工作表.xls]Sheet4'!$C$3</c:f>
              <c:strCache>
                <c:ptCount val="1"/>
                <c:pt idx="0">
                  <c:v>决算数</c:v>
                </c:pt>
              </c:strCache>
            </c:strRef>
          </c:tx>
          <c:spPr>
            <a:solidFill>
              <a:schemeClr val="accent2"/>
            </a:solidFill>
            <a:ln>
              <a:noFill/>
            </a:ln>
            <a:effectLst/>
          </c:spPr>
          <c:invertIfNegative val="0"/>
          <c:dLbls>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工作表.xls]Sheet4'!$A$4:$A$6</c:f>
              <c:strCache>
                <c:ptCount val="3"/>
                <c:pt idx="0">
                  <c:v>财政拨款收入</c:v>
                </c:pt>
                <c:pt idx="2">
                  <c:v>财政拨款支出</c:v>
                </c:pt>
              </c:strCache>
            </c:strRef>
          </c:cat>
          <c:val>
            <c:numRef>
              <c:f>'[新建 XLS 工作表.xls]Sheet4'!$C$4:$C$6</c:f>
              <c:numCache>
                <c:formatCode>General</c:formatCode>
                <c:ptCount val="3"/>
                <c:pt idx="0">
                  <c:v>29391.44</c:v>
                </c:pt>
                <c:pt idx="1">
                  <c:v>0</c:v>
                </c:pt>
                <c:pt idx="2">
                  <c:v>33391.44</c:v>
                </c:pt>
              </c:numCache>
            </c:numRef>
          </c:val>
        </c:ser>
        <c:dLbls>
          <c:showLegendKey val="0"/>
          <c:showVal val="1"/>
          <c:showCatName val="0"/>
          <c:showSerName val="0"/>
          <c:showPercent val="0"/>
          <c:showBubbleSize val="0"/>
        </c:dLbls>
        <c:gapWidth val="219"/>
        <c:overlap val="-27"/>
        <c:axId val="482912389"/>
        <c:axId val="297571158"/>
      </c:barChart>
      <c:catAx>
        <c:axId val="4829123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7571158"/>
        <c:crosses val="autoZero"/>
        <c:auto val="1"/>
        <c:lblAlgn val="ctr"/>
        <c:lblOffset val="100"/>
        <c:noMultiLvlLbl val="0"/>
      </c:catAx>
      <c:valAx>
        <c:axId val="2975711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291238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37</Pages>
  <Words>9761</Words>
  <Characters>12679</Characters>
  <Lines>86</Lines>
  <Paragraphs>24</Paragraphs>
  <TotalTime>8</TotalTime>
  <ScaleCrop>false</ScaleCrop>
  <LinksUpToDate>false</LinksUpToDate>
  <CharactersWithSpaces>13298</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赵媛（科技局）</cp:lastModifiedBy>
  <cp:lastPrinted>2023-08-04T01:00:00Z</cp:lastPrinted>
  <dcterms:modified xsi:type="dcterms:W3CDTF">2024-09-19T06:39:58Z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B9BCD552EF314782972BA77BD845659E</vt:lpwstr>
  </property>
  <property fmtid="{D5CDD505-2E9C-101B-9397-08002B2CF9AE}" pid="4" name="KSOTemplateUUID">
    <vt:lpwstr>v1.0_mb_S7ajbG3IpAnL1wSthNCxfw==</vt:lpwstr>
  </property>
</Properties>
</file>