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media/image6.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r>
        <w:drawing>
          <wp:anchor distT="0" distB="0" distL="114300" distR="114300" simplePos="0" relativeHeight="251665408" behindDoc="0" locked="0" layoutInCell="1" allowOverlap="1">
            <wp:simplePos x="0" y="0"/>
            <wp:positionH relativeFrom="column">
              <wp:posOffset>-406400</wp:posOffset>
            </wp:positionH>
            <wp:positionV relativeFrom="paragraph">
              <wp:posOffset>2153920</wp:posOffset>
            </wp:positionV>
            <wp:extent cx="2159000" cy="1310640"/>
            <wp:effectExtent l="0" t="0" r="12700" b="3810"/>
            <wp:wrapNone/>
            <wp:docPr id="12" name="https://photo-static-api.fotomore.com/creative/vcg/400/new/VCG211393708916.jpg" descr="templates\picture_hover\&amp;pky00203123560_sjzg_VCG211393708916&amp;2&amp;src_toppic_droprecen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ttps://photo-static-api.fotomore.com/creative/vcg/400/new/VCG211393708916.jpg" descr="templates\picture_hover\&amp;pky00203123560_sjzg_VCG211393708916&amp;2&amp;src_toppic_droprecent&amp;"/>
                    <pic:cNvPicPr>
                      <a:picLocks noChangeAspect="1"/>
                    </pic:cNvPicPr>
                  </pic:nvPicPr>
                  <pic:blipFill>
                    <a:blip r:embed="rId13"/>
                    <a:stretch>
                      <a:fillRect/>
                    </a:stretch>
                  </pic:blipFill>
                  <pic:spPr>
                    <a:xfrm>
                      <a:off x="0" y="0"/>
                      <a:ext cx="2159000" cy="1310640"/>
                    </a:xfrm>
                    <a:prstGeom prst="rect">
                      <a:avLst/>
                    </a:prstGeom>
                  </pic:spPr>
                </pic:pic>
              </a:graphicData>
            </a:graphic>
          </wp:anchor>
        </w:drawing>
      </w:r>
      <w:r>
        <w:drawing>
          <wp:anchor distT="0" distB="0" distL="114300" distR="114300" simplePos="0" relativeHeight="251666432" behindDoc="0" locked="0" layoutInCell="1" allowOverlap="1">
            <wp:simplePos x="0" y="0"/>
            <wp:positionH relativeFrom="column">
              <wp:posOffset>1800860</wp:posOffset>
            </wp:positionH>
            <wp:positionV relativeFrom="paragraph">
              <wp:posOffset>2153920</wp:posOffset>
            </wp:positionV>
            <wp:extent cx="2160270" cy="1310640"/>
            <wp:effectExtent l="0" t="0" r="11430" b="3810"/>
            <wp:wrapNone/>
            <wp:docPr id="14" name="https://photo-static-api.fotomore.com/creative/vcg/400/version23/VCG41520173064.jpg" descr="templates\picture_hover\&amp;pky94109459339_sjzg_VCG41520173064&amp;2&amp;src_toppic_droprecent&amp;"/>
            <wp:cNvGraphicFramePr/>
            <a:graphic xmlns:a="http://schemas.openxmlformats.org/drawingml/2006/main">
              <a:graphicData uri="http://schemas.openxmlformats.org/drawingml/2006/picture">
                <pic:pic xmlns:pic="http://schemas.openxmlformats.org/drawingml/2006/picture">
                  <pic:nvPicPr>
                    <pic:cNvPr id="14" name="https://photo-static-api.fotomore.com/creative/vcg/400/version23/VCG41520173064.jpg" descr="templates\picture_hover\&amp;pky94109459339_sjzg_VCG41520173064&amp;2&amp;src_toppic_droprecent&amp;"/>
                    <pic:cNvPicPr/>
                  </pic:nvPicPr>
                  <pic:blipFill>
                    <a:blip r:embed="rId14"/>
                    <a:stretch>
                      <a:fillRect/>
                    </a:stretch>
                  </pic:blipFill>
                  <pic:spPr>
                    <a:xfrm>
                      <a:off x="0" y="0"/>
                      <a:ext cx="2160270" cy="1310640"/>
                    </a:xfrm>
                    <a:prstGeom prst="rect">
                      <a:avLst/>
                    </a:prstGeom>
                  </pic:spPr>
                </pic:pic>
              </a:graphicData>
            </a:graphic>
          </wp:anchor>
        </w:drawing>
      </w:r>
      <w:r>
        <w:drawing>
          <wp:anchor distT="0" distB="0" distL="114300" distR="114300" simplePos="0" relativeHeight="251664384" behindDoc="0" locked="0" layoutInCell="1" allowOverlap="1">
            <wp:simplePos x="0" y="0"/>
            <wp:positionH relativeFrom="column">
              <wp:posOffset>4027805</wp:posOffset>
            </wp:positionH>
            <wp:positionV relativeFrom="paragraph">
              <wp:posOffset>2141220</wp:posOffset>
            </wp:positionV>
            <wp:extent cx="2162810" cy="1310640"/>
            <wp:effectExtent l="0" t="0" r="8890" b="3810"/>
            <wp:wrapNone/>
            <wp:docPr id="8" name="https://photo-static-api.fotomore.com/creative/vcg/400/new/VCG41N1489769134.jpg?uid=386&amp;timestamp=1686554386&amp;sign=5f45ccbb5851510551cea00294a903df" descr="templates\picture_hover\&amp;pky17209834312_sjzg_VCG41N1489769134&amp;2&amp;src_toppic_droprecen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ttps://photo-static-api.fotomore.com/creative/vcg/400/new/VCG41N1489769134.jpg?uid=386&amp;timestamp=1686554386&amp;sign=5f45ccbb5851510551cea00294a903df" descr="templates\picture_hover\&amp;pky17209834312_sjzg_VCG41N1489769134&amp;2&amp;src_toppic_droprecent&amp;"/>
                    <pic:cNvPicPr>
                      <a:picLocks noChangeAspect="1"/>
                    </pic:cNvPicPr>
                  </pic:nvPicPr>
                  <pic:blipFill>
                    <a:blip r:embed="rId15"/>
                    <a:stretch>
                      <a:fillRect/>
                    </a:stretch>
                  </pic:blipFill>
                  <pic:spPr>
                    <a:xfrm>
                      <a:off x="0" y="0"/>
                      <a:ext cx="2162810" cy="1310640"/>
                    </a:xfrm>
                    <a:prstGeom prst="rect">
                      <a:avLst/>
                    </a:prstGeom>
                  </pic:spPr>
                </pic:pic>
              </a:graphicData>
            </a:graphic>
          </wp:anchor>
        </w:drawing>
      </w:r>
      <w:r>
        <mc:AlternateContent>
          <mc:Choice Requires="wpg">
            <w:drawing>
              <wp:anchor distT="0" distB="0" distL="114300" distR="114300" simplePos="0" relativeHeight="251662336" behindDoc="0" locked="0" layoutInCell="1" allowOverlap="1">
                <wp:simplePos x="0" y="0"/>
                <wp:positionH relativeFrom="column">
                  <wp:posOffset>-2783205</wp:posOffset>
                </wp:positionH>
                <wp:positionV relativeFrom="paragraph">
                  <wp:posOffset>2138680</wp:posOffset>
                </wp:positionV>
                <wp:extent cx="9053195" cy="1447165"/>
                <wp:effectExtent l="0" t="0" r="14605" b="635"/>
                <wp:wrapNone/>
                <wp:docPr id="2" name="组合 2"/>
                <wp:cNvGraphicFramePr/>
                <a:graphic xmlns:a="http://schemas.openxmlformats.org/drawingml/2006/main">
                  <a:graphicData uri="http://schemas.microsoft.com/office/word/2010/wordprocessingGroup">
                    <wpg:wgp>
                      <wpg:cNvGrpSpPr/>
                      <wpg:grpSpPr>
                        <a:xfrm>
                          <a:off x="0" y="0"/>
                          <a:ext cx="9053195" cy="1447017"/>
                          <a:chOff x="-3504" y="4387"/>
                          <a:chExt cx="19200" cy="2716"/>
                        </a:xfrm>
                      </wpg:grpSpPr>
                      <wps:wsp>
                        <wps:cNvPr id="3075" name="矩形 19"/>
                        <wps:cNvSpPr/>
                        <wps:spPr>
                          <a:xfrm>
                            <a:off x="-381" y="4387"/>
                            <a:ext cx="1834" cy="2457"/>
                          </a:xfrm>
                          <a:prstGeom prst="rect">
                            <a:avLst/>
                          </a:prstGeom>
                          <a:solidFill>
                            <a:srgbClr val="0176AB"/>
                          </a:solidFill>
                          <a:ln w="9525">
                            <a:noFill/>
                          </a:ln>
                        </wps:spPr>
                        <wps:bodyPr anchor="ctr" anchorCtr="0"/>
                      </wps:wsp>
                      <wps:wsp>
                        <wps:cNvPr id="3079" name="矩形 24"/>
                        <wps:cNvSpPr/>
                        <wps:spPr>
                          <a:xfrm>
                            <a:off x="-3504" y="6953"/>
                            <a:ext cx="11815" cy="150"/>
                          </a:xfrm>
                          <a:custGeom>
                            <a:avLst/>
                            <a:gdLst/>
                            <a:ahLst/>
                            <a:cxnLst>
                              <a:cxn ang="0">
                                <a:pos x="0" y="0"/>
                              </a:cxn>
                              <a:cxn ang="0">
                                <a:pos x="7463453" y="6619"/>
                              </a:cxn>
                              <a:cxn ang="0">
                                <a:pos x="7506490" y="98604"/>
                              </a:cxn>
                              <a:cxn ang="0">
                                <a:pos x="0" y="98604"/>
                              </a:cxn>
                              <a:cxn ang="0">
                                <a:pos x="0" y="0"/>
                              </a:cxn>
                            </a:cxnLst>
                            <a:rect l="0" t="0" r="0" b="0"/>
                            <a:pathLst>
                              <a:path w="7501732" h="94593">
                                <a:moveTo>
                                  <a:pt x="0" y="0"/>
                                </a:moveTo>
                                <a:lnTo>
                                  <a:pt x="7458720" y="6350"/>
                                </a:lnTo>
                                <a:lnTo>
                                  <a:pt x="7501732" y="94593"/>
                                </a:lnTo>
                                <a:lnTo>
                                  <a:pt x="0" y="94593"/>
                                </a:lnTo>
                                <a:lnTo>
                                  <a:pt x="0" y="0"/>
                                </a:lnTo>
                                <a:close/>
                              </a:path>
                            </a:pathLst>
                          </a:custGeom>
                          <a:solidFill>
                            <a:srgbClr val="E5AA57">
                              <a:alpha val="100000"/>
                            </a:srgbClr>
                          </a:solidFill>
                          <a:ln w="9525">
                            <a:noFill/>
                          </a:ln>
                        </wps:spPr>
                        <wps:bodyPr/>
                      </wps:wsp>
                      <wps:wsp>
                        <wps:cNvPr id="3080" name="矩形 25"/>
                        <wps:cNvSpPr/>
                        <wps:spPr>
                          <a:xfrm>
                            <a:off x="8331" y="6953"/>
                            <a:ext cx="7365" cy="150"/>
                          </a:xfrm>
                          <a:custGeom>
                            <a:avLst/>
                            <a:gdLst/>
                            <a:ahLst/>
                            <a:cxnLst>
                              <a:cxn ang="0">
                                <a:pos x="0" y="0"/>
                              </a:cxn>
                              <a:cxn ang="0">
                                <a:pos x="4679715" y="0"/>
                              </a:cxn>
                              <a:cxn ang="0">
                                <a:pos x="4679715" y="98599"/>
                              </a:cxn>
                              <a:cxn ang="0">
                                <a:pos x="57552" y="98599"/>
                              </a:cxn>
                              <a:cxn ang="0">
                                <a:pos x="0" y="0"/>
                              </a:cxn>
                            </a:cxnLst>
                            <a:rect l="0" t="0" r="0" b="0"/>
                            <a:pathLst>
                              <a:path w="4676187" h="94594">
                                <a:moveTo>
                                  <a:pt x="0" y="0"/>
                                </a:moveTo>
                                <a:lnTo>
                                  <a:pt x="4676187" y="0"/>
                                </a:lnTo>
                                <a:lnTo>
                                  <a:pt x="4676187" y="94594"/>
                                </a:lnTo>
                                <a:lnTo>
                                  <a:pt x="57510" y="94594"/>
                                </a:lnTo>
                                <a:lnTo>
                                  <a:pt x="0" y="0"/>
                                </a:lnTo>
                                <a:close/>
                              </a:path>
                            </a:pathLst>
                          </a:custGeom>
                          <a:solidFill>
                            <a:srgbClr val="0176AB">
                              <a:alpha val="100000"/>
                            </a:srgbClr>
                          </a:solidFill>
                          <a:ln w="9525">
                            <a:noFill/>
                          </a:ln>
                        </wps:spPr>
                        <wps:bodyPr/>
                      </wps:wsp>
                    </wpg:wgp>
                  </a:graphicData>
                </a:graphic>
              </wp:anchor>
            </w:drawing>
          </mc:Choice>
          <mc:Fallback>
            <w:pict>
              <v:group id="_x0000_s1026" o:spid="_x0000_s1026" o:spt="203" style="position:absolute;left:0pt;margin-left:-219.15pt;margin-top:168.4pt;height:113.95pt;width:712.85pt;z-index:251662336;mso-width-relative:page;mso-height-relative:page;" coordorigin="-3504,4387" coordsize="19200,2716" o:gfxdata="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">
                <o:lock v:ext="edit" aspectratio="f"/>
                <v:rect id="矩形 19" o:spid="_x0000_s1026" o:spt="1" style="position:absolute;left:-381;top:4387;height:2457;width:1834;v-text-anchor:middle;" fillcolor="#0176AB" filled="t" stroked="f" coordsize="21600,21600" o:gfxdata="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P3v&#10;wAAAAN0AAAAPAAAAAAAAAAEAIAAAACIAAABkcnMvZG93bnJldi54bWxQSwECFAAUAAAACACHTuJA&#10;My8FnjsAAAA5AAAAEAAAAAAAAAABACAAAAAPAQAAZHJzL3NoYXBleG1sLnhtbFBLBQYAAAAABgAG&#10;AFsBAAC5AwAAAAA=&#10;">
                  <v:fill on="t" focussize="0,0"/>
                  <v:stroke on="f"/>
                  <v:imagedata o:title=""/>
                  <o:lock v:ext="edit" aspectratio="f"/>
                </v:rect>
                <v:shape id="矩形 24" o:spid="_x0000_s1026" o:spt="100" style="position:absolute;left:-3504;top:6953;height:150;width:11815;" fillcolor="#E5AA57" filled="t" stroked="f" coordsize="7501732,94593" o:gfxdata="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8dX6O&#10;wAAAAN0AAAAPAAAAAAAAAAEAIAAAACIAAABkcnMvZG93bnJldi54bWxQSwECFAAUAAAACACHTuJA&#10;My8FnjsAAAA5AAAAEAAAAAAAAAABACAAAAAPAQAAZHJzL3NoYXBleG1sLnhtbFBLBQYAAAAABgAG&#10;AFsBAAC5AwAAAAA=&#10;" path="m0,0l7458720,6350,7501732,94593,0,94593,0,0xe">
                  <v:path o:connectlocs="0,0;7463453,6619;7506490,98604;0,98604;0,0" o:connectangles="0,0,0,0,0"/>
                  <v:fill on="t" focussize="0,0"/>
                  <v:stroke on="f"/>
                  <v:imagedata o:title=""/>
                  <o:lock v:ext="edit" aspectratio="f"/>
                </v:shape>
                <v:shape id="矩形 25" o:spid="_x0000_s1026" o:spt="100" style="position:absolute;left:8331;top:6953;height:150;width:7365;" fillcolor="#0176AB" filled="t" stroked="f" coordsize="4676187,94594" o:gfxdata="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9GhB25AAAA3QAA&#10;AA8AAAAAAAAAAQAgAAAAIgAAAGRycy9kb3ducmV2LnhtbFBLAQIUABQAAAAIAIdO4kAzLwWeOwAA&#10;ADkAAAAQAAAAAAAAAAEAIAAAAAgBAABkcnMvc2hhcGV4bWwueG1sUEsFBgAAAAAGAAYAWwEAALID&#10;AAAAAA==&#10;" path="m0,0l4676187,0,4676187,94594,57510,94594,0,0xe">
                  <v:path o:connectlocs="0,0;4679715,0;4679715,98599;57552,98599;0,0" o:connectangles="0,0,0,0,0"/>
                  <v:fill on="t" focussize="0,0"/>
                  <v:stroke on="f"/>
                  <v:imagedata o:title=""/>
                  <o:lock v:ext="edit" aspectratio="f"/>
                </v:shape>
              </v:group>
            </w:pict>
          </mc:Fallback>
        </mc:AlternateContent>
      </w:r>
      <w:r>
        <w:drawing>
          <wp:anchor distT="0" distB="0" distL="114300" distR="114300" simplePos="0" relativeHeight="251659264" behindDoc="1" locked="0" layoutInCell="1" allowOverlap="1">
            <wp:simplePos x="0" y="0"/>
            <wp:positionH relativeFrom="margin">
              <wp:posOffset>-2950210</wp:posOffset>
            </wp:positionH>
            <wp:positionV relativeFrom="margin">
              <wp:posOffset>653415</wp:posOffset>
            </wp:positionV>
            <wp:extent cx="11083290" cy="7844790"/>
            <wp:effectExtent l="0" t="0" r="3810" b="3810"/>
            <wp:wrapNone/>
            <wp:docPr id="73" name="背景 耗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背景 耗崽"/>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rot="16200000">
                      <a:off x="0" y="0"/>
                      <a:ext cx="11083290" cy="7844790"/>
                    </a:xfrm>
                    <a:prstGeom prst="rect">
                      <a:avLst/>
                    </a:prstGeom>
                  </pic:spPr>
                </pic:pic>
              </a:graphicData>
            </a:graphic>
          </wp:anchor>
        </w:drawing>
      </w:r>
      <w:r>
        <mc:AlternateContent>
          <mc:Choice Requires="wpg">
            <w:drawing>
              <wp:anchor distT="0" distB="0" distL="114300" distR="114300" simplePos="0" relativeHeight="251661312" behindDoc="0" locked="0" layoutInCell="1" allowOverlap="1">
                <wp:simplePos x="0" y="0"/>
                <wp:positionH relativeFrom="column">
                  <wp:posOffset>-280670</wp:posOffset>
                </wp:positionH>
                <wp:positionV relativeFrom="paragraph">
                  <wp:posOffset>-313055</wp:posOffset>
                </wp:positionV>
                <wp:extent cx="5954395" cy="1885315"/>
                <wp:effectExtent l="0" t="0" r="0" b="14605"/>
                <wp:wrapNone/>
                <wp:docPr id="1" name="组合 1"/>
                <wp:cNvGraphicFramePr/>
                <a:graphic xmlns:a="http://schemas.openxmlformats.org/drawingml/2006/main">
                  <a:graphicData uri="http://schemas.microsoft.com/office/word/2010/wordprocessingGroup">
                    <wpg:wgp>
                      <wpg:cNvGrpSpPr/>
                      <wpg:grpSpPr>
                        <a:xfrm>
                          <a:off x="0" y="0"/>
                          <a:ext cx="5954395" cy="1885315"/>
                          <a:chOff x="12098" y="1831"/>
                          <a:chExt cx="9377" cy="2969"/>
                        </a:xfrm>
                      </wpg:grpSpPr>
                      <wps:wsp>
                        <wps:cNvPr id="89" name="文本框 32"/>
                        <wps:cNvSpPr txBox="1"/>
                        <wps:spPr>
                          <a:xfrm>
                            <a:off x="13325" y="1831"/>
                            <a:ext cx="4462" cy="1348"/>
                          </a:xfrm>
                          <a:prstGeom prst="rect">
                            <a:avLst/>
                          </a:prstGeom>
                          <a:noFill/>
                        </wps:spPr>
                        <wps:txbx>
                          <w:txbxContent>
                            <w:p>
                              <w:pPr>
                                <w:jc w:val="distribute"/>
                                <w:rPr>
                                  <w:rFonts w:ascii="方正魏碑简体" w:hAnsi="Arial" w:eastAsia="方正魏碑简体" w:cs="Arial"/>
                                  <w:color w:val="000000" w:themeColor="text1"/>
                                  <w:kern w:val="0"/>
                                  <w:sz w:val="22"/>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方正魏碑简体" w:hAnsi="Arial" w:eastAsia="方正魏碑简体" w:cs="Arial"/>
                                  <w:color w:val="000000" w:themeColor="text1"/>
                                  <w:spacing w:val="60"/>
                                  <w:kern w:val="24"/>
                                  <w:sz w:val="72"/>
                                  <w:szCs w:val="72"/>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2023年度</w:t>
                              </w:r>
                            </w:p>
                          </w:txbxContent>
                        </wps:txbx>
                        <wps:bodyPr wrap="square" rtlCol="0">
                          <a:noAutofit/>
                        </wps:bodyPr>
                      </wps:wsp>
                      <wpg:grpSp>
                        <wpg:cNvPr id="6" name="组合 6"/>
                        <wpg:cNvGrpSpPr/>
                        <wpg:grpSpPr>
                          <a:xfrm>
                            <a:off x="12098" y="3193"/>
                            <a:ext cx="9377" cy="1607"/>
                            <a:chOff x="6119" y="2843"/>
                            <a:chExt cx="9377" cy="1607"/>
                          </a:xfrm>
                        </wpg:grpSpPr>
                        <wps:wsp>
                          <wps:cNvPr id="91" name="文本框 32"/>
                          <wps:cNvSpPr txBox="1"/>
                          <wps:spPr>
                            <a:xfrm>
                              <a:off x="6119" y="2843"/>
                              <a:ext cx="9377" cy="1421"/>
                            </a:xfrm>
                            <a:prstGeom prst="rect">
                              <a:avLst/>
                            </a:prstGeom>
                            <a:noFill/>
                          </wps:spPr>
                          <wps:txbx>
                            <w:txbxContent>
                              <w:p>
                                <w:pPr>
                                  <w:jc w:val="left"/>
                                  <w:rPr>
                                    <w:rFonts w:ascii="黑体" w:hAnsi="黑体" w:eastAsia="黑体" w:cs="黑体"/>
                                    <w:color w:val="000000" w:themeColor="text1"/>
                                    <w:kern w:val="0"/>
                                    <w:sz w:val="24"/>
                                    <w:szCs w:val="24"/>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黑体" w:hAnsi="黑体" w:eastAsia="黑体" w:cs="黑体"/>
                                    <w:color w:val="000000" w:themeColor="text1"/>
                                    <w:spacing w:val="60"/>
                                    <w:kern w:val="24"/>
                                    <w:sz w:val="96"/>
                                    <w:szCs w:val="96"/>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部门决算公开文本</w:t>
                                </w:r>
                              </w:p>
                            </w:txbxContent>
                          </wps:txbx>
                          <wps:bodyPr wrap="square" rtlCol="0">
                            <a:noAutofit/>
                          </wps:bodyPr>
                        </wps:wsp>
                        <wps:wsp>
                          <wps:cNvPr id="4" name="直接连接符 4"/>
                          <wps:cNvCnPr/>
                          <wps:spPr>
                            <a:xfrm>
                              <a:off x="6226" y="4450"/>
                              <a:ext cx="8700" cy="0"/>
                            </a:xfrm>
                            <a:prstGeom prst="line">
                              <a:avLst/>
                            </a:prstGeom>
                            <a:ln w="28575" cmpd="sng">
                              <a:solidFill>
                                <a:schemeClr val="accent1">
                                  <a:shade val="50000"/>
                                </a:schemeClr>
                              </a:solidFill>
                              <a:prstDash val="sysDot"/>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_x0000_s1026" o:spid="_x0000_s1026" o:spt="203" style="position:absolute;left:0pt;margin-left:-22.1pt;margin-top:-24.65pt;height:148.45pt;width:468.85pt;z-index:251661312;mso-width-relative:page;mso-height-relative:page;" coordorigin="12098,1831" coordsize="9377,2969" o:gfxdata="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JUHC8XbAAAACwEAAA8AAAAAAAAAAQAgAAAAIgAAAGRycy9kb3ducmV2LnhtbFBLAQIUABQAAAAI&#10;AIdO4kDzQCTKQAMAAEQJAAAOAAAAAAAAAAEAIAAAACoBAABkcnMvZTJvRG9jLnhtbFBLBQYAAAAA&#10;BgAGAFkBAADcBgAAAAA=&#10;">
                <o:lock v:ext="edit" aspectratio="f"/>
                <v:shape id="文本框 32" o:spid="_x0000_s1026" o:spt="202" type="#_x0000_t202" style="position:absolute;left:13325;top:1831;height:1348;width:4462;" filled="f" stroked="f" coordsize="21600,21600" o:gfxdata="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oO67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jc w:val="distribute"/>
                          <w:rPr>
                            <w:rFonts w:ascii="方正魏碑简体" w:hAnsi="Arial" w:eastAsia="方正魏碑简体" w:cs="Arial"/>
                            <w:color w:val="000000" w:themeColor="text1"/>
                            <w:kern w:val="0"/>
                            <w:sz w:val="22"/>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方正魏碑简体" w:hAnsi="Arial" w:eastAsia="方正魏碑简体" w:cs="Arial"/>
                            <w:color w:val="000000" w:themeColor="text1"/>
                            <w:spacing w:val="60"/>
                            <w:kern w:val="24"/>
                            <w:sz w:val="72"/>
                            <w:szCs w:val="72"/>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2023年度</w:t>
                        </w:r>
                      </w:p>
                    </w:txbxContent>
                  </v:textbox>
                </v:shape>
                <v:group id="_x0000_s1026" o:spid="_x0000_s1026" o:spt="203" style="position:absolute;left:12098;top:3193;height:1607;width:9377;" coordorigin="6119,2843" coordsize="9377,1607"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shape id="文本框 32" o:spid="_x0000_s1026" o:spt="202" type="#_x0000_t202" style="position:absolute;left:6119;top:2843;height:1421;width:9377;" filled="f" stroked="f" coordsize="21600,21600" o:gfxdata="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SwgN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jc w:val="left"/>
                            <w:rPr>
                              <w:rFonts w:ascii="黑体" w:hAnsi="黑体" w:eastAsia="黑体" w:cs="黑体"/>
                              <w:color w:val="000000" w:themeColor="text1"/>
                              <w:kern w:val="0"/>
                              <w:sz w:val="24"/>
                              <w:szCs w:val="24"/>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黑体" w:hAnsi="黑体" w:eastAsia="黑体" w:cs="黑体"/>
                              <w:color w:val="000000" w:themeColor="text1"/>
                              <w:spacing w:val="60"/>
                              <w:kern w:val="24"/>
                              <w:sz w:val="96"/>
                              <w:szCs w:val="96"/>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部门决算公开文本</w:t>
                          </w:r>
                        </w:p>
                      </w:txbxContent>
                    </v:textbox>
                  </v:shape>
                  <v:line id="_x0000_s1026" o:spid="_x0000_s1026" o:spt="20" style="position:absolute;left:6226;top:4450;height:0;width:8700;" filled="f" stroked="t" coordsize="21600,21600" o:gfxdata="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M574A&#10;AADaAAAADwAAAAAAAAABACAAAAAiAAAAZHJzL2Rvd25yZXYueG1sUEsBAhQAFAAAAAgAh07iQDMv&#10;BZ47AAAAOQAAABAAAAAAAAAAAQAgAAAADQEAAGRycy9zaGFwZXhtbC54bWxQSwUGAAAAAAYABgBb&#10;AQAAtwMAAAAA&#10;">
                    <v:fill on="f" focussize="0,0"/>
                    <v:stroke weight="2.25pt" color="#325395 [3204]" miterlimit="8" joinstyle="miter" dashstyle="1 1"/>
                    <v:imagedata o:title=""/>
                    <o:lock v:ext="edit" aspectratio="f"/>
                  </v:line>
                </v:group>
              </v:group>
            </w:pict>
          </mc:Fallback>
        </mc:AlternateContent>
      </w:r>
      <w:r>
        <w:drawing>
          <wp:anchor distT="0" distB="0" distL="114300" distR="114300" simplePos="0" relativeHeight="251663360" behindDoc="0" locked="0" layoutInCell="1" allowOverlap="1">
            <wp:simplePos x="0" y="0"/>
            <wp:positionH relativeFrom="column">
              <wp:posOffset>-95250</wp:posOffset>
            </wp:positionH>
            <wp:positionV relativeFrom="margin">
              <wp:posOffset>-27305</wp:posOffset>
            </wp:positionV>
            <wp:extent cx="506095" cy="506095"/>
            <wp:effectExtent l="0" t="0" r="8255" b="8255"/>
            <wp:wrapNone/>
            <wp:docPr id="3" name="图片 3" descr="32313539313538323b32313539313537353bb5e7c4d4b0ecb9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2313539313538323b32313539313537353bb5e7c4d4b0ecb9ab"/>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506095" cy="506095"/>
                    </a:xfrm>
                    <a:prstGeom prst="rect">
                      <a:avLst/>
                    </a:prstGeom>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-253365</wp:posOffset>
                </wp:positionH>
                <wp:positionV relativeFrom="paragraph">
                  <wp:posOffset>1611630</wp:posOffset>
                </wp:positionV>
                <wp:extent cx="5494020" cy="570230"/>
                <wp:effectExtent l="0" t="0" r="0" b="0"/>
                <wp:wrapNone/>
                <wp:docPr id="98" name="文本框 33"/>
                <wp:cNvGraphicFramePr/>
                <a:graphic xmlns:a="http://schemas.openxmlformats.org/drawingml/2006/main">
                  <a:graphicData uri="http://schemas.microsoft.com/office/word/2010/wordprocessingShape">
                    <wps:wsp>
                      <wps:cNvSpPr txBox="1"/>
                      <wps:spPr>
                        <a:xfrm>
                          <a:off x="0" y="0"/>
                          <a:ext cx="5494020" cy="570230"/>
                        </a:xfrm>
                        <a:prstGeom prst="rect">
                          <a:avLst/>
                        </a:prstGeom>
                        <a:noFill/>
                      </wps:spPr>
                      <wps:txbx>
                        <w:txbxContent>
                          <w:p>
                            <w:pPr>
                              <w:jc w:val="distribute"/>
                              <w:rPr>
                                <w:rFonts w:ascii="思源黑体 CN Heavy" w:hAnsi="思源黑体 CN Heavy" w:eastAsia="思源黑体 CN Heavy"/>
                                <w:color w:val="A6A6A6" w:themeColor="background1" w:themeShade="A6"/>
                                <w:kern w:val="0"/>
                                <w:sz w:val="40"/>
                                <w:szCs w:val="40"/>
                              </w:rPr>
                            </w:pPr>
                          </w:p>
                        </w:txbxContent>
                      </wps:txbx>
                      <wps:bodyPr wrap="square" rtlCol="0">
                        <a:noAutofit/>
                      </wps:bodyPr>
                    </wps:wsp>
                  </a:graphicData>
                </a:graphic>
              </wp:anchor>
            </w:drawing>
          </mc:Choice>
          <mc:Fallback>
            <w:pict>
              <v:shape id="文本框 33" o:spid="_x0000_s1026" o:spt="202" type="#_x0000_t202" style="position:absolute;left:0pt;margin-left:-19.95pt;margin-top:126.9pt;height:44.9pt;width:432.6pt;z-index:251660288;mso-width-relative:page;mso-height-relative:page;" filled="f" stroked="f" coordsize="21600,21600" o:gfxdata="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allr9gAAAALAQAADwAAAAAAAAABACAAAAAiAAAAZHJzL2Rvd25yZXYueG1sUEsB&#10;AhQAFAAAAAgAh07iQFu9ble8AQAAXwMAAA4AAAAAAAAAAQAgAAAAJwEAAGRycy9lMm9Eb2MueG1s&#10;UEsFBgAAAAAGAAYAWQEAAFUFAAAAAA==&#10;">
                <v:fill on="f" focussize="0,0"/>
                <v:stroke on="f"/>
                <v:imagedata o:title=""/>
                <o:lock v:ext="edit" aspectratio="f"/>
                <v:textbox>
                  <w:txbxContent>
                    <w:p>
                      <w:pPr>
                        <w:jc w:val="distribute"/>
                        <w:rPr>
                          <w:rFonts w:ascii="思源黑体 CN Heavy" w:hAnsi="思源黑体 CN Heavy" w:eastAsia="思源黑体 CN Heavy"/>
                          <w:color w:val="A6A6A6" w:themeColor="background1" w:themeShade="A6"/>
                          <w:kern w:val="0"/>
                          <w:sz w:val="40"/>
                          <w:szCs w:val="40"/>
                        </w:rPr>
                      </w:pP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rPr>
          <w:rFonts w:hint="eastAsia"/>
        </w:rPr>
      </w:pPr>
    </w:p>
    <w:p>
      <w:pPr>
        <w:spacing w:line="600" w:lineRule="auto"/>
        <w:jc w:val="left"/>
        <w:rPr>
          <w:rFonts w:hint="eastAsia" w:ascii="楷体_GB2312" w:hAnsi="楷体_GB2312" w:eastAsia="楷体_GB2312" w:cs="楷体_GB2312"/>
          <w:color w:val="000000"/>
          <w:sz w:val="40"/>
          <w:szCs w:val="40"/>
          <w:lang w:val="en-US" w:eastAsia="zh-CN"/>
        </w:rPr>
      </w:pPr>
      <w:r>
        <w:rPr>
          <w:rFonts w:hint="eastAsia" w:ascii="黑体" w:hAnsi="黑体" w:eastAsia="黑体" w:cs="黑体"/>
          <w:color w:val="000000"/>
          <w:sz w:val="40"/>
          <w:szCs w:val="40"/>
        </w:rPr>
        <w:t>预算代码</w:t>
      </w:r>
      <w:r>
        <w:rPr>
          <w:rFonts w:hint="eastAsia" w:ascii="楷体_GB2312" w:hAnsi="楷体_GB2312" w:eastAsia="楷体_GB2312" w:cs="楷体_GB2312"/>
          <w:color w:val="000000"/>
          <w:sz w:val="40"/>
          <w:szCs w:val="40"/>
        </w:rPr>
        <w:t>：</w:t>
      </w:r>
      <w:r>
        <w:rPr>
          <w:rFonts w:hint="eastAsia" w:ascii="楷体_GB2312" w:hAnsi="楷体_GB2312" w:eastAsia="楷体_GB2312" w:cs="楷体_GB2312"/>
          <w:color w:val="000000"/>
          <w:sz w:val="40"/>
          <w:szCs w:val="40"/>
          <w:lang w:val="en-US" w:eastAsia="zh-CN"/>
        </w:rPr>
        <w:t>306</w:t>
      </w:r>
    </w:p>
    <w:p>
      <w:pPr>
        <w:spacing w:line="600" w:lineRule="auto"/>
        <w:jc w:val="left"/>
        <w:rPr>
          <w:rFonts w:ascii="楷体_GB2312" w:hAnsi="楷体_GB2312" w:eastAsia="楷体_GB2312" w:cs="楷体_GB2312"/>
          <w:color w:val="000000"/>
          <w:sz w:val="40"/>
          <w:szCs w:val="40"/>
        </w:rPr>
      </w:pPr>
      <w:r>
        <w:rPr>
          <w:rFonts w:hint="eastAsia" w:ascii="黑体" w:hAnsi="黑体" w:eastAsia="黑体" w:cs="黑体"/>
          <w:color w:val="000000"/>
          <w:sz w:val="40"/>
          <w:szCs w:val="40"/>
        </w:rPr>
        <w:t>单位名称</w:t>
      </w:r>
      <w:r>
        <w:rPr>
          <w:rFonts w:hint="eastAsia" w:ascii="楷体_GB2312" w:hAnsi="楷体_GB2312" w:eastAsia="楷体_GB2312" w:cs="楷体_GB2312"/>
          <w:color w:val="000000"/>
          <w:sz w:val="40"/>
          <w:szCs w:val="40"/>
        </w:rPr>
        <w:t>：石家庄高新技术产业开发区科学技术局</w:t>
      </w:r>
    </w:p>
    <w:p>
      <w:pPr>
        <w:spacing w:line="600" w:lineRule="auto"/>
        <w:jc w:val="left"/>
        <w:rPr>
          <w:rFonts w:hint="default" w:ascii="楷体_GB2312" w:hAnsi="楷体_GB2312" w:eastAsia="楷体_GB2312" w:cs="楷体_GB2312"/>
          <w:color w:val="000000"/>
          <w:sz w:val="40"/>
          <w:szCs w:val="40"/>
          <w:lang w:val="en-US" w:eastAsia="zh-CN"/>
        </w:rPr>
      </w:pPr>
    </w:p>
    <w:p>
      <w:pPr>
        <w:spacing w:line="600" w:lineRule="auto"/>
        <w:jc w:val="center"/>
        <w:rPr>
          <w:rFonts w:hint="eastAsia" w:ascii="楷体_GB2312" w:hAnsi="楷体_GB2312" w:eastAsia="楷体_GB2312" w:cs="楷体_GB2312"/>
          <w:color w:val="000000"/>
          <w:sz w:val="40"/>
          <w:szCs w:val="40"/>
        </w:rPr>
      </w:pPr>
    </w:p>
    <w:p>
      <w:pPr>
        <w:spacing w:line="600" w:lineRule="auto"/>
        <w:jc w:val="center"/>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center"/>
        <w:rPr>
          <w:rFonts w:hint="eastAsia" w:ascii="楷体_GB2312" w:hAnsi="楷体_GB2312" w:eastAsia="楷体_GB2312" w:cs="楷体_GB2312"/>
          <w:color w:val="000000"/>
          <w:sz w:val="40"/>
          <w:szCs w:val="40"/>
        </w:rPr>
      </w:pPr>
      <w:r>
        <w:rPr>
          <w:rFonts w:hint="eastAsia" w:ascii="楷体_GB2312" w:hAnsi="楷体_GB2312" w:eastAsia="楷体_GB2312" w:cs="楷体_GB2312"/>
          <w:color w:val="000000"/>
          <w:sz w:val="40"/>
          <w:szCs w:val="40"/>
        </w:rPr>
        <w:t>二〇二四年</w:t>
      </w:r>
      <w:r>
        <w:rPr>
          <w:rFonts w:hint="eastAsia" w:ascii="楷体_GB2312" w:hAnsi="楷体_GB2312" w:eastAsia="楷体_GB2312" w:cs="楷体_GB2312"/>
          <w:color w:val="000000"/>
          <w:sz w:val="40"/>
          <w:szCs w:val="40"/>
          <w:lang w:val="en-US" w:eastAsia="zh-CN"/>
        </w:rPr>
        <w:t>九</w:t>
      </w:r>
      <w:r>
        <w:rPr>
          <w:rFonts w:hint="eastAsia" w:ascii="楷体_GB2312" w:hAnsi="楷体_GB2312" w:eastAsia="楷体_GB2312" w:cs="楷体_GB2312"/>
          <w:color w:val="000000"/>
          <w:sz w:val="40"/>
          <w:szCs w:val="40"/>
        </w:rPr>
        <w:t>月</w:t>
      </w:r>
    </w:p>
    <w:p>
      <w:pPr>
        <w:rPr>
          <w:rFonts w:hint="eastAsia" w:ascii="楷体_GB2312" w:hAnsi="楷体_GB2312" w:eastAsia="楷体_GB2312" w:cs="楷体_GB2312"/>
          <w:color w:val="000000"/>
          <w:sz w:val="40"/>
          <w:szCs w:val="40"/>
        </w:rPr>
      </w:pPr>
      <w:r>
        <w:rPr>
          <w:rFonts w:hint="eastAsia" w:ascii="楷体_GB2312" w:hAnsi="楷体_GB2312" w:eastAsia="楷体_GB2312" w:cs="楷体_GB2312"/>
          <w:color w:val="000000"/>
          <w:sz w:val="40"/>
          <w:szCs w:val="40"/>
        </w:rPr>
        <w:br w:type="page"/>
      </w:r>
    </w:p>
    <w:p>
      <w:pPr>
        <w:jc w:val="both"/>
        <w:rPr>
          <w:rFonts w:ascii="黑体" w:hAnsi="黑体" w:eastAsia="黑体" w:cs="黑体"/>
          <w:sz w:val="56"/>
          <w:szCs w:val="72"/>
        </w:rPr>
        <w:sectPr>
          <w:headerReference r:id="rId4" w:type="first"/>
          <w:footerReference r:id="rId6" w:type="first"/>
          <w:headerReference r:id="rId3" w:type="default"/>
          <w:footerReference r:id="rId5" w:type="default"/>
          <w:pgSz w:w="11906" w:h="16838"/>
          <w:pgMar w:top="2041" w:right="1531" w:bottom="2041" w:left="1531" w:header="851" w:footer="992" w:gutter="0"/>
          <w:cols w:space="0" w:num="1"/>
          <w:titlePg/>
          <w:docGrid w:type="lines" w:linePitch="312" w:charSpace="0"/>
        </w:sectPr>
      </w:pPr>
    </w:p>
    <w:p>
      <w:pPr>
        <w:tabs>
          <w:tab w:val="left" w:pos="2728"/>
        </w:tabs>
        <w:jc w:val="center"/>
        <w:rPr>
          <w:rFonts w:ascii="黑体" w:hAnsi="Times New Roman" w:eastAsia="黑体" w:cs="Times New Roman"/>
          <w:sz w:val="44"/>
          <w:szCs w:val="44"/>
        </w:rPr>
      </w:pPr>
      <w:r>
        <w:rPr>
          <w:rFonts w:hint="eastAsia" w:ascii="黑体" w:hAnsi="Times New Roman" w:eastAsia="黑体" w:cs="Times New Roman"/>
          <w:sz w:val="44"/>
          <w:szCs w:val="44"/>
        </w:rPr>
        <w:t>目    录</w:t>
      </w:r>
    </w:p>
    <w:p>
      <w:pPr>
        <w:widowControl/>
        <w:spacing w:after="160" w:line="580" w:lineRule="exact"/>
        <w:ind w:firstLine="640" w:firstLineChars="200"/>
        <w:rPr>
          <w:rFonts w:ascii="Times New Roman" w:hAnsi="Times New Roman" w:eastAsia="黑体" w:cs="Times New Roman"/>
          <w:sz w:val="32"/>
          <w:szCs w:val="32"/>
        </w:rPr>
      </w:pPr>
    </w:p>
    <w:p>
      <w:pPr>
        <w:widowControl/>
        <w:spacing w:after="160"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第一部分   </w:t>
      </w:r>
      <w:r>
        <w:rPr>
          <w:rFonts w:hint="eastAsia" w:ascii="黑体" w:hAnsi="黑体" w:eastAsia="黑体" w:cs="黑体"/>
          <w:sz w:val="32"/>
          <w:szCs w:val="32"/>
          <w:lang w:eastAsia="zh-CN"/>
        </w:rPr>
        <w:t>部门</w:t>
      </w:r>
      <w:r>
        <w:rPr>
          <w:rFonts w:hint="eastAsia" w:ascii="黑体" w:hAnsi="黑体" w:eastAsia="黑体" w:cs="黑体"/>
          <w:sz w:val="32"/>
          <w:szCs w:val="32"/>
        </w:rPr>
        <w:t>概况</w:t>
      </w:r>
    </w:p>
    <w:p>
      <w:pPr>
        <w:widowControl/>
        <w:spacing w:after="160" w:line="580" w:lineRule="exact"/>
        <w:ind w:firstLine="1273" w:firstLineChars="39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部门</w:t>
      </w:r>
      <w:r>
        <w:rPr>
          <w:rFonts w:hint="eastAsia" w:ascii="Times New Roman" w:hAnsi="Times New Roman" w:eastAsia="仿宋_GB2312" w:cs="Times New Roman"/>
          <w:sz w:val="32"/>
          <w:szCs w:val="32"/>
        </w:rPr>
        <w:t>职责</w:t>
      </w:r>
    </w:p>
    <w:p>
      <w:pPr>
        <w:widowControl/>
        <w:spacing w:after="160" w:line="58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机构设置</w:t>
      </w:r>
    </w:p>
    <w:p>
      <w:pPr>
        <w:widowControl/>
        <w:spacing w:after="160"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第二部分   2023年度部门决算报表</w:t>
      </w:r>
    </w:p>
    <w:p>
      <w:pPr>
        <w:widowControl/>
        <w:spacing w:after="160" w:line="580" w:lineRule="exact"/>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rPr>
        <w:t>收入支出决算总表</w:t>
      </w:r>
    </w:p>
    <w:p>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w:t>
      </w:r>
      <w:r>
        <w:rPr>
          <w:rFonts w:hint="eastAsia" w:ascii="Times New Roman" w:hAnsi="Times New Roman" w:eastAsia="仿宋_GB2312" w:cs="Times New Roman"/>
          <w:sz w:val="32"/>
          <w:szCs w:val="32"/>
        </w:rPr>
        <w:t>表</w:t>
      </w:r>
    </w:p>
    <w:p>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w:t>
      </w:r>
      <w:r>
        <w:rPr>
          <w:rFonts w:hint="eastAsia" w:ascii="Times New Roman" w:hAnsi="Times New Roman" w:eastAsia="仿宋_GB2312" w:cs="Times New Roman"/>
          <w:sz w:val="32"/>
          <w:szCs w:val="32"/>
        </w:rPr>
        <w:t>表</w:t>
      </w:r>
    </w:p>
    <w:p>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w:t>
      </w:r>
      <w:r>
        <w:rPr>
          <w:rFonts w:hint="eastAsia" w:ascii="Times New Roman" w:hAnsi="Times New Roman" w:eastAsia="仿宋_GB2312" w:cs="Times New Roman"/>
          <w:sz w:val="32"/>
          <w:szCs w:val="32"/>
        </w:rPr>
        <w:t>财政拨款收入支出决算总表</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五、一般公共预算财政拨款支出决算表</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六、一般公共预算财政拨款基本支出决算明细表</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七、政府性基金预算财政拨款收入支出决算表</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八</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国有资本经营预算财政拨款支出决算表</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九、财政拨款“三公”经费支出决算表</w:t>
      </w:r>
    </w:p>
    <w:p>
      <w:pPr>
        <w:widowControl/>
        <w:spacing w:after="160"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第三部分   2023年度部门决算情况说明</w:t>
      </w:r>
    </w:p>
    <w:p>
      <w:pPr>
        <w:widowControl/>
        <w:spacing w:after="160" w:line="580" w:lineRule="exact"/>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rPr>
        <w:t>收入支出决算总体情况说明</w:t>
      </w:r>
    </w:p>
    <w:p>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三、支出决算情况说明</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四、财政拨款收入支出决算总体情况说明</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五、财政拨款“三公” 经费支出决算情况说明</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六、机关运行经费支出说明</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七、政府采购支出说明</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八、国有资产占用情况说明</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九、预算绩效情况说明</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十、其他需要说明的情况</w:t>
      </w:r>
    </w:p>
    <w:p>
      <w:pPr>
        <w:widowControl/>
        <w:spacing w:after="160" w:line="580" w:lineRule="exact"/>
        <w:ind w:firstLine="640" w:firstLineChars="200"/>
        <w:rPr>
          <w:rFonts w:ascii="Times New Roman" w:hAnsi="Times New Roman" w:eastAsia="黑体" w:cs="Times New Roman"/>
          <w:sz w:val="32"/>
          <w:szCs w:val="32"/>
        </w:rPr>
        <w:sectPr>
          <w:headerReference r:id="rId8" w:type="first"/>
          <w:footerReference r:id="rId10" w:type="first"/>
          <w:headerReference r:id="rId7" w:type="default"/>
          <w:footerReference r:id="rId9" w:type="default"/>
          <w:pgSz w:w="11906" w:h="16838"/>
          <w:pgMar w:top="1474" w:right="1531" w:bottom="1474" w:left="1531" w:header="851" w:footer="992" w:gutter="0"/>
          <w:cols w:space="0" w:num="1"/>
          <w:titlePg/>
          <w:docGrid w:type="lines" w:linePitch="312" w:charSpace="0"/>
        </w:sect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四</w:t>
      </w:r>
      <w:r>
        <w:rPr>
          <w:rFonts w:ascii="Times New Roman" w:hAnsi="Times New Roman" w:eastAsia="黑体" w:cs="Times New Roman"/>
          <w:sz w:val="32"/>
          <w:szCs w:val="32"/>
        </w:rPr>
        <w:t>部分</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名词解释</w:t>
      </w:r>
    </w:p>
    <w:p>
      <w:pPr>
        <w:rPr>
          <w:rFonts w:hint="default" w:ascii="Arial" w:hAnsi="Arial" w:eastAsia="Arial" w:cs="Arial"/>
          <w:i w:val="0"/>
          <w:iCs w:val="0"/>
          <w:caps w:val="0"/>
          <w:color w:val="000000"/>
          <w:spacing w:val="0"/>
          <w:sz w:val="18"/>
          <w:szCs w:val="18"/>
          <w:highlight w:val="none"/>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i w:val="0"/>
          <w:iCs w:val="0"/>
          <w:caps w:val="0"/>
          <w:color w:val="000000"/>
          <w:spacing w:val="0"/>
          <w:sz w:val="18"/>
          <w:szCs w:val="18"/>
          <w:highlight w:val="none"/>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宋体" w:eastAsia="黑体" w:cs="黑体"/>
          <w:i w:val="0"/>
          <w:iCs w:val="0"/>
          <w:caps w:val="0"/>
          <w:color w:val="000000"/>
          <w:spacing w:val="0"/>
          <w:sz w:val="72"/>
          <w:szCs w:val="72"/>
          <w:highlight w:val="none"/>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宋体" w:eastAsia="黑体" w:cs="黑体"/>
          <w:i w:val="0"/>
          <w:iCs w:val="0"/>
          <w:caps w:val="0"/>
          <w:color w:val="000000"/>
          <w:spacing w:val="0"/>
          <w:sz w:val="72"/>
          <w:szCs w:val="72"/>
          <w:highlight w:val="none"/>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宋体" w:eastAsia="黑体" w:cs="黑体"/>
          <w:i w:val="0"/>
          <w:iCs w:val="0"/>
          <w:caps w:val="0"/>
          <w:color w:val="000000"/>
          <w:spacing w:val="0"/>
          <w:sz w:val="72"/>
          <w:szCs w:val="72"/>
          <w:highlight w:val="none"/>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eastAsia" w:ascii="黑体" w:hAnsi="宋体" w:eastAsia="黑体" w:cs="黑体"/>
          <w:i w:val="0"/>
          <w:iCs w:val="0"/>
          <w:caps w:val="0"/>
          <w:color w:val="000000"/>
          <w:spacing w:val="0"/>
          <w:sz w:val="72"/>
          <w:szCs w:val="72"/>
          <w:highlight w:val="none"/>
          <w:shd w:val="clear" w:fill="FFFFFF"/>
        </w:rPr>
        <w:t xml:space="preserve">第一部分  </w:t>
      </w:r>
      <w:r>
        <w:rPr>
          <w:rFonts w:hint="eastAsia" w:ascii="黑体" w:hAnsi="宋体" w:eastAsia="黑体" w:cs="黑体"/>
          <w:i w:val="0"/>
          <w:iCs w:val="0"/>
          <w:caps w:val="0"/>
          <w:color w:val="000000"/>
          <w:spacing w:val="0"/>
          <w:sz w:val="72"/>
          <w:szCs w:val="72"/>
          <w:highlight w:val="none"/>
          <w:shd w:val="clear" w:fill="FFFFFF"/>
          <w:lang w:eastAsia="zh-CN"/>
        </w:rPr>
        <w:t>部门</w:t>
      </w:r>
      <w:r>
        <w:rPr>
          <w:rFonts w:hint="eastAsia" w:ascii="黑体" w:hAnsi="宋体" w:eastAsia="黑体" w:cs="黑体"/>
          <w:i w:val="0"/>
          <w:iCs w:val="0"/>
          <w:caps w:val="0"/>
          <w:color w:val="000000"/>
          <w:spacing w:val="0"/>
          <w:sz w:val="72"/>
          <w:szCs w:val="72"/>
          <w:highlight w:val="none"/>
          <w:shd w:val="clear" w:fill="FFFFFF"/>
        </w:rPr>
        <w:t>概况</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rPr>
          <w:rFonts w:hint="eastAsia" w:ascii="黑体" w:hAnsi="宋体" w:eastAsia="黑体" w:cs="黑体"/>
          <w:i w:val="0"/>
          <w:iCs w:val="0"/>
          <w:caps w:val="0"/>
          <w:color w:val="000000"/>
          <w:spacing w:val="0"/>
          <w:sz w:val="33"/>
          <w:szCs w:val="33"/>
          <w:highlight w:val="none"/>
          <w:shd w:val="clear" w:fill="FFFFFF"/>
        </w:rPr>
      </w:pPr>
      <w:r>
        <w:rPr>
          <w:rFonts w:hint="eastAsia" w:ascii="黑体" w:hAnsi="宋体" w:eastAsia="黑体" w:cs="黑体"/>
          <w:i w:val="0"/>
          <w:iCs w:val="0"/>
          <w:caps w:val="0"/>
          <w:color w:val="000000"/>
          <w:spacing w:val="0"/>
          <w:sz w:val="33"/>
          <w:szCs w:val="33"/>
          <w:highlight w:val="none"/>
          <w:shd w:val="clear" w:fill="FFFFFF"/>
        </w:rPr>
        <w:br w:type="page"/>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outlineLvl w:val="1"/>
        <w:rPr>
          <w:rFonts w:hint="default" w:ascii="Arial" w:hAnsi="Arial" w:eastAsia="Arial" w:cs="Arial"/>
          <w:i w:val="0"/>
          <w:iCs w:val="0"/>
          <w:caps w:val="0"/>
          <w:color w:val="000000"/>
          <w:spacing w:val="0"/>
          <w:sz w:val="32"/>
          <w:szCs w:val="32"/>
          <w:highlight w:val="none"/>
        </w:rPr>
      </w:pPr>
      <w:r>
        <w:rPr>
          <w:rFonts w:hint="eastAsia" w:ascii="黑体" w:hAnsi="宋体" w:eastAsia="黑体" w:cs="黑体"/>
          <w:i w:val="0"/>
          <w:iCs w:val="0"/>
          <w:caps w:val="0"/>
          <w:color w:val="000000"/>
          <w:spacing w:val="0"/>
          <w:sz w:val="32"/>
          <w:szCs w:val="32"/>
          <w:highlight w:val="none"/>
          <w:shd w:val="clear" w:fill="FFFFFF"/>
        </w:rPr>
        <w:t>一、</w:t>
      </w:r>
      <w:r>
        <w:rPr>
          <w:rFonts w:hint="eastAsia" w:ascii="黑体" w:hAnsi="宋体" w:eastAsia="黑体" w:cs="黑体"/>
          <w:i w:val="0"/>
          <w:iCs w:val="0"/>
          <w:caps w:val="0"/>
          <w:color w:val="000000"/>
          <w:spacing w:val="0"/>
          <w:sz w:val="32"/>
          <w:szCs w:val="32"/>
          <w:highlight w:val="none"/>
          <w:shd w:val="clear" w:fill="FFFFFF"/>
          <w:lang w:eastAsia="zh-CN"/>
        </w:rPr>
        <w:t>部门</w:t>
      </w:r>
      <w:r>
        <w:rPr>
          <w:rFonts w:hint="eastAsia" w:ascii="黑体" w:hAnsi="宋体" w:eastAsia="黑体" w:cs="黑体"/>
          <w:i w:val="0"/>
          <w:iCs w:val="0"/>
          <w:caps w:val="0"/>
          <w:color w:val="000000"/>
          <w:spacing w:val="0"/>
          <w:sz w:val="32"/>
          <w:szCs w:val="32"/>
          <w:highlight w:val="none"/>
          <w:shd w:val="clear" w:fill="FFFFFF"/>
        </w:rPr>
        <w:t>职责</w:t>
      </w:r>
    </w:p>
    <w:p>
      <w:pPr>
        <w:ind w:firstLine="360" w:firstLineChars="200"/>
        <w:jc w:val="both"/>
        <w:rPr>
          <w:rFonts w:hint="eastAsia" w:ascii="仿宋_GB2312" w:eastAsia="仿宋_GB2312" w:cs="方正仿宋_GBK"/>
          <w:sz w:val="32"/>
          <w:szCs w:val="32"/>
          <w:lang w:eastAsia="zh-CN"/>
        </w:rPr>
      </w:pPr>
      <w:r>
        <w:rPr>
          <w:rFonts w:hint="default" w:ascii="Arial" w:hAnsi="Arial" w:eastAsia="Arial" w:cs="Arial"/>
          <w:i w:val="0"/>
          <w:iCs w:val="0"/>
          <w:caps w:val="0"/>
          <w:color w:val="000000"/>
          <w:spacing w:val="0"/>
          <w:sz w:val="18"/>
          <w:szCs w:val="18"/>
          <w:highlight w:val="none"/>
          <w:shd w:val="clear" w:fill="FFFFFF"/>
        </w:rPr>
        <w:t> </w:t>
      </w:r>
      <w:r>
        <w:rPr>
          <w:rFonts w:hint="eastAsia" w:ascii="仿宋_GB2312" w:eastAsia="仿宋_GB2312" w:cs="方正仿宋_GBK"/>
          <w:sz w:val="32"/>
          <w:szCs w:val="32"/>
        </w:rPr>
        <w:t>根据《石家庄高新技术产业开发区科学技术局职能配置、内设机构和人员编制规定》，石家庄高新技术产业开发区科学技术局的主要职责</w:t>
      </w:r>
      <w:r>
        <w:rPr>
          <w:rFonts w:hint="eastAsia" w:ascii="仿宋_GB2312" w:eastAsia="仿宋_GB2312" w:cs="方正仿宋_GBK"/>
          <w:sz w:val="32"/>
          <w:szCs w:val="32"/>
          <w:lang w:eastAsia="zh-CN"/>
        </w:rPr>
        <w:t>：</w:t>
      </w:r>
    </w:p>
    <w:p>
      <w:pPr>
        <w:ind w:firstLine="640" w:firstLineChars="200"/>
        <w:jc w:val="both"/>
        <w:rPr>
          <w:rFonts w:ascii="仿宋_GB2312" w:eastAsia="仿宋_GB2312" w:cs="方正仿宋_GBK"/>
          <w:sz w:val="32"/>
          <w:szCs w:val="32"/>
        </w:rPr>
      </w:pPr>
      <w:r>
        <w:rPr>
          <w:rFonts w:hint="eastAsia" w:ascii="仿宋_GB2312" w:eastAsia="仿宋_GB2312" w:cs="方正仿宋_GBK"/>
          <w:sz w:val="32"/>
          <w:szCs w:val="32"/>
        </w:rPr>
        <w:t>（一）贯彻落实国家、省、市科技工作方针政策，研究制订并组织实施全区科技发展战略、政策和措施，完善区域科技创新体系，增强全区科技创新能力。</w:t>
      </w:r>
    </w:p>
    <w:p>
      <w:pPr>
        <w:ind w:firstLine="640" w:firstLineChars="200"/>
        <w:jc w:val="both"/>
        <w:rPr>
          <w:rFonts w:ascii="仿宋_GB2312" w:eastAsia="仿宋_GB2312" w:cs="方正仿宋_GBK"/>
          <w:sz w:val="32"/>
          <w:szCs w:val="32"/>
        </w:rPr>
      </w:pPr>
      <w:r>
        <w:rPr>
          <w:rFonts w:hint="eastAsia" w:ascii="仿宋_GB2312" w:eastAsia="仿宋_GB2312" w:cs="方正仿宋_GBK"/>
          <w:sz w:val="32"/>
          <w:szCs w:val="32"/>
        </w:rPr>
        <w:t>（二）负责高新技术企业的组织申报和科技型中小企业的认定工作;负责对国家、省、市科技发展计划的组织、申报、项目验收及管理工作。</w:t>
      </w:r>
    </w:p>
    <w:p>
      <w:pPr>
        <w:ind w:firstLine="640" w:firstLineChars="200"/>
        <w:jc w:val="both"/>
        <w:rPr>
          <w:rFonts w:ascii="仿宋_GB2312" w:eastAsia="仿宋_GB2312" w:cs="方正仿宋_GBK"/>
          <w:sz w:val="32"/>
          <w:szCs w:val="32"/>
        </w:rPr>
      </w:pPr>
      <w:r>
        <w:rPr>
          <w:rFonts w:hint="eastAsia" w:ascii="仿宋_GB2312" w:eastAsia="仿宋_GB2312" w:cs="方正仿宋_GBK"/>
          <w:sz w:val="32"/>
          <w:szCs w:val="32"/>
        </w:rPr>
        <w:t>（三）研究制订并组织实施全区高新技术产业发展规划，组织实施并管理全区科技支撑、成果转化等各类科技发展计划;负责管理和使用区科学技术费用及各类专项科技费用，协同财政</w:t>
      </w:r>
      <w:r>
        <w:rPr>
          <w:rFonts w:hint="eastAsia" w:ascii="仿宋_GB2312" w:eastAsia="仿宋_GB2312" w:cs="方正仿宋_GBK"/>
          <w:sz w:val="32"/>
          <w:szCs w:val="32"/>
          <w:lang w:eastAsia="zh-CN"/>
        </w:rPr>
        <w:t>单位</w:t>
      </w:r>
      <w:r>
        <w:rPr>
          <w:rFonts w:hint="eastAsia" w:ascii="仿宋_GB2312" w:eastAsia="仿宋_GB2312" w:cs="方正仿宋_GBK"/>
          <w:sz w:val="32"/>
          <w:szCs w:val="32"/>
        </w:rPr>
        <w:t>加强对科技创新工作的支持。</w:t>
      </w:r>
    </w:p>
    <w:p>
      <w:pPr>
        <w:ind w:firstLine="640" w:firstLineChars="200"/>
        <w:jc w:val="both"/>
        <w:rPr>
          <w:rFonts w:ascii="仿宋_GB2312" w:eastAsia="仿宋_GB2312" w:cs="方正仿宋_GBK"/>
          <w:sz w:val="32"/>
          <w:szCs w:val="32"/>
        </w:rPr>
      </w:pPr>
      <w:r>
        <w:rPr>
          <w:rFonts w:hint="eastAsia" w:ascii="仿宋_GB2312" w:eastAsia="仿宋_GB2312" w:cs="方正仿宋_GBK"/>
          <w:sz w:val="32"/>
          <w:szCs w:val="32"/>
        </w:rPr>
        <w:t>（四）研究制订并组织实施全区众创空间、科技企业化器、加速器发展规划，制订相关政策和措施，负责全区众创空间、科技企业孵化器、加速器认定、管理、考核工作。</w:t>
      </w:r>
    </w:p>
    <w:p>
      <w:pPr>
        <w:ind w:firstLine="640" w:firstLineChars="200"/>
        <w:jc w:val="both"/>
        <w:rPr>
          <w:rFonts w:ascii="仿宋_GB2312" w:eastAsia="仿宋_GB2312" w:cs="方正仿宋_GBK"/>
          <w:sz w:val="32"/>
          <w:szCs w:val="32"/>
        </w:rPr>
      </w:pPr>
      <w:r>
        <w:rPr>
          <w:rFonts w:hint="eastAsia" w:ascii="仿宋_GB2312" w:eastAsia="仿宋_GB2312" w:cs="方正仿宋_GBK"/>
          <w:sz w:val="32"/>
          <w:szCs w:val="32"/>
        </w:rPr>
        <w:t>（五）研究制订并组织实施全区科技服务业发展规划，制订相关政策和措施，负责引进和培育研发、技术转移、中介、咨询等各类科技服务机构;负责技术市场工作。</w:t>
      </w:r>
    </w:p>
    <w:p>
      <w:pPr>
        <w:ind w:firstLine="640" w:firstLineChars="200"/>
        <w:jc w:val="both"/>
        <w:rPr>
          <w:rFonts w:ascii="仿宋_GB2312" w:eastAsia="仿宋_GB2312" w:cs="方正仿宋_GBK"/>
          <w:sz w:val="32"/>
          <w:szCs w:val="32"/>
        </w:rPr>
      </w:pPr>
      <w:r>
        <w:rPr>
          <w:rFonts w:hint="eastAsia" w:ascii="仿宋_GB2312" w:eastAsia="仿宋_GB2312" w:cs="方正仿宋_GBK"/>
          <w:sz w:val="32"/>
          <w:szCs w:val="32"/>
        </w:rPr>
        <w:t>（六）负责全区科技成果、科技奖励、产学研合作工作;负责组建产业技术联盟等创新组织。</w:t>
      </w:r>
    </w:p>
    <w:p>
      <w:pPr>
        <w:ind w:firstLine="640" w:firstLineChars="200"/>
        <w:jc w:val="both"/>
        <w:rPr>
          <w:rFonts w:ascii="仿宋_GB2312" w:eastAsia="仿宋_GB2312" w:cs="方正仿宋_GBK"/>
          <w:sz w:val="32"/>
          <w:szCs w:val="32"/>
        </w:rPr>
      </w:pPr>
      <w:r>
        <w:rPr>
          <w:rFonts w:hint="eastAsia" w:ascii="仿宋_GB2312" w:eastAsia="仿宋_GB2312" w:cs="方正仿宋_GBK"/>
          <w:sz w:val="32"/>
          <w:szCs w:val="32"/>
        </w:rPr>
        <w:t>（七）负责科技金融创新工作。</w:t>
      </w:r>
    </w:p>
    <w:p>
      <w:pPr>
        <w:ind w:firstLine="640" w:firstLineChars="200"/>
        <w:jc w:val="both"/>
        <w:rPr>
          <w:rFonts w:ascii="仿宋_GB2312" w:eastAsia="仿宋_GB2312" w:cs="方正仿宋_GBK"/>
          <w:sz w:val="32"/>
          <w:szCs w:val="32"/>
        </w:rPr>
      </w:pPr>
      <w:r>
        <w:rPr>
          <w:rFonts w:hint="eastAsia" w:ascii="仿宋_GB2312" w:eastAsia="仿宋_GB2312" w:cs="方正仿宋_GBK"/>
          <w:sz w:val="32"/>
          <w:szCs w:val="32"/>
        </w:rPr>
        <w:t>（八）负责科协工作。</w:t>
      </w:r>
    </w:p>
    <w:p>
      <w:pPr>
        <w:ind w:firstLine="640" w:firstLineChars="200"/>
        <w:jc w:val="both"/>
        <w:rPr>
          <w:rFonts w:ascii="仿宋_GB2312" w:eastAsia="仿宋_GB2312" w:cs="方正仿宋_GBK"/>
          <w:sz w:val="32"/>
          <w:szCs w:val="32"/>
        </w:rPr>
      </w:pPr>
      <w:r>
        <w:rPr>
          <w:rFonts w:hint="eastAsia" w:ascii="仿宋_GB2312" w:eastAsia="仿宋_GB2312" w:cs="方正仿宋_GBK"/>
          <w:sz w:val="32"/>
          <w:szCs w:val="32"/>
        </w:rPr>
        <w:t>（九）负责对外科技合作与交流工作，负责外国专家管理工作。</w:t>
      </w:r>
    </w:p>
    <w:p>
      <w:pPr>
        <w:ind w:firstLine="640" w:firstLineChars="200"/>
        <w:jc w:val="both"/>
        <w:rPr>
          <w:rFonts w:ascii="仿宋_GB2312" w:eastAsia="仿宋_GB2312" w:cs="方正仿宋_GBK"/>
          <w:sz w:val="32"/>
          <w:szCs w:val="32"/>
        </w:rPr>
      </w:pPr>
      <w:r>
        <w:rPr>
          <w:rFonts w:hint="eastAsia" w:ascii="仿宋_GB2312" w:eastAsia="仿宋_GB2312" w:cs="方正仿宋_GBK"/>
          <w:sz w:val="32"/>
          <w:szCs w:val="32"/>
        </w:rPr>
        <w:t>（十）会同统计</w:t>
      </w:r>
      <w:r>
        <w:rPr>
          <w:rFonts w:hint="eastAsia" w:ascii="仿宋_GB2312" w:eastAsia="仿宋_GB2312" w:cs="方正仿宋_GBK"/>
          <w:sz w:val="32"/>
          <w:szCs w:val="32"/>
          <w:lang w:eastAsia="zh-CN"/>
        </w:rPr>
        <w:t>单位</w:t>
      </w:r>
      <w:r>
        <w:rPr>
          <w:rFonts w:hint="eastAsia" w:ascii="仿宋_GB2312" w:eastAsia="仿宋_GB2312" w:cs="方正仿宋_GBK"/>
          <w:sz w:val="32"/>
          <w:szCs w:val="32"/>
        </w:rPr>
        <w:t>负责科技统计工作。</w:t>
      </w:r>
    </w:p>
    <w:p>
      <w:pPr>
        <w:ind w:firstLine="640" w:firstLineChars="200"/>
        <w:jc w:val="both"/>
        <w:rPr>
          <w:rFonts w:ascii="仿宋_GB2312" w:eastAsia="仿宋_GB2312" w:cs="方正仿宋_GBK"/>
          <w:sz w:val="32"/>
          <w:szCs w:val="32"/>
        </w:rPr>
      </w:pPr>
      <w:r>
        <w:rPr>
          <w:rFonts w:hint="eastAsia" w:ascii="仿宋_GB2312" w:eastAsia="仿宋_GB2312" w:cs="方正仿宋_GBK"/>
          <w:sz w:val="32"/>
          <w:szCs w:val="32"/>
        </w:rPr>
        <w:t>（十</w:t>
      </w:r>
      <w:r>
        <w:rPr>
          <w:rFonts w:hint="eastAsia" w:ascii="仿宋_GB2312" w:eastAsia="仿宋_GB2312" w:cs="方正仿宋_GBK"/>
          <w:sz w:val="32"/>
          <w:szCs w:val="32"/>
          <w:lang w:val="en-US" w:eastAsia="zh-CN"/>
        </w:rPr>
        <w:t>一</w:t>
      </w:r>
      <w:r>
        <w:rPr>
          <w:rFonts w:hint="eastAsia" w:ascii="仿宋_GB2312" w:eastAsia="仿宋_GB2312" w:cs="方正仿宋_GBK"/>
          <w:sz w:val="32"/>
          <w:szCs w:val="32"/>
        </w:rPr>
        <w:t>）贯彻</w:t>
      </w:r>
      <w:r>
        <w:rPr>
          <w:rFonts w:hint="eastAsia" w:ascii="仿宋_GB2312" w:eastAsia="仿宋_GB2312" w:cs="方正仿宋_GBK"/>
          <w:sz w:val="32"/>
          <w:szCs w:val="32"/>
          <w:lang w:val="en-US" w:eastAsia="zh-CN"/>
        </w:rPr>
        <w:t>执</w:t>
      </w:r>
      <w:r>
        <w:rPr>
          <w:rFonts w:hint="eastAsia" w:ascii="仿宋_GB2312" w:eastAsia="仿宋_GB2312" w:cs="方正仿宋_GBK"/>
          <w:sz w:val="32"/>
          <w:szCs w:val="32"/>
        </w:rPr>
        <w:t>行国家、省、市有关金融工作的法律、法规和政策依职权牵头开展全区地方金融监督管理工作;牵头全区金融突发事件应急机制建设，协调配合有关</w:t>
      </w:r>
      <w:r>
        <w:rPr>
          <w:rFonts w:hint="eastAsia" w:ascii="仿宋_GB2312" w:eastAsia="仿宋_GB2312" w:cs="方正仿宋_GBK"/>
          <w:sz w:val="32"/>
          <w:szCs w:val="32"/>
          <w:lang w:eastAsia="zh-CN"/>
        </w:rPr>
        <w:t>单位</w:t>
      </w:r>
      <w:r>
        <w:rPr>
          <w:rFonts w:hint="eastAsia" w:ascii="仿宋_GB2312" w:eastAsia="仿宋_GB2312" w:cs="方正仿宋_GBK"/>
          <w:sz w:val="32"/>
          <w:szCs w:val="32"/>
        </w:rPr>
        <w:t>依法做好非法金融案件的调查处理、善后处置和金融稳定工作。协调有关</w:t>
      </w:r>
      <w:r>
        <w:rPr>
          <w:rFonts w:hint="eastAsia" w:ascii="仿宋_GB2312" w:eastAsia="仿宋_GB2312" w:cs="方正仿宋_GBK"/>
          <w:sz w:val="32"/>
          <w:szCs w:val="32"/>
          <w:lang w:eastAsia="zh-CN"/>
        </w:rPr>
        <w:t>单位</w:t>
      </w:r>
      <w:r>
        <w:rPr>
          <w:rFonts w:hint="eastAsia" w:ascii="仿宋_GB2312" w:eastAsia="仿宋_GB2312" w:cs="方正仿宋_GBK"/>
          <w:sz w:val="32"/>
          <w:szCs w:val="32"/>
        </w:rPr>
        <w:t>依法做好防范和处置非法集资以及社会稳定工作。</w:t>
      </w:r>
    </w:p>
    <w:p>
      <w:pPr>
        <w:keepNext/>
        <w:keepLines/>
        <w:spacing w:line="580" w:lineRule="exact"/>
        <w:ind w:firstLine="640" w:firstLineChars="200"/>
        <w:jc w:val="both"/>
        <w:outlineLvl w:val="0"/>
        <w:rPr>
          <w:rFonts w:hint="default" w:ascii="Arial" w:hAnsi="Arial" w:eastAsia="Arial" w:cs="Arial"/>
          <w:i w:val="0"/>
          <w:iCs w:val="0"/>
          <w:caps w:val="0"/>
          <w:color w:val="auto"/>
          <w:spacing w:val="0"/>
          <w:sz w:val="32"/>
          <w:szCs w:val="32"/>
          <w:highlight w:val="yellow"/>
        </w:rPr>
      </w:pPr>
      <w:r>
        <w:rPr>
          <w:rFonts w:hint="eastAsia" w:ascii="仿宋_GB2312" w:eastAsia="仿宋_GB2312" w:cs="方正仿宋_GBK"/>
          <w:sz w:val="32"/>
          <w:szCs w:val="32"/>
        </w:rPr>
        <w:t>（十</w:t>
      </w:r>
      <w:r>
        <w:rPr>
          <w:rFonts w:hint="eastAsia" w:ascii="仿宋_GB2312" w:eastAsia="仿宋_GB2312" w:cs="方正仿宋_GBK"/>
          <w:sz w:val="32"/>
          <w:szCs w:val="32"/>
          <w:lang w:val="en-US" w:eastAsia="zh-CN"/>
        </w:rPr>
        <w:t>二</w:t>
      </w:r>
      <w:r>
        <w:rPr>
          <w:rFonts w:hint="eastAsia" w:ascii="仿宋_GB2312" w:eastAsia="仿宋_GB2312" w:cs="方正仿宋_GBK"/>
          <w:sz w:val="32"/>
          <w:szCs w:val="32"/>
        </w:rPr>
        <w:t>）完成工委、管委会和上级</w:t>
      </w:r>
      <w:r>
        <w:rPr>
          <w:rFonts w:hint="eastAsia" w:ascii="仿宋_GB2312" w:eastAsia="仿宋_GB2312" w:cs="方正仿宋_GBK"/>
          <w:sz w:val="32"/>
          <w:szCs w:val="32"/>
          <w:lang w:eastAsia="zh-CN"/>
        </w:rPr>
        <w:t>单位</w:t>
      </w:r>
      <w:r>
        <w:rPr>
          <w:rFonts w:hint="eastAsia" w:ascii="仿宋_GB2312" w:eastAsia="仿宋_GB2312" w:cs="方正仿宋_GBK"/>
          <w:sz w:val="32"/>
          <w:szCs w:val="32"/>
        </w:rPr>
        <w:t>交办的其他任务。</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outlineLvl w:val="1"/>
        <w:rPr>
          <w:rFonts w:hint="default" w:ascii="Arial" w:hAnsi="Arial" w:eastAsia="Arial" w:cs="Arial"/>
          <w:i w:val="0"/>
          <w:iCs w:val="0"/>
          <w:caps w:val="0"/>
          <w:color w:val="000000"/>
          <w:spacing w:val="0"/>
          <w:sz w:val="32"/>
          <w:szCs w:val="32"/>
          <w:highlight w:val="none"/>
        </w:rPr>
      </w:pPr>
      <w:r>
        <w:rPr>
          <w:rFonts w:hint="eastAsia" w:ascii="黑体" w:hAnsi="宋体" w:eastAsia="黑体" w:cs="黑体"/>
          <w:i w:val="0"/>
          <w:iCs w:val="0"/>
          <w:caps w:val="0"/>
          <w:color w:val="000000"/>
          <w:spacing w:val="0"/>
          <w:sz w:val="32"/>
          <w:szCs w:val="32"/>
          <w:highlight w:val="none"/>
          <w:shd w:val="clear" w:fill="FFFFFF"/>
        </w:rPr>
        <w:t>二、机构设置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default" w:ascii="仿宋_GB2312" w:hAnsi="仿宋_GB2312" w:eastAsia="仿宋_GB2312" w:cs="仿宋_GB2312"/>
          <w:i w:val="0"/>
          <w:iCs w:val="0"/>
          <w:caps w:val="0"/>
          <w:color w:val="auto"/>
          <w:spacing w:val="0"/>
          <w:sz w:val="32"/>
          <w:szCs w:val="32"/>
          <w:highlight w:val="none"/>
          <w:shd w:val="clear" w:fill="FFFFFF"/>
        </w:rPr>
      </w:pPr>
      <w:r>
        <w:rPr>
          <w:rFonts w:hint="default" w:ascii="仿宋_GB2312" w:hAnsi="仿宋_GB2312" w:eastAsia="仿宋_GB2312" w:cs="仿宋_GB2312"/>
          <w:i w:val="0"/>
          <w:iCs w:val="0"/>
          <w:caps w:val="0"/>
          <w:color w:val="auto"/>
          <w:spacing w:val="0"/>
          <w:sz w:val="32"/>
          <w:szCs w:val="32"/>
          <w:highlight w:val="none"/>
          <w:shd w:val="clear" w:fill="FFFFFF"/>
        </w:rPr>
        <w:t>从决算编报</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单位</w:t>
      </w:r>
      <w:r>
        <w:rPr>
          <w:rFonts w:hint="default" w:ascii="仿宋_GB2312" w:hAnsi="仿宋_GB2312" w:eastAsia="仿宋_GB2312" w:cs="仿宋_GB2312"/>
          <w:i w:val="0"/>
          <w:iCs w:val="0"/>
          <w:caps w:val="0"/>
          <w:color w:val="auto"/>
          <w:spacing w:val="0"/>
          <w:sz w:val="32"/>
          <w:szCs w:val="32"/>
          <w:highlight w:val="none"/>
          <w:shd w:val="clear" w:fill="FFFFFF"/>
        </w:rPr>
        <w:t>构成看，纳入</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2023</w:t>
      </w:r>
      <w:r>
        <w:rPr>
          <w:rFonts w:hint="default" w:ascii="仿宋_GB2312" w:hAnsi="仿宋_GB2312" w:eastAsia="仿宋_GB2312" w:cs="仿宋_GB2312"/>
          <w:i w:val="0"/>
          <w:iCs w:val="0"/>
          <w:caps w:val="0"/>
          <w:color w:val="auto"/>
          <w:spacing w:val="0"/>
          <w:sz w:val="32"/>
          <w:szCs w:val="32"/>
          <w:highlight w:val="none"/>
          <w:shd w:val="clear" w:fill="FFFFFF"/>
        </w:rPr>
        <w:t>年度</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本部门</w:t>
      </w:r>
      <w:r>
        <w:rPr>
          <w:rFonts w:hint="default" w:ascii="仿宋_GB2312" w:hAnsi="仿宋_GB2312" w:eastAsia="仿宋_GB2312" w:cs="仿宋_GB2312"/>
          <w:i w:val="0"/>
          <w:iCs w:val="0"/>
          <w:caps w:val="0"/>
          <w:color w:val="auto"/>
          <w:spacing w:val="0"/>
          <w:sz w:val="32"/>
          <w:szCs w:val="32"/>
          <w:highlight w:val="none"/>
          <w:shd w:val="clear" w:fill="FFFFFF"/>
        </w:rPr>
        <w:t>决算汇编范围的独立核算</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单位</w:t>
      </w:r>
      <w:r>
        <w:rPr>
          <w:rFonts w:hint="default" w:ascii="仿宋_GB2312" w:hAnsi="仿宋_GB2312" w:eastAsia="仿宋_GB2312" w:cs="仿宋_GB2312"/>
          <w:i w:val="0"/>
          <w:iCs w:val="0"/>
          <w:caps w:val="0"/>
          <w:color w:val="auto"/>
          <w:spacing w:val="0"/>
          <w:sz w:val="32"/>
          <w:szCs w:val="32"/>
          <w:highlight w:val="none"/>
          <w:shd w:val="clear" w:fill="FFFFFF"/>
        </w:rPr>
        <w:t>（以下简称“</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单位</w:t>
      </w:r>
      <w:r>
        <w:rPr>
          <w:rFonts w:hint="default" w:ascii="仿宋_GB2312" w:hAnsi="仿宋_GB2312" w:eastAsia="仿宋_GB2312" w:cs="仿宋_GB2312"/>
          <w:i w:val="0"/>
          <w:iCs w:val="0"/>
          <w:caps w:val="0"/>
          <w:color w:val="auto"/>
          <w:spacing w:val="0"/>
          <w:sz w:val="32"/>
          <w:szCs w:val="32"/>
          <w:highlight w:val="none"/>
          <w:shd w:val="clear" w:fill="FFFFFF"/>
        </w:rPr>
        <w:t xml:space="preserve">”）共 </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1</w:t>
      </w:r>
      <w:r>
        <w:rPr>
          <w:rFonts w:hint="default" w:ascii="仿宋_GB2312" w:hAnsi="仿宋_GB2312" w:eastAsia="仿宋_GB2312" w:cs="仿宋_GB2312"/>
          <w:i w:val="0"/>
          <w:iCs w:val="0"/>
          <w:caps w:val="0"/>
          <w:color w:val="auto"/>
          <w:spacing w:val="0"/>
          <w:sz w:val="32"/>
          <w:szCs w:val="32"/>
          <w:highlight w:val="none"/>
          <w:shd w:val="clear" w:fill="FFFFFF"/>
        </w:rPr>
        <w:t>个，具体情况如下：</w:t>
      </w:r>
    </w:p>
    <w:tbl>
      <w:tblPr>
        <w:tblStyle w:val="11"/>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单位名称</w:t>
            </w:r>
          </w:p>
        </w:tc>
        <w:tc>
          <w:tcPr>
            <w:tcW w:w="244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单位基本性质</w:t>
            </w:r>
          </w:p>
        </w:tc>
        <w:tc>
          <w:tcPr>
            <w:tcW w:w="266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1</w:t>
            </w:r>
          </w:p>
        </w:tc>
        <w:tc>
          <w:tcPr>
            <w:tcW w:w="3485" w:type="dxa"/>
          </w:tcPr>
          <w:p>
            <w:pPr>
              <w:spacing w:line="240" w:lineRule="auto"/>
              <w:rPr>
                <w:rFonts w:ascii="仿宋_GB2312" w:hAnsi="Calibri" w:eastAsia="仿宋_GB2312" w:cs="ArialUnicodeMS"/>
                <w:kern w:val="0"/>
                <w:sz w:val="28"/>
                <w:szCs w:val="28"/>
              </w:rPr>
            </w:pPr>
            <w:r>
              <w:rPr>
                <w:rFonts w:hint="eastAsia" w:ascii="仿宋_GB2312" w:eastAsia="仿宋_GB2312" w:cs="方正仿宋_GBK"/>
                <w:sz w:val="24"/>
                <w:lang w:val="en-US" w:eastAsia="zh-CN"/>
              </w:rPr>
              <w:t>石家庄</w:t>
            </w:r>
            <w:r>
              <w:rPr>
                <w:rFonts w:hint="eastAsia" w:ascii="仿宋_GB2312" w:eastAsia="仿宋_GB2312" w:cs="方正仿宋_GBK"/>
                <w:sz w:val="24"/>
              </w:rPr>
              <w:t>高新技术产业开发区科学技术局</w:t>
            </w:r>
          </w:p>
        </w:tc>
        <w:tc>
          <w:tcPr>
            <w:tcW w:w="2445" w:type="dxa"/>
          </w:tcPr>
          <w:p>
            <w:pPr>
              <w:spacing w:line="560" w:lineRule="exact"/>
              <w:jc w:val="center"/>
              <w:rPr>
                <w:rFonts w:hint="default" w:ascii="仿宋_GB2312" w:hAnsi="Calibri" w:eastAsia="仿宋_GB2312" w:cs="ArialUnicodeMS"/>
                <w:kern w:val="0"/>
                <w:sz w:val="28"/>
                <w:szCs w:val="28"/>
                <w:lang w:val="en-US" w:eastAsia="zh-CN"/>
              </w:rPr>
            </w:pPr>
            <w:r>
              <w:rPr>
                <w:rFonts w:hint="eastAsia" w:ascii="仿宋_GB2312" w:hAnsi="Calibri" w:eastAsia="仿宋_GB2312" w:cs="ArialUnicodeMS"/>
                <w:kern w:val="0"/>
                <w:sz w:val="28"/>
                <w:szCs w:val="28"/>
                <w:lang w:val="en-US" w:eastAsia="zh-CN"/>
              </w:rPr>
              <w:t>行政单位</w:t>
            </w:r>
          </w:p>
        </w:tc>
        <w:tc>
          <w:tcPr>
            <w:tcW w:w="2665" w:type="dxa"/>
          </w:tcPr>
          <w:p>
            <w:pPr>
              <w:spacing w:line="560" w:lineRule="exact"/>
              <w:jc w:val="center"/>
              <w:rPr>
                <w:rFonts w:hint="eastAsia" w:ascii="仿宋_GB2312" w:hAnsi="Calibri" w:eastAsia="仿宋_GB2312" w:cs="ArialUnicodeMS"/>
                <w:kern w:val="0"/>
                <w:sz w:val="28"/>
                <w:szCs w:val="28"/>
                <w:lang w:val="en-US" w:eastAsia="zh-CN"/>
              </w:rPr>
            </w:pPr>
            <w:r>
              <w:rPr>
                <w:rFonts w:hint="eastAsia" w:ascii="仿宋_GB2312" w:hAnsi="Calibri" w:eastAsia="仿宋_GB2312" w:cs="ArialUnicodeMS"/>
                <w:kern w:val="0"/>
                <w:sz w:val="28"/>
                <w:szCs w:val="28"/>
                <w:lang w:val="en-US" w:eastAsia="zh-CN"/>
              </w:rPr>
              <w:t>财政拨款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80" w:type="dxa"/>
            <w:gridSpan w:val="4"/>
            <w:tcBorders>
              <w:top w:val="single" w:color="auto" w:sz="4" w:space="0"/>
              <w:left w:val="nil"/>
              <w:bottom w:val="nil"/>
              <w:right w:val="nil"/>
            </w:tcBorders>
          </w:tcPr>
          <w:p>
            <w:pPr>
              <w:spacing w:line="560" w:lineRule="exact"/>
              <w:jc w:val="left"/>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注：1、单位基本性质分为行政单位、参公事业单位、财政补助事业单位、经费自理事业单位四类。</w:t>
            </w:r>
          </w:p>
          <w:p>
            <w:pPr>
              <w:spacing w:line="560" w:lineRule="exact"/>
              <w:ind w:firstLine="560" w:firstLineChars="200"/>
              <w:jc w:val="left"/>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2、经费形式分为财政拨款、财政性资金基本保证、财政性资金定额或定项补助、财政性资金零补助四类。</w:t>
            </w: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i w:val="0"/>
          <w:iCs w:val="0"/>
          <w:caps w:val="0"/>
          <w:color w:val="000000"/>
          <w:spacing w:val="0"/>
          <w:sz w:val="18"/>
          <w:szCs w:val="18"/>
          <w:highlight w:val="none"/>
          <w:shd w:val="clear" w:fill="FFFFFF"/>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我部门无二级预算单位，因此，</w:t>
      </w:r>
      <w:r>
        <w:rPr>
          <w:rFonts w:hint="eastAsia" w:ascii="仿宋" w:hAnsi="仿宋" w:eastAsia="仿宋" w:cs="仿宋"/>
          <w:color w:val="auto"/>
          <w:sz w:val="32"/>
          <w:szCs w:val="32"/>
          <w:highlight w:val="none"/>
          <w:lang w:val="en-US" w:eastAsia="zh-CN"/>
        </w:rPr>
        <w:t>石家庄</w:t>
      </w:r>
      <w:r>
        <w:rPr>
          <w:rFonts w:hint="eastAsia" w:ascii="仿宋" w:hAnsi="仿宋" w:eastAsia="仿宋" w:cs="仿宋"/>
          <w:color w:val="auto"/>
          <w:sz w:val="32"/>
          <w:szCs w:val="32"/>
          <w:highlight w:val="none"/>
        </w:rPr>
        <w:t>高新技术产业开发区科学技术局2023年度部门决算即</w:t>
      </w:r>
      <w:r>
        <w:rPr>
          <w:rFonts w:hint="eastAsia" w:ascii="仿宋" w:hAnsi="仿宋" w:eastAsia="仿宋" w:cs="仿宋"/>
          <w:color w:val="auto"/>
          <w:sz w:val="32"/>
          <w:szCs w:val="32"/>
          <w:highlight w:val="none"/>
          <w:lang w:val="en-US" w:eastAsia="zh-CN"/>
        </w:rPr>
        <w:t>石家庄</w:t>
      </w:r>
      <w:r>
        <w:rPr>
          <w:rFonts w:hint="eastAsia" w:ascii="仿宋" w:hAnsi="仿宋" w:eastAsia="仿宋" w:cs="仿宋"/>
          <w:color w:val="auto"/>
          <w:sz w:val="32"/>
          <w:szCs w:val="32"/>
          <w:highlight w:val="none"/>
        </w:rPr>
        <w:t>高新技术产业开发区科学技术局本级2023年度决算。</w:t>
      </w:r>
    </w:p>
    <w:p>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pPr>
        <w:widowControl/>
        <w:spacing w:after="160" w:line="580" w:lineRule="exact"/>
        <w:ind w:firstLine="640" w:firstLineChars="200"/>
        <w:rPr>
          <w:rFonts w:hint="eastAsia" w:ascii="Times New Roman" w:hAnsi="Times New Roman" w:eastAsia="黑体" w:cs="Times New Roman"/>
          <w:sz w:val="32"/>
          <w:szCs w:val="32"/>
          <w:highlight w:val="yellow"/>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i w:val="0"/>
          <w:iCs w:val="0"/>
          <w:caps w:val="0"/>
          <w:color w:val="000000"/>
          <w:spacing w:val="0"/>
          <w:kern w:val="0"/>
          <w:sz w:val="18"/>
          <w:szCs w:val="18"/>
          <w:highlight w:val="none"/>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highlight w:val="none"/>
        </w:rPr>
      </w:pPr>
      <w:r>
        <w:rPr>
          <w:rFonts w:hint="default" w:ascii="Arial" w:hAnsi="Arial" w:eastAsia="Arial" w:cs="Arial"/>
          <w:i w:val="0"/>
          <w:iCs w:val="0"/>
          <w:caps w:val="0"/>
          <w:color w:val="000000"/>
          <w:spacing w:val="0"/>
          <w:kern w:val="0"/>
          <w:sz w:val="18"/>
          <w:szCs w:val="18"/>
          <w:highlight w:val="none"/>
          <w:shd w:val="clear" w:fill="FFFFFF"/>
          <w:lang w:val="en-US" w:eastAsia="zh-CN" w:bidi="ar"/>
        </w:rPr>
        <w:t> </w:t>
      </w: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outlineLvl w:val="0"/>
        <w:rPr>
          <w:rFonts w:hint="default" w:ascii="Arial" w:hAnsi="Arial" w:eastAsia="Arial" w:cs="Arial"/>
          <w:highlight w:val="none"/>
        </w:rPr>
      </w:pPr>
      <w:r>
        <w:rPr>
          <w:rFonts w:hint="eastAsia" w:ascii="黑体" w:hAnsi="宋体" w:eastAsia="黑体" w:cs="黑体"/>
          <w:i w:val="0"/>
          <w:iCs w:val="0"/>
          <w:caps w:val="0"/>
          <w:color w:val="000000"/>
          <w:spacing w:val="0"/>
          <w:sz w:val="72"/>
          <w:szCs w:val="72"/>
          <w:highlight w:val="none"/>
          <w:shd w:val="clear" w:fill="FFFFFF"/>
        </w:rPr>
        <w:t>第二部分</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eastAsia" w:ascii="黑体" w:hAnsi="宋体" w:eastAsia="黑体" w:cs="黑体"/>
          <w:i w:val="0"/>
          <w:iCs w:val="0"/>
          <w:caps w:val="0"/>
          <w:color w:val="000000"/>
          <w:spacing w:val="0"/>
          <w:sz w:val="72"/>
          <w:szCs w:val="72"/>
          <w:highlight w:val="none"/>
          <w:shd w:val="clear" w:fill="FFFFFF"/>
          <w:lang w:val="en-US" w:eastAsia="zh-CN"/>
        </w:rPr>
        <w:t>2023</w:t>
      </w:r>
      <w:r>
        <w:rPr>
          <w:rFonts w:hint="eastAsia" w:ascii="黑体" w:hAnsi="宋体" w:eastAsia="黑体" w:cs="黑体"/>
          <w:i w:val="0"/>
          <w:iCs w:val="0"/>
          <w:caps w:val="0"/>
          <w:color w:val="000000"/>
          <w:spacing w:val="0"/>
          <w:sz w:val="72"/>
          <w:szCs w:val="72"/>
          <w:highlight w:val="none"/>
          <w:shd w:val="clear" w:fill="FFFFFF"/>
        </w:rPr>
        <w:t>年</w:t>
      </w:r>
      <w:r>
        <w:rPr>
          <w:rFonts w:hint="eastAsia" w:ascii="黑体" w:hAnsi="宋体" w:eastAsia="黑体" w:cs="黑体"/>
          <w:i w:val="0"/>
          <w:iCs w:val="0"/>
          <w:caps w:val="0"/>
          <w:color w:val="000000"/>
          <w:spacing w:val="0"/>
          <w:sz w:val="72"/>
          <w:szCs w:val="72"/>
          <w:highlight w:val="none"/>
          <w:shd w:val="clear" w:fill="FFFFFF"/>
          <w:lang w:val="en-US" w:eastAsia="zh-CN"/>
        </w:rPr>
        <w:t>度</w:t>
      </w:r>
      <w:r>
        <w:rPr>
          <w:rFonts w:hint="eastAsia" w:ascii="黑体" w:hAnsi="宋体" w:eastAsia="黑体" w:cs="黑体"/>
          <w:i w:val="0"/>
          <w:iCs w:val="0"/>
          <w:caps w:val="0"/>
          <w:color w:val="000000"/>
          <w:spacing w:val="0"/>
          <w:sz w:val="72"/>
          <w:szCs w:val="72"/>
          <w:highlight w:val="none"/>
          <w:shd w:val="clear" w:fill="FFFFFF"/>
        </w:rPr>
        <w:t>部门决算报表</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仿宋_GB2312" w:hAnsi="仿宋_GB2312" w:eastAsia="仿宋_GB2312" w:cs="仿宋_GB2312"/>
          <w:i w:val="0"/>
          <w:iCs w:val="0"/>
          <w:caps w:val="0"/>
          <w:color w:val="FF0000"/>
          <w:spacing w:val="0"/>
          <w:sz w:val="33"/>
          <w:szCs w:val="33"/>
          <w:highlight w:val="none"/>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仿宋_GB2312" w:hAnsi="仿宋_GB2312" w:eastAsia="仿宋_GB2312" w:cs="仿宋_GB2312"/>
          <w:i w:val="0"/>
          <w:iCs w:val="0"/>
          <w:caps w:val="0"/>
          <w:color w:val="FF0000"/>
          <w:spacing w:val="0"/>
          <w:sz w:val="33"/>
          <w:szCs w:val="33"/>
          <w:highlight w:val="none"/>
          <w:shd w:val="clear" w:fill="FFFFFF"/>
        </w:rPr>
        <w:sectPr>
          <w:headerReference r:id="rId11" w:type="default"/>
          <w:pgSz w:w="11906" w:h="16838"/>
          <w:pgMar w:top="1531" w:right="1984" w:bottom="1531" w:left="2098" w:header="851" w:footer="992" w:gutter="0"/>
          <w:cols w:space="720" w:num="1"/>
          <w:docGrid w:type="lines" w:linePitch="312" w:charSpace="0"/>
        </w:sectPr>
      </w:pPr>
    </w:p>
    <w:tbl>
      <w:tblPr>
        <w:tblStyle w:val="11"/>
        <w:tblW w:w="7250" w:type="pct"/>
        <w:tblInd w:w="-1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6"/>
        <w:gridCol w:w="624"/>
        <w:gridCol w:w="611"/>
        <w:gridCol w:w="1317"/>
        <w:gridCol w:w="1628"/>
        <w:gridCol w:w="1547"/>
        <w:gridCol w:w="624"/>
        <w:gridCol w:w="1928"/>
        <w:gridCol w:w="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61" w:hRule="atLeast"/>
        </w:trPr>
        <w:tc>
          <w:tcPr>
            <w:tcW w:w="4985" w:type="pct"/>
            <w:gridSpan w:val="8"/>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b w:val="0"/>
                <w:bCs/>
                <w:color w:val="auto"/>
                <w:kern w:val="0"/>
                <w:sz w:val="32"/>
                <w:szCs w:val="32"/>
                <w:highlight w:val="none"/>
                <w:lang w:val="en-US" w:eastAsia="zh-CN"/>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7" w:hRule="atLeast"/>
        </w:trPr>
        <w:tc>
          <w:tcPr>
            <w:tcW w:w="4985" w:type="pct"/>
            <w:gridSpan w:val="8"/>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 xml:space="preserve"> 公开</w:t>
            </w:r>
            <w:r>
              <w:rPr>
                <w:rFonts w:hint="eastAsia" w:ascii="仿宋" w:hAnsi="仿宋" w:eastAsia="仿宋" w:cs="仿宋"/>
                <w:i w:val="0"/>
                <w:iCs w:val="0"/>
                <w:color w:val="000000"/>
                <w:sz w:val="20"/>
                <w:szCs w:val="20"/>
                <w:highlight w:val="none"/>
                <w:u w:val="none"/>
                <w:lang w:val="en-US" w:eastAsia="zh-CN"/>
              </w:rPr>
              <w:t>01</w:t>
            </w:r>
            <w:r>
              <w:rPr>
                <w:rFonts w:hint="eastAsia" w:ascii="仿宋" w:hAnsi="仿宋" w:eastAsia="仿宋" w:cs="仿宋"/>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1" w:hRule="atLeast"/>
        </w:trPr>
        <w:tc>
          <w:tcPr>
            <w:tcW w:w="1964" w:type="pct"/>
            <w:gridSpan w:val="3"/>
            <w:tcBorders>
              <w:top w:val="nil"/>
              <w:left w:val="nil"/>
              <w:bottom w:val="single" w:color="auto" w:sz="4" w:space="0"/>
              <w:right w:val="nil"/>
            </w:tcBorders>
            <w:noWrap/>
            <w:vAlign w:val="bottom"/>
          </w:tcPr>
          <w:p>
            <w:pPr>
              <w:jc w:val="both"/>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编制部门：石家庄高新技术产业开发区科学技术局</w:t>
            </w:r>
          </w:p>
        </w:tc>
        <w:tc>
          <w:tcPr>
            <w:tcW w:w="1262" w:type="pct"/>
            <w:gridSpan w:val="2"/>
            <w:tcBorders>
              <w:top w:val="nil"/>
              <w:left w:val="nil"/>
              <w:bottom w:val="single" w:color="auto" w:sz="4" w:space="0"/>
              <w:right w:val="nil"/>
            </w:tcBorders>
            <w:noWrap/>
            <w:vAlign w:val="bottom"/>
          </w:tcPr>
          <w:p>
            <w:pPr>
              <w:jc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sz w:val="20"/>
                <w:szCs w:val="20"/>
                <w:highlight w:val="none"/>
                <w:u w:val="none"/>
                <w:lang w:val="en-US" w:eastAsia="zh-CN"/>
              </w:rPr>
              <w:t>2023</w:t>
            </w:r>
            <w:r>
              <w:rPr>
                <w:rFonts w:hint="eastAsia" w:ascii="仿宋" w:hAnsi="仿宋" w:eastAsia="仿宋" w:cs="仿宋"/>
                <w:i w:val="0"/>
                <w:iCs w:val="0"/>
                <w:color w:val="000000"/>
                <w:kern w:val="0"/>
                <w:sz w:val="20"/>
                <w:szCs w:val="20"/>
                <w:highlight w:val="none"/>
                <w:u w:val="none"/>
                <w:lang w:val="en-US" w:eastAsia="zh-CN" w:bidi="ar"/>
              </w:rPr>
              <w:t>年度</w:t>
            </w:r>
          </w:p>
        </w:tc>
        <w:tc>
          <w:tcPr>
            <w:tcW w:w="1757" w:type="pct"/>
            <w:gridSpan w:val="3"/>
            <w:tcBorders>
              <w:top w:val="nil"/>
              <w:left w:val="nil"/>
              <w:bottom w:val="single" w:color="auto" w:sz="4" w:space="0"/>
              <w:right w:val="nil"/>
            </w:tcBorders>
            <w:noWrap/>
            <w:vAlign w:val="bottom"/>
          </w:tcPr>
          <w:p>
            <w:pPr>
              <w:jc w:val="right"/>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44" w:hRule="atLeast"/>
        </w:trPr>
        <w:tc>
          <w:tcPr>
            <w:tcW w:w="2529" w:type="pct"/>
            <w:gridSpan w:val="4"/>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收入</w:t>
            </w:r>
          </w:p>
        </w:tc>
        <w:tc>
          <w:tcPr>
            <w:tcW w:w="2456" w:type="pct"/>
            <w:gridSpan w:val="4"/>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行次</w:t>
            </w:r>
          </w:p>
        </w:tc>
        <w:tc>
          <w:tcPr>
            <w:tcW w:w="826"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决算数</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行次</w:t>
            </w:r>
          </w:p>
        </w:tc>
        <w:tc>
          <w:tcPr>
            <w:tcW w:w="82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栏次</w:t>
            </w:r>
          </w:p>
        </w:tc>
        <w:tc>
          <w:tcPr>
            <w:tcW w:w="267" w:type="pct"/>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826"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栏次</w:t>
            </w:r>
          </w:p>
        </w:tc>
        <w:tc>
          <w:tcPr>
            <w:tcW w:w="267" w:type="pct"/>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82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一、一般公共预算财政拨款收入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29,391.44</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一、一般公共服务支出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32</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二、政府性基金预算财政拨款收入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二、外交支出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33</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三、国有资本经营预算财政拨款收入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三、国防支出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34</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四、上级补助收入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四、公共安全支出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35</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五、事业收入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五、教育支出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36</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六、经营收入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六、科学技术支出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37</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33,074.47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七、附属单位上缴收入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7</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七、文化旅游体育与传媒支出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38</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八、其他收入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8</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八、社会保障和就业支出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39</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9</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九、卫生健康支出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40</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11.72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10</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十、节能环保支出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41</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11</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十一、城乡社区支出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42</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12</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十二、农林水支出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43</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13</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十三、交通运输支出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44</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auto"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14</w:t>
            </w:r>
          </w:p>
        </w:tc>
        <w:tc>
          <w:tcPr>
            <w:tcW w:w="826" w:type="pct"/>
            <w:gridSpan w:val="2"/>
            <w:tcBorders>
              <w:top w:val="nil"/>
              <w:left w:val="nil"/>
              <w:bottom w:val="single" w:color="auto"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auto"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十四、资源勘探工业信息等支出</w:t>
            </w:r>
          </w:p>
        </w:tc>
        <w:tc>
          <w:tcPr>
            <w:tcW w:w="267" w:type="pct"/>
            <w:tcBorders>
              <w:top w:val="nil"/>
              <w:left w:val="nil"/>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45</w:t>
            </w:r>
          </w:p>
        </w:tc>
        <w:tc>
          <w:tcPr>
            <w:tcW w:w="826" w:type="pct"/>
            <w:tcBorders>
              <w:top w:val="nil"/>
              <w:left w:val="nil"/>
              <w:bottom w:val="single" w:color="auto"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15</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十五、商业服务业等支出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46</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16</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十六、金融支出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47</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17</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十七、援助其他地区支出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48</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18</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十八、自然资源海洋气象等支出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49</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19</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十九、住房保障支出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50</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27.67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20</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二十、粮油物资储备支出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51</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21</w:t>
            </w:r>
          </w:p>
        </w:tc>
        <w:tc>
          <w:tcPr>
            <w:tcW w:w="826" w:type="pct"/>
            <w:gridSpan w:val="2"/>
            <w:tcBorders>
              <w:top w:val="single" w:color="auto" w:sz="4" w:space="0"/>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二十一、国有资本经营预算支出</w:t>
            </w:r>
          </w:p>
        </w:tc>
        <w:tc>
          <w:tcPr>
            <w:tcW w:w="267" w:type="pct"/>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52</w:t>
            </w:r>
          </w:p>
        </w:tc>
        <w:tc>
          <w:tcPr>
            <w:tcW w:w="826" w:type="pct"/>
            <w:tcBorders>
              <w:top w:val="single" w:color="auto" w:sz="4" w:space="0"/>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22</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二十二、灾害防治及应急管理支出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53</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23</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二十三、其他支出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54</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24</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二十四、债务还本支出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55</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25</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二十五、债务付息支出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56</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26</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二十六、抗疫特别国债安排的支出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57</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本年收入合计</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27</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29,391.44</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本年支出合计</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58</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使用非财政拨款结余（含专用结余）</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28</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结余分配</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59</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年初结转和结余</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29</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4,000.00</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年末结转和结余</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60</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0"/>
                <w:szCs w:val="20"/>
                <w:highlight w:val="none"/>
                <w:u w:val="none"/>
                <w:lang w:val="en-US" w:eastAsia="zh-CN" w:bidi="ar"/>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30</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0"/>
                <w:szCs w:val="20"/>
                <w:highlight w:val="none"/>
                <w:u w:val="none"/>
                <w:lang w:val="en-US" w:eastAsia="zh-CN" w:bidi="ar"/>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61</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总计</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31</w:t>
            </w:r>
          </w:p>
        </w:tc>
        <w:tc>
          <w:tcPr>
            <w:tcW w:w="82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总计</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rPr>
            </w:pPr>
            <w:r>
              <w:rPr>
                <w:rFonts w:hint="eastAsia" w:ascii="仿宋" w:hAnsi="仿宋" w:eastAsia="仿宋" w:cs="仿宋"/>
                <w:i w:val="0"/>
                <w:iCs w:val="0"/>
                <w:color w:val="000000"/>
                <w:kern w:val="0"/>
                <w:sz w:val="20"/>
                <w:szCs w:val="20"/>
                <w:highlight w:val="none"/>
                <w:u w:val="none"/>
                <w:lang w:val="en-US" w:eastAsia="zh-CN" w:bidi="ar"/>
              </w:rPr>
              <w:t>62</w:t>
            </w:r>
          </w:p>
        </w:tc>
        <w:tc>
          <w:tcPr>
            <w:tcW w:w="82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注：1.本表反映部门本年度的总收支和年末结转结余情况。2.本套报表金额转换时可能存在尾数误差。</w:t>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eepNext w:val="0"/>
        <w:keepLines w:val="0"/>
        <w:widowControl/>
        <w:suppressLineNumbers w:val="0"/>
        <w:jc w:val="center"/>
        <w:textAlignment w:val="bottom"/>
        <w:rPr>
          <w:rFonts w:hint="eastAsia" w:ascii="仿宋" w:hAnsi="仿宋" w:eastAsia="仿宋" w:cs="仿宋"/>
          <w:bCs/>
          <w:kern w:val="0"/>
          <w:sz w:val="32"/>
          <w:szCs w:val="32"/>
          <w:highlight w:val="none"/>
        </w:rPr>
      </w:pPr>
    </w:p>
    <w:tbl>
      <w:tblPr>
        <w:tblStyle w:val="11"/>
        <w:tblW w:w="9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1037"/>
        <w:gridCol w:w="1037"/>
        <w:gridCol w:w="1037"/>
        <w:gridCol w:w="964"/>
        <w:gridCol w:w="367"/>
        <w:gridCol w:w="597"/>
        <w:gridCol w:w="1027"/>
        <w:gridCol w:w="9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b w:val="0"/>
                <w:bCs/>
                <w:color w:val="auto"/>
                <w:kern w:val="0"/>
                <w:sz w:val="32"/>
                <w:szCs w:val="32"/>
                <w:highlight w:val="none"/>
                <w:lang w:val="en-US" w:eastAsia="zh-CN"/>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公开</w:t>
            </w:r>
            <w:r>
              <w:rPr>
                <w:rFonts w:hint="eastAsia" w:ascii="仿宋" w:hAnsi="仿宋" w:eastAsia="仿宋" w:cs="仿宋"/>
                <w:i w:val="0"/>
                <w:iCs w:val="0"/>
                <w:color w:val="000000"/>
                <w:sz w:val="20"/>
                <w:szCs w:val="20"/>
                <w:highlight w:val="none"/>
                <w:u w:val="none"/>
                <w:lang w:val="en-US" w:eastAsia="zh-CN"/>
              </w:rPr>
              <w:t>02</w:t>
            </w:r>
            <w:r>
              <w:rPr>
                <w:rFonts w:hint="eastAsia" w:ascii="仿宋" w:hAnsi="仿宋" w:eastAsia="仿宋" w:cs="仿宋"/>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37" w:type="dxa"/>
            <w:gridSpan w:val="3"/>
            <w:tcBorders>
              <w:top w:val="nil"/>
              <w:left w:val="nil"/>
              <w:bottom w:val="single" w:color="auto" w:sz="4" w:space="0"/>
              <w:right w:val="nil"/>
            </w:tcBorders>
            <w:noWrap/>
            <w:vAlign w:val="bottom"/>
          </w:tcPr>
          <w:p>
            <w:pP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 xml:space="preserve">编制部门：石家庄高新技术产业开发区科学技术局                                                                                                         </w:t>
            </w:r>
          </w:p>
        </w:tc>
        <w:tc>
          <w:tcPr>
            <w:tcW w:w="3405" w:type="dxa"/>
            <w:gridSpan w:val="4"/>
            <w:tcBorders>
              <w:top w:val="nil"/>
              <w:left w:val="nil"/>
              <w:bottom w:val="single" w:color="auto" w:sz="4" w:space="0"/>
              <w:right w:val="nil"/>
            </w:tcBorders>
            <w:noWrap/>
            <w:vAlign w:val="bottom"/>
          </w:tcPr>
          <w:p>
            <w:pPr>
              <w:jc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sz w:val="20"/>
                <w:szCs w:val="20"/>
                <w:highlight w:val="none"/>
                <w:u w:val="none"/>
                <w:lang w:val="en-US" w:eastAsia="zh-CN"/>
              </w:rPr>
              <w:t>2023</w:t>
            </w:r>
            <w:r>
              <w:rPr>
                <w:rFonts w:hint="eastAsia" w:ascii="仿宋" w:hAnsi="仿宋" w:eastAsia="仿宋" w:cs="仿宋"/>
                <w:i w:val="0"/>
                <w:iCs w:val="0"/>
                <w:color w:val="000000"/>
                <w:kern w:val="0"/>
                <w:sz w:val="20"/>
                <w:szCs w:val="20"/>
                <w:highlight w:val="none"/>
                <w:u w:val="none"/>
                <w:lang w:val="en-US" w:eastAsia="zh-CN" w:bidi="ar"/>
              </w:rPr>
              <w:t>年度</w:t>
            </w:r>
          </w:p>
        </w:tc>
        <w:tc>
          <w:tcPr>
            <w:tcW w:w="2588" w:type="dxa"/>
            <w:gridSpan w:val="3"/>
            <w:tcBorders>
              <w:top w:val="nil"/>
              <w:left w:val="nil"/>
              <w:bottom w:val="single" w:color="auto" w:sz="4" w:space="0"/>
              <w:right w:val="nil"/>
            </w:tcBorders>
            <w:noWrap/>
            <w:vAlign w:val="bottom"/>
          </w:tcPr>
          <w:p>
            <w:pPr>
              <w:jc w:val="right"/>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00" w:type="dxa"/>
            <w:gridSpan w:val="2"/>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w:t>
            </w:r>
          </w:p>
        </w:tc>
        <w:tc>
          <w:tcPr>
            <w:tcW w:w="1037"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本年收入合计</w:t>
            </w:r>
          </w:p>
        </w:tc>
        <w:tc>
          <w:tcPr>
            <w:tcW w:w="1037"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财政拨款收入</w:t>
            </w:r>
          </w:p>
        </w:tc>
        <w:tc>
          <w:tcPr>
            <w:tcW w:w="1037"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上级补助收入</w:t>
            </w:r>
          </w:p>
        </w:tc>
        <w:tc>
          <w:tcPr>
            <w:tcW w:w="964" w:type="dxa"/>
            <w:vMerge w:val="restart"/>
            <w:tcBorders>
              <w:top w:val="single" w:color="auto" w:sz="4" w:space="0"/>
              <w:left w:val="nil"/>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事业收入</w:t>
            </w:r>
          </w:p>
        </w:tc>
        <w:tc>
          <w:tcPr>
            <w:tcW w:w="964" w:type="dxa"/>
            <w:gridSpan w:val="2"/>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经营收入</w:t>
            </w:r>
          </w:p>
        </w:tc>
        <w:tc>
          <w:tcPr>
            <w:tcW w:w="1027"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附属单位上缴收入</w:t>
            </w:r>
          </w:p>
        </w:tc>
        <w:tc>
          <w:tcPr>
            <w:tcW w:w="964"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科目代码</w:t>
            </w:r>
          </w:p>
        </w:tc>
        <w:tc>
          <w:tcPr>
            <w:tcW w:w="1160" w:type="dxa"/>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科目名称</w:t>
            </w: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vMerge w:val="continue"/>
            <w:tcBorders>
              <w:left w:val="nil"/>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160" w:type="dxa"/>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vMerge w:val="continue"/>
            <w:tcBorders>
              <w:left w:val="nil"/>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160" w:type="dxa"/>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vMerge w:val="continue"/>
            <w:tcBorders>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栏次</w:t>
            </w:r>
          </w:p>
        </w:tc>
        <w:tc>
          <w:tcPr>
            <w:tcW w:w="1037"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w:t>
            </w:r>
          </w:p>
        </w:tc>
        <w:tc>
          <w:tcPr>
            <w:tcW w:w="1037"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w:t>
            </w:r>
          </w:p>
        </w:tc>
        <w:tc>
          <w:tcPr>
            <w:tcW w:w="1037"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w:t>
            </w:r>
          </w:p>
        </w:tc>
        <w:tc>
          <w:tcPr>
            <w:tcW w:w="964"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4</w:t>
            </w:r>
          </w:p>
        </w:tc>
        <w:tc>
          <w:tcPr>
            <w:tcW w:w="964" w:type="dxa"/>
            <w:gridSpan w:val="2"/>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w:t>
            </w:r>
          </w:p>
        </w:tc>
        <w:tc>
          <w:tcPr>
            <w:tcW w:w="1027"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w:t>
            </w:r>
          </w:p>
        </w:tc>
        <w:tc>
          <w:tcPr>
            <w:tcW w:w="964"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合计</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29,391.44</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29,391.44</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科学技术支出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29,324.47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29,324.47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科学技术管理事务</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548.68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548.68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2060101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行政运行</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546.50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546.50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2060102</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一般行政管理事务</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2.18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2.18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20602</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基础研究</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1,163.59</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1,163.59</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2060207</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专项技术基础</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1,163.59</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1,163.59</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20604</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技术研究与开发</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13,404.65</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13,404.65</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2060401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机构运行</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2060404</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科技成果转化与扩散</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2,709.21</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2,709.21</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2060405</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共性技术研究与开发</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200.00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200.00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2060499</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其他技术研究与开发支出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10,484.44</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10,484.44</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20605</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科技条件与服务</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765.93</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765.93</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2060502</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技术创新服务体系</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765.93</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765.93</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20609</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科技重大项目</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2,226.20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2,226.20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2060901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科技重大专项</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700.00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700.00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2060902</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重点研发计划</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1,261.00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1,261.00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2060999</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其他科技重大项目</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265.20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265.20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20699</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其他科学技术支出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11,215.41</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11,215.41</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2069901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科技奖励</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4,077.00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4,077.00</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2069999</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其他科学技术支出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7,138.41</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7,138.41</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208</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社会保障和就业支出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27.58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27.58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20805</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行政事业单位养老支出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27.58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27.58</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2080501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行政单位离退休</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9.83</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9.83</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2080505</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机关事业单位基本养老保险缴费支出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17.75</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17.75</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210</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卫生健康支出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11.72</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11.72</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21011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行政事业单位医疗</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11.72</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11.72</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2101101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行政单位医疗</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11.72</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11.72</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221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住房保障支出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27.67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27.67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22102</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住房改革支出</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27.67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27.67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2210201</w:t>
            </w:r>
          </w:p>
        </w:tc>
        <w:tc>
          <w:tcPr>
            <w:tcW w:w="1160" w:type="dxa"/>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住房公积金</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27.67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spacing w:val="-2"/>
                <w:sz w:val="20"/>
                <w:szCs w:val="20"/>
                <w:lang w:val="en-US" w:eastAsia="zh-CN"/>
              </w:rPr>
              <w:t>27.67</w:t>
            </w:r>
          </w:p>
        </w:tc>
        <w:tc>
          <w:tcPr>
            <w:tcW w:w="103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230" w:type="dxa"/>
            <w:gridSpan w:val="10"/>
            <w:tcBorders>
              <w:top w:val="nil"/>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注：本表反映部门本年度取得的各项收入情况。</w:t>
            </w:r>
          </w:p>
        </w:tc>
      </w:tr>
    </w:tbl>
    <w:p>
      <w:pPr>
        <w:rPr>
          <w:rFonts w:hint="eastAsia" w:ascii="仿宋" w:hAnsi="仿宋" w:eastAsia="仿宋" w:cs="仿宋"/>
          <w:bCs/>
          <w:kern w:val="0"/>
          <w:sz w:val="32"/>
          <w:szCs w:val="32"/>
          <w:highlight w:val="none"/>
        </w:rPr>
      </w:pPr>
      <w:r>
        <w:rPr>
          <w:rFonts w:hint="eastAsia" w:ascii="仿宋" w:hAnsi="仿宋" w:eastAsia="仿宋" w:cs="仿宋"/>
          <w:b/>
          <w:color w:val="auto"/>
          <w:kern w:val="0"/>
          <w:sz w:val="32"/>
          <w:szCs w:val="32"/>
          <w:highlight w:val="none"/>
        </w:rPr>
        <w:br w:type="page"/>
      </w:r>
    </w:p>
    <w:p>
      <w:pPr>
        <w:keepNext w:val="0"/>
        <w:keepLines w:val="0"/>
        <w:widowControl/>
        <w:suppressLineNumbers w:val="0"/>
        <w:jc w:val="center"/>
        <w:textAlignment w:val="bottom"/>
        <w:rPr>
          <w:rFonts w:hint="eastAsia" w:ascii="仿宋" w:hAnsi="仿宋" w:eastAsia="仿宋" w:cs="仿宋"/>
          <w:spacing w:val="-2"/>
          <w:sz w:val="20"/>
          <w:highlight w:val="none"/>
          <w:lang w:val="en-US" w:eastAsia="zh-CN"/>
        </w:rPr>
      </w:pPr>
    </w:p>
    <w:tbl>
      <w:tblPr>
        <w:tblStyle w:val="11"/>
        <w:tblW w:w="581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87"/>
        <w:gridCol w:w="1128"/>
        <w:gridCol w:w="126"/>
        <w:gridCol w:w="1000"/>
        <w:gridCol w:w="1126"/>
        <w:gridCol w:w="497"/>
        <w:gridCol w:w="629"/>
        <w:gridCol w:w="1126"/>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5000" w:type="pct"/>
            <w:gridSpan w:val="10"/>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仿宋" w:hAnsi="仿宋" w:eastAsia="仿宋" w:cs="仿宋"/>
                <w:i w:val="0"/>
                <w:iCs w:val="0"/>
                <w:color w:val="000000"/>
                <w:sz w:val="20"/>
                <w:szCs w:val="20"/>
                <w:highlight w:val="none"/>
                <w:u w:val="none"/>
              </w:rPr>
            </w:pPr>
            <w:r>
              <w:rPr>
                <w:rFonts w:hint="eastAsia" w:ascii="仿宋" w:hAnsi="仿宋" w:eastAsia="仿宋" w:cs="仿宋"/>
                <w:b w:val="0"/>
                <w:bCs/>
                <w:color w:val="auto"/>
                <w:kern w:val="0"/>
                <w:sz w:val="32"/>
                <w:szCs w:val="32"/>
                <w:highlight w:val="none"/>
                <w:lang w:val="en-US" w:eastAsia="zh-CN"/>
              </w:rPr>
              <w:br w:type="page"/>
            </w:r>
            <w:r>
              <w:rPr>
                <w:rFonts w:hint="eastAsia" w:ascii="仿宋" w:hAnsi="仿宋" w:eastAsia="仿宋" w:cs="仿宋"/>
                <w:b w:val="0"/>
                <w:bCs/>
                <w:color w:val="auto"/>
                <w:kern w:val="0"/>
                <w:sz w:val="32"/>
                <w:szCs w:val="32"/>
                <w:highlight w:val="none"/>
                <w:lang w:val="en-US" w:eastAsia="zh-CN"/>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000" w:type="pct"/>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62" w:type="pct"/>
            <w:gridSpan w:val="4"/>
            <w:tcBorders>
              <w:top w:val="nil"/>
              <w:left w:val="nil"/>
              <w:bottom w:val="single" w:color="auto" w:sz="4" w:space="0"/>
              <w:right w:val="nil"/>
            </w:tcBorders>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 xml:space="preserve">编制部门：石家庄高新技术产业开发区科学技术局                                                                                                          </w:t>
            </w:r>
          </w:p>
        </w:tc>
        <w:tc>
          <w:tcPr>
            <w:tcW w:w="1403" w:type="pct"/>
            <w:gridSpan w:val="3"/>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2023年度</w:t>
            </w:r>
          </w:p>
        </w:tc>
        <w:tc>
          <w:tcPr>
            <w:tcW w:w="1734" w:type="pct"/>
            <w:gridSpan w:val="3"/>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 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91" w:type="pct"/>
            <w:gridSpan w:val="2"/>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w:t>
            </w:r>
          </w:p>
        </w:tc>
        <w:tc>
          <w:tcPr>
            <w:tcW w:w="603"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本年支出合计</w:t>
            </w:r>
          </w:p>
        </w:tc>
        <w:tc>
          <w:tcPr>
            <w:tcW w:w="602" w:type="pct"/>
            <w:gridSpan w:val="2"/>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基本支出</w:t>
            </w:r>
          </w:p>
        </w:tc>
        <w:tc>
          <w:tcPr>
            <w:tcW w:w="602"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项目支出</w:t>
            </w:r>
          </w:p>
        </w:tc>
        <w:tc>
          <w:tcPr>
            <w:tcW w:w="602" w:type="pct"/>
            <w:gridSpan w:val="2"/>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上缴上级支出</w:t>
            </w:r>
          </w:p>
        </w:tc>
        <w:tc>
          <w:tcPr>
            <w:tcW w:w="602"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经营支出</w:t>
            </w:r>
          </w:p>
        </w:tc>
        <w:tc>
          <w:tcPr>
            <w:tcW w:w="795"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科目代码</w:t>
            </w:r>
          </w:p>
        </w:tc>
        <w:tc>
          <w:tcPr>
            <w:tcW w:w="635"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科目名称</w:t>
            </w:r>
          </w:p>
        </w:tc>
        <w:tc>
          <w:tcPr>
            <w:tcW w:w="60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79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35" w:type="pct"/>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60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79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35" w:type="pct"/>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60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79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91"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栏次</w:t>
            </w:r>
          </w:p>
        </w:tc>
        <w:tc>
          <w:tcPr>
            <w:tcW w:w="60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w:t>
            </w:r>
          </w:p>
        </w:tc>
        <w:tc>
          <w:tcPr>
            <w:tcW w:w="602" w:type="pct"/>
            <w:gridSpan w:val="2"/>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w:t>
            </w:r>
          </w:p>
        </w:tc>
        <w:tc>
          <w:tcPr>
            <w:tcW w:w="60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w:t>
            </w:r>
          </w:p>
        </w:tc>
        <w:tc>
          <w:tcPr>
            <w:tcW w:w="602" w:type="pct"/>
            <w:gridSpan w:val="2"/>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w:t>
            </w:r>
          </w:p>
        </w:tc>
        <w:tc>
          <w:tcPr>
            <w:tcW w:w="60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w:t>
            </w:r>
          </w:p>
        </w:tc>
        <w:tc>
          <w:tcPr>
            <w:tcW w:w="795"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91"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合计</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613.47</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32,777.97</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一般公共服务支出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20113</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商贸事务</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2011308</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招商引资</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科学技术支出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33,074.47</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32,527.97</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科学技术管理事务</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2,298.68</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1,752.18</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2060101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行政运行</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2060102</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一般行政管理事务</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1,752.18</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1,752.18</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20602</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基础研究</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2060207</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专项技术基础</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技术研究与开发</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13,404.65</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13,404.65</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机构运行</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2060404</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科技成果转化与扩散</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2,709.21</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2,709.21</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2060405</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共性技术研究与开发</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2060499</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其他技术研究与开发支出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10,484.44</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10,484.44</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20605</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科技条件与服务</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2060502</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技术创新服务体系</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科技重大项目</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2,226.20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2,226.20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科技重大专项</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700.00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700.00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2060902</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重点研发计划</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1,261.00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1,261.00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2060999</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其他科技重大项目</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265.20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265.20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20699</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其他科学技术支出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13,215.41</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13,215.41</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2069901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科技奖励</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4,077.00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4,077.00</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2069999</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其他科学技术支出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9,138.41</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9,138.41</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社会保障和就业支出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20805</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行政事业单位养老支出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2080501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行政单位离退休</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9.83</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9.83</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2080505</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机关事业单位基本养老保险缴费支出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17.75</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17.75</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210</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卫生健康支出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21011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行政事业单位医疗</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2101101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行政单位医疗</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住房保障支出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22102</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住房改革支出</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2210201</w:t>
            </w:r>
          </w:p>
        </w:tc>
        <w:tc>
          <w:tcPr>
            <w:tcW w:w="635" w:type="pct"/>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住房公积金</w:t>
            </w:r>
          </w:p>
        </w:tc>
        <w:tc>
          <w:tcPr>
            <w:tcW w:w="60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00" w:type="pct"/>
            <w:gridSpan w:val="10"/>
            <w:tcBorders>
              <w:top w:val="nil"/>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注：本表反映部门本年度各项支出情况。</w:t>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tbl>
      <w:tblPr>
        <w:tblStyle w:val="11"/>
        <w:tblW w:w="7281" w:type="pct"/>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624"/>
        <w:gridCol w:w="1427"/>
        <w:gridCol w:w="1659"/>
        <w:gridCol w:w="439"/>
        <w:gridCol w:w="624"/>
        <w:gridCol w:w="458"/>
        <w:gridCol w:w="837"/>
        <w:gridCol w:w="1219"/>
        <w:gridCol w:w="1219"/>
        <w:gridCol w:w="1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b w:val="0"/>
                <w:bCs/>
                <w:color w:val="auto"/>
                <w:kern w:val="0"/>
                <w:sz w:val="32"/>
                <w:szCs w:val="32"/>
                <w:highlight w:val="none"/>
                <w:lang w:val="en-US" w:eastAsia="zh-CN"/>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31" w:type="pct"/>
            <w:gridSpan w:val="4"/>
            <w:tcBorders>
              <w:top w:val="nil"/>
              <w:left w:val="nil"/>
              <w:bottom w:val="single" w:color="auto" w:sz="4" w:space="0"/>
              <w:right w:val="nil"/>
            </w:tcBorders>
            <w:noWrap/>
            <w:vAlign w:val="bottom"/>
          </w:tcPr>
          <w:p>
            <w:pP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 xml:space="preserve">编制部门：石家庄高新技术产业开发区科学技术局                                                                                                    </w:t>
            </w:r>
          </w:p>
        </w:tc>
        <w:tc>
          <w:tcPr>
            <w:tcW w:w="649" w:type="pct"/>
            <w:gridSpan w:val="3"/>
            <w:tcBorders>
              <w:top w:val="nil"/>
              <w:left w:val="nil"/>
              <w:bottom w:val="single" w:color="auto" w:sz="4" w:space="0"/>
              <w:right w:val="nil"/>
            </w:tcBorders>
            <w:noWrap/>
            <w:vAlign w:val="bottom"/>
          </w:tcPr>
          <w:p>
            <w:pPr>
              <w:jc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2023年度</w:t>
            </w:r>
          </w:p>
        </w:tc>
        <w:tc>
          <w:tcPr>
            <w:tcW w:w="1919" w:type="pct"/>
            <w:gridSpan w:val="4"/>
            <w:tcBorders>
              <w:top w:val="nil"/>
              <w:left w:val="nil"/>
              <w:bottom w:val="single" w:color="auto" w:sz="4" w:space="0"/>
              <w:right w:val="nil"/>
            </w:tcBorders>
            <w:noWrap/>
            <w:vAlign w:val="bottom"/>
          </w:tcPr>
          <w:p>
            <w:pPr>
              <w:jc w:val="right"/>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23" w:type="pct"/>
            <w:gridSpan w:val="3"/>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收入</w:t>
            </w:r>
          </w:p>
        </w:tc>
        <w:tc>
          <w:tcPr>
            <w:tcW w:w="3276" w:type="pct"/>
            <w:gridSpan w:val="8"/>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    目</w:t>
            </w:r>
          </w:p>
        </w:tc>
        <w:tc>
          <w:tcPr>
            <w:tcW w:w="26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行次</w:t>
            </w:r>
          </w:p>
        </w:tc>
        <w:tc>
          <w:tcPr>
            <w:tcW w:w="609"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金额</w:t>
            </w:r>
          </w:p>
        </w:tc>
        <w:tc>
          <w:tcPr>
            <w:tcW w:w="895" w:type="pct"/>
            <w:gridSpan w:val="2"/>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w:t>
            </w:r>
          </w:p>
        </w:tc>
        <w:tc>
          <w:tcPr>
            <w:tcW w:w="26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行次</w:t>
            </w:r>
          </w:p>
        </w:tc>
        <w:tc>
          <w:tcPr>
            <w:tcW w:w="552" w:type="pct"/>
            <w:gridSpan w:val="2"/>
            <w:vMerge w:val="restart"/>
            <w:tcBorders>
              <w:top w:val="nil"/>
              <w:left w:val="nil"/>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合计</w:t>
            </w:r>
          </w:p>
        </w:tc>
        <w:tc>
          <w:tcPr>
            <w:tcW w:w="520" w:type="pct"/>
            <w:vMerge w:val="restart"/>
            <w:tcBorders>
              <w:top w:val="nil"/>
              <w:left w:val="nil"/>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一般公共预算财政拨款</w:t>
            </w:r>
          </w:p>
        </w:tc>
        <w:tc>
          <w:tcPr>
            <w:tcW w:w="520" w:type="pct"/>
            <w:vMerge w:val="restart"/>
            <w:tcBorders>
              <w:top w:val="nil"/>
              <w:left w:val="nil"/>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政府性基金预算财政拨款</w:t>
            </w:r>
          </w:p>
        </w:tc>
        <w:tc>
          <w:tcPr>
            <w:tcW w:w="520" w:type="pct"/>
            <w:vMerge w:val="restart"/>
            <w:tcBorders>
              <w:top w:val="nil"/>
              <w:left w:val="nil"/>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266"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09"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895" w:type="pct"/>
            <w:gridSpan w:val="2"/>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266"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52" w:type="pct"/>
            <w:gridSpan w:val="2"/>
            <w:vMerge w:val="continue"/>
            <w:tcBorders>
              <w:left w:val="nil"/>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c>
          <w:tcPr>
            <w:tcW w:w="520" w:type="pct"/>
            <w:vMerge w:val="continue"/>
            <w:tcBorders>
              <w:left w:val="nil"/>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c>
          <w:tcPr>
            <w:tcW w:w="520" w:type="pct"/>
            <w:vMerge w:val="continue"/>
            <w:tcBorders>
              <w:left w:val="nil"/>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c>
          <w:tcPr>
            <w:tcW w:w="520" w:type="pct"/>
            <w:vMerge w:val="continue"/>
            <w:tcBorders>
              <w:left w:val="nil"/>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    次</w:t>
            </w:r>
          </w:p>
        </w:tc>
        <w:tc>
          <w:tcPr>
            <w:tcW w:w="266" w:type="pct"/>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60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w:t>
            </w: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    次</w:t>
            </w:r>
          </w:p>
        </w:tc>
        <w:tc>
          <w:tcPr>
            <w:tcW w:w="266" w:type="pct"/>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552"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w:t>
            </w:r>
          </w:p>
        </w:tc>
        <w:tc>
          <w:tcPr>
            <w:tcW w:w="520"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w:t>
            </w:r>
          </w:p>
        </w:tc>
        <w:tc>
          <w:tcPr>
            <w:tcW w:w="520"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w:t>
            </w:r>
          </w:p>
        </w:tc>
        <w:tc>
          <w:tcPr>
            <w:tcW w:w="520" w:type="pct"/>
            <w:tcBorders>
              <w:top w:val="nil"/>
              <w:left w:val="nil"/>
              <w:bottom w:val="single" w:color="000000" w:sz="4" w:space="0"/>
              <w:right w:val="single" w:color="000000" w:sz="8"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一、一般公共预算财政拨款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29,391.44</w:t>
            </w: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一、一般公共服务支出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33</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250.00</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250.00</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二、政府性基金预算财政拨款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二、外交支出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34</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三、国有资本经营预算财政拨款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三、国防支出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35</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四、公共安全支出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36</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五、教育支出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37</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六、科学技术支出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38</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33,074.47</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33,074.47</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7</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七、文化旅游体育与传媒支出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39</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8</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八、社会保障和就业支出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40</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27.58</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27.58</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9</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九、卫生健康支出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41</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11.72</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11.72</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10</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十、节能环保支出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42</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11</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十一、城乡社区支出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43</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auto"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12</w:t>
            </w:r>
          </w:p>
        </w:tc>
        <w:tc>
          <w:tcPr>
            <w:tcW w:w="609" w:type="pct"/>
            <w:tcBorders>
              <w:top w:val="nil"/>
              <w:left w:val="nil"/>
              <w:bottom w:val="single" w:color="auto"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auto"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十二、农林水支出</w:t>
            </w:r>
          </w:p>
        </w:tc>
        <w:tc>
          <w:tcPr>
            <w:tcW w:w="266" w:type="pct"/>
            <w:tcBorders>
              <w:top w:val="nil"/>
              <w:left w:val="nil"/>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44</w:t>
            </w:r>
          </w:p>
        </w:tc>
        <w:tc>
          <w:tcPr>
            <w:tcW w:w="552" w:type="pct"/>
            <w:gridSpan w:val="2"/>
            <w:tcBorders>
              <w:top w:val="nil"/>
              <w:left w:val="nil"/>
              <w:bottom w:val="single" w:color="auto"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auto"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auto"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auto"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13</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十三、交通运输支出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45</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14</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十四、资源勘探工业信息等支出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46</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15</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十五、商业服务业等支出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47</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16</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十六、金融支出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48</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17</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十七、援助其他地区支出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49</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18</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十八、自然资源海洋气象等支出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50</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19</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十九、住房保障支出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51</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27.67</w:t>
            </w: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27.67</w:t>
            </w: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20</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二十、粮油物资储备支出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52</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21</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二十一、国有资本经营预算支出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53</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22</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二十二、灾害防治及应急管理支出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54</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23</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二十三、其他支出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55</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000000" w:sz="4" w:space="0"/>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24</w:t>
            </w:r>
          </w:p>
        </w:tc>
        <w:tc>
          <w:tcPr>
            <w:tcW w:w="609" w:type="pct"/>
            <w:tcBorders>
              <w:top w:val="single" w:color="auto" w:sz="4" w:space="0"/>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二十四、债务还本支出</w:t>
            </w:r>
          </w:p>
        </w:tc>
        <w:tc>
          <w:tcPr>
            <w:tcW w:w="266" w:type="pct"/>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56</w:t>
            </w:r>
          </w:p>
        </w:tc>
        <w:tc>
          <w:tcPr>
            <w:tcW w:w="552" w:type="pct"/>
            <w:gridSpan w:val="2"/>
            <w:tcBorders>
              <w:top w:val="single" w:color="auto" w:sz="4" w:space="0"/>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single" w:color="auto" w:sz="4" w:space="0"/>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bCs/>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25</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二十五、债务付息支出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57</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26</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二十六、抗疫特别国债安排的支出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58</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本年收入合计</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27</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29,391.44</w:t>
            </w: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本年支出合计</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59</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年初财政拨款结转和结余</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28</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4,000.00</w:t>
            </w: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年末财政拨款结转和结余</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60</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一、一般公共预算财政拨款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29</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4,000.00</w:t>
            </w:r>
          </w:p>
        </w:tc>
        <w:tc>
          <w:tcPr>
            <w:tcW w:w="895" w:type="pct"/>
            <w:gridSpan w:val="2"/>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61</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lef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二、政府性基金预算财政拨款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30</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62</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lef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三、国有资本经营预算财政拨款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31</w:t>
            </w:r>
          </w:p>
        </w:tc>
        <w:tc>
          <w:tcPr>
            <w:tcW w:w="60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jc w:val="left"/>
              <w:rPr>
                <w:rFonts w:hint="eastAsia" w:ascii="仿宋" w:hAnsi="仿宋" w:eastAsia="仿宋" w:cs="仿宋"/>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63</w:t>
            </w:r>
          </w:p>
        </w:tc>
        <w:tc>
          <w:tcPr>
            <w:tcW w:w="552"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lef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8"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总计</w:t>
            </w:r>
          </w:p>
        </w:tc>
        <w:tc>
          <w:tcPr>
            <w:tcW w:w="266" w:type="pct"/>
            <w:tcBorders>
              <w:top w:val="nil"/>
              <w:left w:val="nil"/>
              <w:bottom w:val="single" w:color="000000" w:sz="8"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32</w:t>
            </w:r>
          </w:p>
        </w:tc>
        <w:tc>
          <w:tcPr>
            <w:tcW w:w="609" w:type="pct"/>
            <w:tcBorders>
              <w:top w:val="nil"/>
              <w:left w:val="nil"/>
              <w:bottom w:val="single" w:color="000000" w:sz="8"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c>
          <w:tcPr>
            <w:tcW w:w="895" w:type="pct"/>
            <w:gridSpan w:val="2"/>
            <w:tcBorders>
              <w:top w:val="nil"/>
              <w:left w:val="nil"/>
              <w:bottom w:val="single" w:color="000000" w:sz="8"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总计</w:t>
            </w:r>
          </w:p>
        </w:tc>
        <w:tc>
          <w:tcPr>
            <w:tcW w:w="266" w:type="pct"/>
            <w:tcBorders>
              <w:top w:val="nil"/>
              <w:left w:val="nil"/>
              <w:bottom w:val="single" w:color="000000" w:sz="8"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64</w:t>
            </w:r>
          </w:p>
        </w:tc>
        <w:tc>
          <w:tcPr>
            <w:tcW w:w="552" w:type="pct"/>
            <w:gridSpan w:val="2"/>
            <w:tcBorders>
              <w:top w:val="nil"/>
              <w:left w:val="nil"/>
              <w:bottom w:val="single" w:color="000000" w:sz="8"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c>
          <w:tcPr>
            <w:tcW w:w="520" w:type="pct"/>
            <w:tcBorders>
              <w:top w:val="nil"/>
              <w:left w:val="nil"/>
              <w:bottom w:val="single" w:color="000000" w:sz="8" w:space="0"/>
              <w:right w:val="single" w:color="000000" w:sz="4" w:space="0"/>
            </w:tcBorders>
            <w:noWrap/>
            <w:vAlign w:val="center"/>
          </w:tcPr>
          <w:p>
            <w:pPr>
              <w:jc w:val="right"/>
              <w:rPr>
                <w:rFonts w:hint="eastAsia" w:ascii="仿宋" w:hAnsi="仿宋" w:eastAsia="仿宋" w:cs="仿宋"/>
                <w:sz w:val="20"/>
                <w:szCs w:val="20"/>
                <w:highlight w:val="none"/>
              </w:rPr>
            </w:pPr>
          </w:p>
          <w:p>
            <w:pPr>
              <w:jc w:val="right"/>
              <w:rPr>
                <w:rFonts w:hint="eastAsia" w:ascii="仿宋" w:hAnsi="仿宋" w:eastAsia="仿宋" w:cs="仿宋"/>
                <w:sz w:val="20"/>
                <w:szCs w:val="20"/>
                <w:highlight w:val="none"/>
              </w:rPr>
            </w:pPr>
            <w:r>
              <w:rPr>
                <w:rFonts w:hint="eastAsia" w:ascii="仿宋" w:hAnsi="仿宋" w:eastAsia="仿宋" w:cs="仿宋"/>
                <w:sz w:val="20"/>
                <w:szCs w:val="20"/>
                <w:highlight w:val="none"/>
              </w:rPr>
              <w:t>33,391.44</w:t>
            </w:r>
          </w:p>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8"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0" w:type="pct"/>
            <w:tcBorders>
              <w:top w:val="nil"/>
              <w:left w:val="nil"/>
              <w:bottom w:val="single" w:color="000000" w:sz="8" w:space="0"/>
              <w:right w:val="single" w:color="000000" w:sz="8"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nil"/>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注：本表反映部门本年度一般公共预算财政拨款、政府性基金预算财政拨款和国有资本经营预算财政拨款的总收支和年末结转结余情况。</w:t>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spacing w:val="-2"/>
          <w:sz w:val="20"/>
          <w:highlight w:val="none"/>
          <w:lang w:val="en-US" w:eastAsia="zh-CN"/>
        </w:rPr>
      </w:pPr>
    </w:p>
    <w:tbl>
      <w:tblPr>
        <w:tblStyle w:val="11"/>
        <w:tblW w:w="5455" w:type="pct"/>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36"/>
        <w:gridCol w:w="3416"/>
        <w:gridCol w:w="1017"/>
        <w:gridCol w:w="522"/>
        <w:gridCol w:w="544"/>
        <w:gridCol w:w="383"/>
        <w:gridCol w:w="12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7"/>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b w:val="0"/>
                <w:bCs/>
                <w:color w:val="auto"/>
                <w:kern w:val="0"/>
                <w:sz w:val="32"/>
                <w:szCs w:val="32"/>
                <w:highlight w:val="none"/>
                <w:lang w:val="en-US" w:eastAsia="zh-CN"/>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7"/>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56" w:type="pct"/>
            <w:gridSpan w:val="3"/>
            <w:tcBorders>
              <w:top w:val="nil"/>
              <w:left w:val="nil"/>
              <w:bottom w:val="single" w:color="auto" w:sz="4" w:space="0"/>
              <w:right w:val="nil"/>
            </w:tcBorders>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编制部门：石家庄高新技术产业开发区科学技术局</w:t>
            </w:r>
          </w:p>
        </w:tc>
        <w:tc>
          <w:tcPr>
            <w:tcW w:w="1551" w:type="pct"/>
            <w:gridSpan w:val="2"/>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2023年度</w:t>
            </w:r>
          </w:p>
        </w:tc>
        <w:tc>
          <w:tcPr>
            <w:tcW w:w="1591" w:type="pct"/>
            <w:gridSpan w:val="2"/>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1447"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w:t>
            </w:r>
          </w:p>
        </w:tc>
        <w:tc>
          <w:tcPr>
            <w:tcW w:w="3552" w:type="pct"/>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科目代码</w:t>
            </w:r>
          </w:p>
        </w:tc>
        <w:tc>
          <w:tcPr>
            <w:tcW w:w="74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科目名称</w:t>
            </w:r>
          </w:p>
        </w:tc>
        <w:tc>
          <w:tcPr>
            <w:tcW w:w="1169"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小计</w:t>
            </w:r>
          </w:p>
        </w:tc>
        <w:tc>
          <w:tcPr>
            <w:tcW w:w="1169"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基本支出</w:t>
            </w:r>
          </w:p>
        </w:tc>
        <w:tc>
          <w:tcPr>
            <w:tcW w:w="121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698"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748"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169"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169"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213"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8"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748"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169"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169"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213"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47"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栏次</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1</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2</w:t>
            </w:r>
          </w:p>
        </w:tc>
        <w:tc>
          <w:tcPr>
            <w:tcW w:w="121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47"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合计</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33,391.44</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613.47</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sz w:val="20"/>
                <w:szCs w:val="20"/>
                <w:highlight w:val="none"/>
              </w:rPr>
              <w:t>32,777.97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一般公共服务支出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20113</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商贸事务</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2011308</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招商引资</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科学技术支出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33,074.47</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32,527.97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科学技术管理事务</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2,298.68</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1,752.18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2060101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行政运行</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546.50</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2060102</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一般行政管理事务</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1,752.18</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1,752.18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20602</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基础研究</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2060207</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专项技术基础</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1,163.59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技术研究与开发</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13,404.65</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13,404.65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机构运行</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2060404</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科技成果转化与扩散</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2,709.21</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2,709.21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2060405</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共性技术研究与开发</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200.00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2060499</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其他技术研究与开发支出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10,484.44</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10,484.44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20605</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科技条件与服务</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2060502</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技术创新服务体系</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765.93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科技重大项目</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2,226.20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2,226.20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科技重大专项</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700.00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700.00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2060902</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重点研发计划</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1,261.00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1,261.00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2060999</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其他科技重大项目</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265.20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265.20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20699</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其他科学技术支出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13,215.41</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13,215.41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2069901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科技奖励</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4,077.00</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4,077.00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2069999</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其他科学技术支出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9,138.41</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9,138.41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社会保障和就业支出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20805</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行政事业单位养老支出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27.58</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2080501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行政单位离退休</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9.83</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9.83</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2080505</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机关事业单位基本养老保险缴费支出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17.75</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17.75</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210</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卫生健康支出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21011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行政事业单位医疗</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2101101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行政单位医疗</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11.72</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住房保障支出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22102</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住房改革支出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2210201</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住房公积金</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27.67</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7"/>
            <w:tcBorders>
              <w:top w:val="single" w:color="auto" w:sz="4" w:space="0"/>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注：本表反映部门本年度一般公共预算财政拨款支出情况。</w:t>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tbl>
      <w:tblPr>
        <w:tblStyle w:val="11"/>
        <w:tblW w:w="7050" w:type="pct"/>
        <w:tblInd w:w="-16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4"/>
        <w:gridCol w:w="1814"/>
        <w:gridCol w:w="1020"/>
        <w:gridCol w:w="964"/>
        <w:gridCol w:w="438"/>
        <w:gridCol w:w="1376"/>
        <w:gridCol w:w="587"/>
        <w:gridCol w:w="377"/>
        <w:gridCol w:w="964"/>
        <w:gridCol w:w="1814"/>
        <w:gridCol w:w="10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00" w:type="pct"/>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18"/>
                <w:szCs w:val="18"/>
                <w:highlight w:val="none"/>
                <w:u w:val="none"/>
              </w:rPr>
            </w:pPr>
            <w:r>
              <w:rPr>
                <w:rFonts w:hint="eastAsia" w:ascii="仿宋" w:hAnsi="仿宋" w:eastAsia="仿宋" w:cs="仿宋"/>
                <w:b w:val="0"/>
                <w:bCs/>
                <w:color w:val="auto"/>
                <w:kern w:val="0"/>
                <w:sz w:val="32"/>
                <w:szCs w:val="32"/>
                <w:highlight w:val="none"/>
                <w:lang w:val="en-US" w:eastAsia="zh-CN"/>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93" w:type="pct"/>
            <w:gridSpan w:val="5"/>
            <w:tcBorders>
              <w:top w:val="nil"/>
              <w:left w:val="nil"/>
              <w:bottom w:val="single" w:color="auto" w:sz="4" w:space="0"/>
              <w:right w:val="nil"/>
            </w:tcBorders>
            <w:noWrap/>
            <w:vAlign w:val="bottom"/>
          </w:tcPr>
          <w:p>
            <w:pP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 xml:space="preserve">编制部门：石家庄高新技术产业开发区科学技术局                                                                    </w:t>
            </w:r>
          </w:p>
        </w:tc>
        <w:tc>
          <w:tcPr>
            <w:tcW w:w="865" w:type="pct"/>
            <w:gridSpan w:val="2"/>
            <w:tcBorders>
              <w:top w:val="nil"/>
              <w:left w:val="nil"/>
              <w:bottom w:val="single" w:color="auto" w:sz="4" w:space="0"/>
              <w:right w:val="nil"/>
            </w:tcBorders>
            <w:noWrap/>
            <w:vAlign w:val="bottom"/>
          </w:tcPr>
          <w:p>
            <w:pPr>
              <w:jc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2023年度</w:t>
            </w:r>
          </w:p>
        </w:tc>
        <w:tc>
          <w:tcPr>
            <w:tcW w:w="1841" w:type="pct"/>
            <w:gridSpan w:val="4"/>
            <w:tcBorders>
              <w:top w:val="nil"/>
              <w:left w:val="nil"/>
              <w:bottom w:val="single" w:color="auto" w:sz="4" w:space="0"/>
              <w:right w:val="nil"/>
            </w:tcBorders>
            <w:noWrap/>
            <w:vAlign w:val="bottom"/>
          </w:tcPr>
          <w:p>
            <w:pPr>
              <w:jc w:val="right"/>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74" w:type="pct"/>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人员经费</w:t>
            </w:r>
          </w:p>
        </w:tc>
        <w:tc>
          <w:tcPr>
            <w:tcW w:w="3325" w:type="pct"/>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lang w:val="en-US"/>
              </w:rPr>
            </w:pPr>
            <w:r>
              <w:rPr>
                <w:rFonts w:hint="eastAsia" w:ascii="仿宋" w:hAnsi="仿宋" w:eastAsia="仿宋" w:cs="仿宋"/>
                <w:i w:val="0"/>
                <w:iCs w:val="0"/>
                <w:color w:val="000000"/>
                <w:kern w:val="0"/>
                <w:sz w:val="18"/>
                <w:szCs w:val="18"/>
                <w:highlight w:val="none"/>
                <w:u w:val="none"/>
                <w:lang w:val="en-US" w:eastAsia="zh-CN" w:bidi="ar"/>
              </w:rPr>
              <w:t>科目代码</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科目名称</w:t>
            </w:r>
          </w:p>
        </w:tc>
        <w:tc>
          <w:tcPr>
            <w:tcW w:w="44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金额</w:t>
            </w:r>
          </w:p>
        </w:tc>
        <w:tc>
          <w:tcPr>
            <w:tcW w:w="42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lang w:val="en-US" w:eastAsia="zh-CN"/>
              </w:rPr>
            </w:pPr>
            <w:r>
              <w:rPr>
                <w:rFonts w:hint="eastAsia" w:ascii="仿宋" w:hAnsi="仿宋" w:eastAsia="仿宋" w:cs="仿宋"/>
                <w:i w:val="0"/>
                <w:iCs w:val="0"/>
                <w:color w:val="000000"/>
                <w:sz w:val="18"/>
                <w:szCs w:val="18"/>
                <w:highlight w:val="none"/>
                <w:u w:val="none"/>
                <w:lang w:val="en-US" w:eastAsia="zh-CN"/>
              </w:rPr>
              <w:t>科目代码</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科目名称</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金额</w:t>
            </w:r>
          </w:p>
        </w:tc>
        <w:tc>
          <w:tcPr>
            <w:tcW w:w="42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lang w:val="en-US" w:eastAsia="zh-CN"/>
              </w:rPr>
            </w:pPr>
            <w:r>
              <w:rPr>
                <w:rFonts w:hint="eastAsia" w:ascii="仿宋" w:hAnsi="仿宋" w:eastAsia="仿宋" w:cs="仿宋"/>
                <w:i w:val="0"/>
                <w:iCs w:val="0"/>
                <w:color w:val="000000"/>
                <w:sz w:val="18"/>
                <w:szCs w:val="18"/>
                <w:highlight w:val="none"/>
                <w:u w:val="none"/>
                <w:lang w:val="en-US" w:eastAsia="zh-CN"/>
              </w:rPr>
              <w:t>科目代码</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科目名称</w:t>
            </w:r>
          </w:p>
        </w:tc>
        <w:tc>
          <w:tcPr>
            <w:tcW w:w="44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工资福利支出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lang w:eastAsia="zh-CN"/>
              </w:rPr>
              <w:t>153.07</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商品和服务支出</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lang w:eastAsia="zh-CN"/>
              </w:rPr>
              <w:t>147.52</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债务利息及费用支出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 xml:space="preserve">  基本工资</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lang w:eastAsia="zh-CN"/>
              </w:rPr>
              <w:t>80.83</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30201</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办公费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r>
              <w:rPr>
                <w:rFonts w:hint="eastAsia" w:ascii="仿宋" w:hAnsi="仿宋" w:eastAsia="仿宋" w:cs="仿宋"/>
                <w:sz w:val="18"/>
                <w:szCs w:val="18"/>
                <w:highlight w:val="none"/>
                <w:lang w:eastAsia="zh-CN"/>
              </w:rPr>
              <w:t>5.60</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30701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国内债务付息</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30102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 xml:space="preserve">  津贴补贴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lang w:eastAsia="zh-CN"/>
              </w:rPr>
              <w:t>6.05</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30202</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印刷费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30702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国外债务付息</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 xml:space="preserve">  奖金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lang w:eastAsia="zh-CN"/>
              </w:rPr>
              <w:t>2.24</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30203</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咨询费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资本性支出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30106</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 xml:space="preserve">  伙食补助费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30204</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手续费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房屋建筑物购建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 xml:space="preserve">  绩效工资</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lang w:eastAsia="zh-CN"/>
              </w:rPr>
              <w:t>6.41</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30205</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水费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办公设备购置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30108</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机关事业单位基本养老保险缴费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r>
              <w:rPr>
                <w:rFonts w:hint="eastAsia" w:ascii="仿宋" w:hAnsi="仿宋" w:eastAsia="仿宋" w:cs="仿宋"/>
                <w:sz w:val="18"/>
                <w:szCs w:val="18"/>
                <w:highlight w:val="none"/>
                <w:lang w:eastAsia="zh-CN"/>
              </w:rPr>
              <w:t>17.75</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30206</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电费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专用设备购置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30109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职业年金缴费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30207</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邮电费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lang w:eastAsia="zh-CN"/>
              </w:rPr>
            </w:pPr>
            <w:r>
              <w:rPr>
                <w:rFonts w:hint="eastAsia" w:ascii="仿宋" w:hAnsi="仿宋" w:eastAsia="仿宋" w:cs="仿宋"/>
                <w:sz w:val="18"/>
                <w:szCs w:val="18"/>
                <w:highlight w:val="none"/>
                <w:lang w:eastAsia="zh-CN"/>
              </w:rPr>
              <w:t>4.53</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31005</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基础设施建设</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职工基本医疗保险缴费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11.72</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30208</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取暖费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31006</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大型修缮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30111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公务员医疗补助缴费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30209</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物业管理费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信息网络及软件购置更新</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30112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其他社会保障缴费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0.40</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30211</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差旅费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31008</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物资储备</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30113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住房公积金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27.67</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30212</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因公出国（境）费用</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31009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土地补偿</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30114</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医疗费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30213</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维修（护）费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安置补助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30199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其他工资福利支出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30214</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 xml:space="preserve">  租赁费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31011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地上附着物和青苗补偿</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对个人和家庭的补助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312.88</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30215</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会议费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31012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拆迁补偿</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离休费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30216</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培训费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31013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退休费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9.83</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30217</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公务接待费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31019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其他交通工具购置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退职（役）费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30218</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专用材料费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31021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文物和陈列品购置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30304</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抚恤金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30224</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被装购置费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31022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无形资产购置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30305</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生活补助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30225</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专用燃料费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31099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其他资本性支出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30306</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救济费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30226</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劳务费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129.99</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对企业补助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医疗费补助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30227</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委托业务费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31201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资本金注入</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30308</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助学金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30228</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工会经费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0.94</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31203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政府投资基金股权投资</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30309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奖励金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30229</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福利费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0.35</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31204</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费用补贴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个人农业生产补贴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30231</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公务用车运行维护费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31205</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利息补贴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30311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代缴社会保险费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30239</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其他交通费用</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5.91</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31299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其他对企业补助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30399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其他对个人和家庭的补助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303.05</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30240</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税金及附加费用</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30299</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其他商品和服务支出</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0.20</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39907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国家赔偿费用支出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39908</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对民间非营利组织和群众性自治组织补贴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39909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经常性赠与</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39910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资本性赠与</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仿宋" w:hAnsi="仿宋" w:eastAsia="仿宋" w:cs="仿宋"/>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39999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其他支出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5" w:type="pct"/>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sz w:val="18"/>
                <w:szCs w:val="1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人员经费合计</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sz w:val="18"/>
                <w:szCs w:val="18"/>
                <w:highlight w:val="none"/>
              </w:rPr>
            </w:pPr>
            <w:r>
              <w:rPr>
                <w:rFonts w:hint="eastAsia" w:ascii="仿宋" w:hAnsi="仿宋" w:eastAsia="仿宋" w:cs="仿宋"/>
                <w:sz w:val="18"/>
                <w:szCs w:val="18"/>
                <w:highlight w:val="none"/>
              </w:rPr>
              <w:t>465.95</w:t>
            </w:r>
          </w:p>
        </w:tc>
        <w:tc>
          <w:tcPr>
            <w:tcW w:w="2875" w:type="pct"/>
            <w:gridSpan w:val="7"/>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公用经费合计</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sz w:val="18"/>
                <w:szCs w:val="18"/>
                <w:highlight w:val="none"/>
              </w:rPr>
              <w:t>147.52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000" w:type="pct"/>
            <w:gridSpan w:val="11"/>
            <w:tcBorders>
              <w:top w:val="single" w:color="auto" w:sz="4" w:space="0"/>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注：本表反映部门本年度一般公共预算财政拨款基本支出明细情况。</w:t>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color w:val="auto"/>
          <w:kern w:val="0"/>
          <w:sz w:val="32"/>
          <w:szCs w:val="32"/>
          <w:highlight w:val="none"/>
        </w:rPr>
      </w:pPr>
    </w:p>
    <w:tbl>
      <w:tblPr>
        <w:tblStyle w:val="11"/>
        <w:tblW w:w="6517" w:type="pct"/>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4"/>
        <w:gridCol w:w="1306"/>
        <w:gridCol w:w="1027"/>
        <w:gridCol w:w="1107"/>
        <w:gridCol w:w="418"/>
        <w:gridCol w:w="702"/>
        <w:gridCol w:w="1146"/>
        <w:gridCol w:w="2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b w:val="0"/>
                <w:bCs/>
                <w:color w:val="auto"/>
                <w:kern w:val="0"/>
                <w:sz w:val="32"/>
                <w:szCs w:val="32"/>
                <w:highlight w:val="none"/>
                <w:lang w:val="en-US" w:eastAsia="zh-CN"/>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7" w:type="pct"/>
            <w:gridSpan w:val="3"/>
            <w:tcBorders>
              <w:top w:val="nil"/>
              <w:left w:val="nil"/>
              <w:bottom w:val="single" w:color="auto" w:sz="4" w:space="0"/>
              <w:right w:val="nil"/>
            </w:tcBorders>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 xml:space="preserve">编制部门：石家庄高新技术产业开发区科学技术局                                                                                      </w:t>
            </w:r>
          </w:p>
        </w:tc>
        <w:tc>
          <w:tcPr>
            <w:tcW w:w="1217" w:type="pct"/>
            <w:gridSpan w:val="3"/>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2023年度</w:t>
            </w:r>
          </w:p>
        </w:tc>
        <w:tc>
          <w:tcPr>
            <w:tcW w:w="1854" w:type="pct"/>
            <w:gridSpan w:val="3"/>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w:t>
            </w:r>
          </w:p>
        </w:tc>
        <w:tc>
          <w:tcPr>
            <w:tcW w:w="623"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年初结转和结余</w:t>
            </w:r>
          </w:p>
        </w:tc>
        <w:tc>
          <w:tcPr>
            <w:tcW w:w="489"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本年收入</w:t>
            </w:r>
          </w:p>
        </w:tc>
        <w:tc>
          <w:tcPr>
            <w:tcW w:w="1609" w:type="pct"/>
            <w:gridSpan w:val="4"/>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本年支出</w:t>
            </w:r>
          </w:p>
        </w:tc>
        <w:tc>
          <w:tcPr>
            <w:tcW w:w="973" w:type="pct"/>
            <w:vMerge w:val="restart"/>
            <w:tcBorders>
              <w:top w:val="single" w:color="auto" w:sz="4" w:space="0"/>
              <w:left w:val="nil"/>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科目代码</w:t>
            </w:r>
          </w:p>
        </w:tc>
        <w:tc>
          <w:tcPr>
            <w:tcW w:w="703"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科目名称</w:t>
            </w:r>
          </w:p>
        </w:tc>
        <w:tc>
          <w:tcPr>
            <w:tcW w:w="62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489"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28"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小计</w:t>
            </w:r>
          </w:p>
        </w:tc>
        <w:tc>
          <w:tcPr>
            <w:tcW w:w="534" w:type="pct"/>
            <w:gridSpan w:val="2"/>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基本支出</w:t>
            </w:r>
          </w:p>
        </w:tc>
        <w:tc>
          <w:tcPr>
            <w:tcW w:w="54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项目支出</w:t>
            </w:r>
          </w:p>
        </w:tc>
        <w:tc>
          <w:tcPr>
            <w:tcW w:w="973" w:type="pct"/>
            <w:vMerge w:val="continue"/>
            <w:tcBorders>
              <w:left w:val="nil"/>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合计</w:t>
            </w:r>
          </w:p>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结转</w:t>
            </w:r>
          </w:p>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703"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2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489"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28"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34" w:type="pct"/>
            <w:gridSpan w:val="2"/>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46"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73" w:type="pct"/>
            <w:vMerge w:val="continue"/>
            <w:tcBorders>
              <w:left w:val="nil"/>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nil"/>
              <w:left w:val="single" w:color="000000" w:sz="4" w:space="0"/>
              <w:bottom w:val="single" w:color="auto"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703" w:type="pct"/>
            <w:vMerge w:val="continue"/>
            <w:tcBorders>
              <w:top w:val="nil"/>
              <w:left w:val="nil"/>
              <w:bottom w:val="single" w:color="auto"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62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489"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28"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34" w:type="pct"/>
            <w:gridSpan w:val="2"/>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546" w:type="pct"/>
            <w:vMerge w:val="continue"/>
            <w:tcBorders>
              <w:top w:val="nil"/>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973" w:type="pct"/>
            <w:vMerge w:val="continue"/>
            <w:tcBorders>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栏次</w:t>
            </w:r>
          </w:p>
        </w:tc>
        <w:tc>
          <w:tcPr>
            <w:tcW w:w="623" w:type="pct"/>
            <w:tcBorders>
              <w:top w:val="nil"/>
              <w:left w:val="single" w:color="auto"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w:t>
            </w:r>
          </w:p>
        </w:tc>
        <w:tc>
          <w:tcPr>
            <w:tcW w:w="48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w:t>
            </w:r>
          </w:p>
        </w:tc>
        <w:tc>
          <w:tcPr>
            <w:tcW w:w="528"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w:t>
            </w:r>
          </w:p>
        </w:tc>
        <w:tc>
          <w:tcPr>
            <w:tcW w:w="534"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w:t>
            </w:r>
          </w:p>
        </w:tc>
        <w:tc>
          <w:tcPr>
            <w:tcW w:w="54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5</w:t>
            </w:r>
          </w:p>
        </w:tc>
        <w:tc>
          <w:tcPr>
            <w:tcW w:w="9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304"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合计</w:t>
            </w:r>
          </w:p>
        </w:tc>
        <w:tc>
          <w:tcPr>
            <w:tcW w:w="623" w:type="pct"/>
            <w:tcBorders>
              <w:top w:val="nil"/>
              <w:left w:val="single" w:color="auto" w:sz="4" w:space="0"/>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489"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28"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34"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546"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973"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pP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注：本表反映部门本年度政府性基金预算财政拨款收入、支出及结转和结余情况。按要求以空表列示。</w:t>
            </w:r>
            <w:r>
              <w:rPr>
                <w:rFonts w:hint="eastAsia" w:ascii="仿宋" w:hAnsi="仿宋" w:eastAsia="仿宋" w:cs="仿宋"/>
                <w:i w:val="0"/>
                <w:iCs w:val="0"/>
                <w:color w:val="000000"/>
                <w:kern w:val="0"/>
                <w:sz w:val="20"/>
                <w:szCs w:val="20"/>
                <w:highlight w:val="none"/>
                <w:u w:val="none"/>
                <w:lang w:val="en-US" w:eastAsia="zh-CN" w:bidi="ar"/>
              </w:rPr>
              <w:br w:type="page"/>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eepNext w:val="0"/>
        <w:keepLines w:val="0"/>
        <w:widowControl/>
        <w:suppressLineNumbers w:val="0"/>
        <w:jc w:val="center"/>
        <w:textAlignment w:val="bottom"/>
        <w:rPr>
          <w:rFonts w:hint="eastAsia" w:ascii="仿宋" w:hAnsi="仿宋" w:eastAsia="仿宋" w:cs="仿宋"/>
          <w:spacing w:val="-2"/>
          <w:sz w:val="20"/>
          <w:highlight w:val="none"/>
          <w:lang w:val="en-US" w:eastAsia="zh-CN"/>
        </w:rPr>
      </w:pP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17"/>
        <w:gridCol w:w="731"/>
        <w:gridCol w:w="1296"/>
        <w:gridCol w:w="1332"/>
        <w:gridCol w:w="5"/>
        <w:gridCol w:w="47"/>
        <w:gridCol w:w="1281"/>
        <w:gridCol w:w="10"/>
        <w:gridCol w:w="13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b w:val="0"/>
                <w:bCs/>
                <w:color w:val="auto"/>
                <w:kern w:val="0"/>
                <w:sz w:val="32"/>
                <w:szCs w:val="32"/>
                <w:highlight w:val="none"/>
                <w:lang w:val="en-US" w:eastAsia="zh-CN"/>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8" w:type="pct"/>
            <w:gridSpan w:val="2"/>
            <w:tcBorders>
              <w:top w:val="nil"/>
              <w:left w:val="nil"/>
              <w:bottom w:val="single" w:color="auto" w:sz="4" w:space="0"/>
              <w:right w:val="nil"/>
            </w:tcBorders>
            <w:noWrap/>
            <w:vAlign w:val="bottom"/>
          </w:tcPr>
          <w:p>
            <w:pPr>
              <w:keepNext w:val="0"/>
              <w:keepLines w:val="0"/>
              <w:widowControl/>
              <w:suppressLineNumbers w:val="0"/>
              <w:jc w:val="both"/>
              <w:textAlignment w:val="bottom"/>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编制部门：石家庄高新技术产业开发区科学技术局</w:t>
            </w:r>
          </w:p>
        </w:tc>
        <w:tc>
          <w:tcPr>
            <w:tcW w:w="1666" w:type="pct"/>
            <w:gridSpan w:val="4"/>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2023年度</w:t>
            </w:r>
          </w:p>
        </w:tc>
        <w:tc>
          <w:tcPr>
            <w:tcW w:w="1624" w:type="pct"/>
            <w:gridSpan w:val="3"/>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515" w:type="pct"/>
            <w:gridSpan w:val="3"/>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kern w:val="0"/>
                <w:sz w:val="20"/>
                <w:szCs w:val="20"/>
                <w:highlight w:val="none"/>
                <w:u w:val="none"/>
                <w:lang w:val="en-US" w:eastAsia="zh-CN" w:bidi="ar"/>
              </w:rPr>
              <w:t xml:space="preserve"> 项目</w:t>
            </w:r>
          </w:p>
        </w:tc>
        <w:tc>
          <w:tcPr>
            <w:tcW w:w="2484" w:type="pct"/>
            <w:gridSpan w:val="6"/>
            <w:vMerge w:val="restart"/>
            <w:tcBorders>
              <w:top w:val="single" w:color="auto"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515" w:type="pct"/>
            <w:gridSpan w:val="3"/>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c>
          <w:tcPr>
            <w:tcW w:w="2484" w:type="pct"/>
            <w:gridSpan w:val="6"/>
            <w:vMerge w:val="continue"/>
            <w:tcBorders>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54" w:type="pct"/>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科目代码</w:t>
            </w:r>
          </w:p>
        </w:tc>
        <w:tc>
          <w:tcPr>
            <w:tcW w:w="1260"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科目名称</w:t>
            </w:r>
          </w:p>
        </w:tc>
        <w:tc>
          <w:tcPr>
            <w:tcW w:w="831" w:type="pct"/>
            <w:gridSpan w:val="2"/>
            <w:vMerge w:val="restart"/>
            <w:tcBorders>
              <w:top w:val="nil"/>
              <w:left w:val="single" w:color="auto"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合计</w:t>
            </w:r>
          </w:p>
        </w:tc>
        <w:tc>
          <w:tcPr>
            <w:tcW w:w="831" w:type="pct"/>
            <w:gridSpan w:val="3"/>
            <w:vMerge w:val="restart"/>
            <w:tcBorders>
              <w:top w:val="nil"/>
              <w:left w:val="nil"/>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基本支出</w:t>
            </w:r>
          </w:p>
        </w:tc>
        <w:tc>
          <w:tcPr>
            <w:tcW w:w="821" w:type="pct"/>
            <w:vMerge w:val="restart"/>
            <w:tcBorders>
              <w:top w:val="nil"/>
              <w:left w:val="nil"/>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54" w:type="pct"/>
            <w:vMerge w:val="continue"/>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1260" w:type="pct"/>
            <w:gridSpan w:val="2"/>
            <w:vMerge w:val="continue"/>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831" w:type="pct"/>
            <w:gridSpan w:val="2"/>
            <w:vMerge w:val="continue"/>
            <w:tcBorders>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831" w:type="pct"/>
            <w:gridSpan w:val="3"/>
            <w:vMerge w:val="continue"/>
            <w:tcBorders>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c>
          <w:tcPr>
            <w:tcW w:w="821" w:type="pct"/>
            <w:vMerge w:val="continue"/>
            <w:tcBorders>
              <w:left w:val="nil"/>
              <w:bottom w:val="single" w:color="000000" w:sz="4" w:space="0"/>
              <w:right w:val="single" w:color="000000" w:sz="4" w:space="0"/>
            </w:tcBorders>
            <w:noWrap w:val="0"/>
            <w:vAlign w:val="center"/>
          </w:tcPr>
          <w:p>
            <w:pPr>
              <w:jc w:val="center"/>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15" w:type="pct"/>
            <w:gridSpan w:val="3"/>
            <w:tcBorders>
              <w:top w:val="single" w:color="auto" w:sz="4" w:space="0"/>
              <w:left w:val="single" w:color="auto" w:sz="4" w:space="0"/>
              <w:bottom w:val="single" w:color="000000"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栏次</w:t>
            </w:r>
          </w:p>
        </w:tc>
        <w:tc>
          <w:tcPr>
            <w:tcW w:w="828" w:type="pct"/>
            <w:tcBorders>
              <w:top w:val="nil"/>
              <w:left w:val="single" w:color="auto"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1</w:t>
            </w:r>
          </w:p>
        </w:tc>
        <w:tc>
          <w:tcPr>
            <w:tcW w:w="828" w:type="pct"/>
            <w:gridSpan w:val="3"/>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2</w:t>
            </w:r>
          </w:p>
        </w:tc>
        <w:tc>
          <w:tcPr>
            <w:tcW w:w="828"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15" w:type="pct"/>
            <w:gridSpan w:val="3"/>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合计</w:t>
            </w:r>
          </w:p>
        </w:tc>
        <w:tc>
          <w:tcPr>
            <w:tcW w:w="828" w:type="pct"/>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28" w:type="pct"/>
            <w:gridSpan w:val="3"/>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c>
          <w:tcPr>
            <w:tcW w:w="828" w:type="pct"/>
            <w:gridSpan w:val="2"/>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注：本表反映部门本年度国有资本经营预算财政拨款支出情况。按要求以空表列示。</w:t>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tbl>
      <w:tblPr>
        <w:tblStyle w:val="11"/>
        <w:tblpPr w:leftFromText="180" w:rightFromText="180" w:vertAnchor="text" w:horzAnchor="page" w:tblpX="282" w:tblpY="39"/>
        <w:tblOverlap w:val="never"/>
        <w:tblW w:w="721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7"/>
        <w:gridCol w:w="1226"/>
        <w:gridCol w:w="814"/>
        <w:gridCol w:w="946"/>
        <w:gridCol w:w="519"/>
        <w:gridCol w:w="544"/>
        <w:gridCol w:w="777"/>
        <w:gridCol w:w="845"/>
        <w:gridCol w:w="5"/>
        <w:gridCol w:w="1133"/>
        <w:gridCol w:w="640"/>
        <w:gridCol w:w="1027"/>
        <w:gridCol w:w="946"/>
        <w:gridCol w:w="11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4"/>
            <w:tcBorders>
              <w:top w:val="nil"/>
              <w:left w:val="nil"/>
              <w:bottom w:val="nil"/>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18"/>
                <w:szCs w:val="18"/>
                <w:highlight w:val="none"/>
                <w:u w:val="none"/>
              </w:rPr>
            </w:pPr>
            <w:r>
              <w:rPr>
                <w:rFonts w:hint="eastAsia" w:ascii="仿宋" w:hAnsi="仿宋" w:eastAsia="仿宋" w:cs="仿宋"/>
                <w:b w:val="0"/>
                <w:bCs/>
                <w:color w:val="auto"/>
                <w:kern w:val="0"/>
                <w:sz w:val="32"/>
                <w:szCs w:val="32"/>
                <w:highlight w:val="none"/>
                <w:lang w:val="en-US" w:eastAsia="zh-CN"/>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000" w:type="pct"/>
            <w:gridSpan w:val="14"/>
            <w:tcBorders>
              <w:top w:val="nil"/>
              <w:left w:val="nil"/>
              <w:bottom w:val="nil"/>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36" w:type="pct"/>
            <w:gridSpan w:val="5"/>
            <w:tcBorders>
              <w:top w:val="nil"/>
              <w:left w:val="nil"/>
              <w:bottom w:val="single" w:color="auto" w:sz="4" w:space="0"/>
              <w:right w:val="nil"/>
            </w:tcBorders>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编制部门：石家庄高新技术产业开发区科学技术局</w:t>
            </w:r>
          </w:p>
        </w:tc>
        <w:tc>
          <w:tcPr>
            <w:tcW w:w="933" w:type="pct"/>
            <w:gridSpan w:val="3"/>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2023年度</w:t>
            </w:r>
          </w:p>
        </w:tc>
        <w:tc>
          <w:tcPr>
            <w:tcW w:w="2129" w:type="pct"/>
            <w:gridSpan w:val="6"/>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506" w:type="pct"/>
            <w:gridSpan w:val="7"/>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预算数</w:t>
            </w:r>
          </w:p>
        </w:tc>
        <w:tc>
          <w:tcPr>
            <w:tcW w:w="2493" w:type="pct"/>
            <w:gridSpan w:val="7"/>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restar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合计</w:t>
            </w:r>
          </w:p>
        </w:tc>
        <w:tc>
          <w:tcPr>
            <w:tcW w:w="528"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因公出国（境）费</w:t>
            </w:r>
          </w:p>
        </w:tc>
        <w:tc>
          <w:tcPr>
            <w:tcW w:w="1217" w:type="pct"/>
            <w:gridSpan w:val="4"/>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公务用车购置及运行维护费</w:t>
            </w:r>
          </w:p>
        </w:tc>
        <w:tc>
          <w:tcPr>
            <w:tcW w:w="335"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公务接待费</w:t>
            </w:r>
          </w:p>
        </w:tc>
        <w:tc>
          <w:tcPr>
            <w:tcW w:w="366" w:type="pct"/>
            <w:gridSpan w:val="2"/>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合计</w:t>
            </w:r>
          </w:p>
        </w:tc>
        <w:tc>
          <w:tcPr>
            <w:tcW w:w="488"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因公出国（境）费</w:t>
            </w:r>
          </w:p>
        </w:tc>
        <w:tc>
          <w:tcPr>
            <w:tcW w:w="1126" w:type="pct"/>
            <w:gridSpan w:val="3"/>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公务用车购置及运行维护费</w:t>
            </w:r>
          </w:p>
        </w:tc>
        <w:tc>
          <w:tcPr>
            <w:tcW w:w="511"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continue"/>
            <w:tcBorders>
              <w:top w:val="nil"/>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528" w:type="pct"/>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350"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小计</w:t>
            </w:r>
          </w:p>
        </w:tc>
        <w:tc>
          <w:tcPr>
            <w:tcW w:w="40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公务用车购置费</w:t>
            </w:r>
          </w:p>
        </w:tc>
        <w:tc>
          <w:tcPr>
            <w:tcW w:w="458"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公务用车运行维护费</w:t>
            </w:r>
          </w:p>
        </w:tc>
        <w:tc>
          <w:tcPr>
            <w:tcW w:w="335" w:type="pct"/>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366" w:type="pct"/>
            <w:gridSpan w:val="2"/>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488" w:type="pct"/>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18"/>
                <w:szCs w:val="18"/>
                <w:highlight w:val="none"/>
                <w:u w:val="none"/>
              </w:rPr>
            </w:pPr>
          </w:p>
        </w:tc>
        <w:tc>
          <w:tcPr>
            <w:tcW w:w="27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小计</w:t>
            </w:r>
          </w:p>
        </w:tc>
        <w:tc>
          <w:tcPr>
            <w:tcW w:w="442"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公务用车购置费</w:t>
            </w:r>
          </w:p>
        </w:tc>
        <w:tc>
          <w:tcPr>
            <w:tcW w:w="40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公务用车运行维护费</w:t>
            </w:r>
          </w:p>
        </w:tc>
        <w:tc>
          <w:tcPr>
            <w:tcW w:w="511" w:type="pct"/>
            <w:vMerge w:val="continue"/>
            <w:tcBorders>
              <w:top w:val="nil"/>
              <w:left w:val="nil"/>
              <w:bottom w:val="single" w:color="000000" w:sz="4" w:space="0"/>
              <w:right w:val="single" w:color="000000" w:sz="4" w:space="0"/>
            </w:tcBorders>
            <w:noWrap/>
            <w:vAlign w:val="center"/>
          </w:tcPr>
          <w:p>
            <w:pPr>
              <w:jc w:val="center"/>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528"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2</w:t>
            </w:r>
          </w:p>
        </w:tc>
        <w:tc>
          <w:tcPr>
            <w:tcW w:w="350"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3</w:t>
            </w:r>
          </w:p>
        </w:tc>
        <w:tc>
          <w:tcPr>
            <w:tcW w:w="40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4</w:t>
            </w:r>
          </w:p>
        </w:tc>
        <w:tc>
          <w:tcPr>
            <w:tcW w:w="458"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5</w:t>
            </w:r>
          </w:p>
        </w:tc>
        <w:tc>
          <w:tcPr>
            <w:tcW w:w="33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6</w:t>
            </w:r>
          </w:p>
        </w:tc>
        <w:tc>
          <w:tcPr>
            <w:tcW w:w="366"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7</w:t>
            </w:r>
          </w:p>
        </w:tc>
        <w:tc>
          <w:tcPr>
            <w:tcW w:w="488"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8</w:t>
            </w:r>
          </w:p>
        </w:tc>
        <w:tc>
          <w:tcPr>
            <w:tcW w:w="27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9</w:t>
            </w:r>
          </w:p>
        </w:tc>
        <w:tc>
          <w:tcPr>
            <w:tcW w:w="442"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10</w:t>
            </w:r>
          </w:p>
        </w:tc>
        <w:tc>
          <w:tcPr>
            <w:tcW w:w="40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11</w:t>
            </w:r>
          </w:p>
        </w:tc>
        <w:tc>
          <w:tcPr>
            <w:tcW w:w="511"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nil"/>
              <w:left w:val="single" w:color="000000" w:sz="4" w:space="0"/>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sz w:val="18"/>
                <w:szCs w:val="18"/>
                <w:highlight w:val="none"/>
                <w:u w:val="none"/>
              </w:rPr>
              <w:t>2.00</w:t>
            </w:r>
          </w:p>
        </w:tc>
        <w:tc>
          <w:tcPr>
            <w:tcW w:w="528"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350"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07"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58"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33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sz w:val="18"/>
                <w:szCs w:val="18"/>
                <w:highlight w:val="none"/>
                <w:u w:val="none"/>
              </w:rPr>
              <w:t>2.00</w:t>
            </w:r>
          </w:p>
        </w:tc>
        <w:tc>
          <w:tcPr>
            <w:tcW w:w="366" w:type="pct"/>
            <w:gridSpan w:val="2"/>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88"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275"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42"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407"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c>
          <w:tcPr>
            <w:tcW w:w="511" w:type="pct"/>
            <w:tcBorders>
              <w:top w:val="nil"/>
              <w:left w:val="nil"/>
              <w:bottom w:val="single" w:color="000000" w:sz="4" w:space="0"/>
              <w:right w:val="single" w:color="000000" w:sz="4" w:space="0"/>
            </w:tcBorders>
            <w:noWrap/>
            <w:vAlign w:val="center"/>
          </w:tcPr>
          <w:p>
            <w:pPr>
              <w:jc w:val="right"/>
              <w:rPr>
                <w:rFonts w:hint="eastAsia" w:ascii="仿宋" w:hAnsi="仿宋" w:eastAsia="仿宋" w:cs="仿宋"/>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000" w:type="pct"/>
            <w:gridSpan w:val="14"/>
            <w:tcBorders>
              <w:top w:val="nil"/>
              <w:left w:val="nil"/>
              <w:bottom w:val="nil"/>
              <w:right w:val="nil"/>
            </w:tcBorders>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sectPr>
          <w:pgSz w:w="11906" w:h="16838"/>
          <w:pgMar w:top="1531" w:right="1984" w:bottom="1531" w:left="2098" w:header="851" w:footer="992" w:gutter="0"/>
          <w:cols w:space="720" w:num="1"/>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outlineLvl w:val="0"/>
        <w:rPr>
          <w:rFonts w:hint="default" w:ascii="Arial" w:hAnsi="Arial" w:eastAsia="Arial" w:cs="Arial"/>
          <w:highlight w:val="none"/>
        </w:rPr>
      </w:pPr>
      <w:r>
        <w:rPr>
          <w:rFonts w:hint="eastAsia" w:ascii="黑体" w:hAnsi="宋体" w:eastAsia="黑体" w:cs="黑体"/>
          <w:i w:val="0"/>
          <w:iCs w:val="0"/>
          <w:caps w:val="0"/>
          <w:color w:val="000000"/>
          <w:spacing w:val="0"/>
          <w:sz w:val="72"/>
          <w:szCs w:val="72"/>
          <w:highlight w:val="none"/>
          <w:shd w:val="clear" w:fill="FFFFFF"/>
        </w:rPr>
        <w:t>第三部分</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spacing w:val="-20"/>
          <w:highlight w:val="none"/>
        </w:rPr>
      </w:pPr>
      <w:r>
        <w:rPr>
          <w:rFonts w:hint="eastAsia" w:ascii="黑体" w:hAnsi="宋体" w:eastAsia="黑体" w:cs="黑体"/>
          <w:i w:val="0"/>
          <w:iCs w:val="0"/>
          <w:caps w:val="0"/>
          <w:color w:val="000000"/>
          <w:spacing w:val="-20"/>
          <w:sz w:val="72"/>
          <w:szCs w:val="72"/>
          <w:highlight w:val="none"/>
          <w:shd w:val="clear" w:fill="FFFFFF"/>
        </w:rPr>
        <w:t>202</w:t>
      </w:r>
      <w:r>
        <w:rPr>
          <w:rFonts w:hint="eastAsia" w:ascii="黑体" w:hAnsi="宋体" w:eastAsia="黑体" w:cs="黑体"/>
          <w:i w:val="0"/>
          <w:iCs w:val="0"/>
          <w:caps w:val="0"/>
          <w:color w:val="000000"/>
          <w:spacing w:val="-20"/>
          <w:sz w:val="72"/>
          <w:szCs w:val="72"/>
          <w:highlight w:val="none"/>
          <w:shd w:val="clear" w:fill="FFFFFF"/>
          <w:lang w:val="en-US" w:eastAsia="zh-CN"/>
        </w:rPr>
        <w:t>3</w:t>
      </w:r>
      <w:r>
        <w:rPr>
          <w:rFonts w:hint="eastAsia" w:ascii="黑体" w:hAnsi="宋体" w:eastAsia="黑体" w:cs="黑体"/>
          <w:i w:val="0"/>
          <w:iCs w:val="0"/>
          <w:caps w:val="0"/>
          <w:color w:val="000000"/>
          <w:spacing w:val="-20"/>
          <w:sz w:val="72"/>
          <w:szCs w:val="72"/>
          <w:highlight w:val="none"/>
          <w:shd w:val="clear" w:fill="FFFFFF"/>
        </w:rPr>
        <w:t>年</w:t>
      </w:r>
      <w:r>
        <w:rPr>
          <w:rFonts w:hint="eastAsia" w:ascii="黑体" w:hAnsi="宋体" w:eastAsia="黑体" w:cs="黑体"/>
          <w:i w:val="0"/>
          <w:iCs w:val="0"/>
          <w:caps w:val="0"/>
          <w:color w:val="000000"/>
          <w:spacing w:val="-20"/>
          <w:sz w:val="72"/>
          <w:szCs w:val="72"/>
          <w:highlight w:val="none"/>
          <w:shd w:val="clear" w:fill="FFFFFF"/>
          <w:lang w:val="en-US" w:eastAsia="zh-CN"/>
        </w:rPr>
        <w:t>度</w:t>
      </w:r>
      <w:r>
        <w:rPr>
          <w:rFonts w:hint="eastAsia" w:ascii="黑体" w:hAnsi="宋体" w:eastAsia="黑体" w:cs="黑体"/>
          <w:i w:val="0"/>
          <w:iCs w:val="0"/>
          <w:caps w:val="0"/>
          <w:color w:val="000000"/>
          <w:spacing w:val="-20"/>
          <w:sz w:val="72"/>
          <w:szCs w:val="72"/>
          <w:highlight w:val="none"/>
          <w:shd w:val="clear" w:fill="FFFFFF"/>
        </w:rPr>
        <w:t>部门决算情况说明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i w:val="0"/>
          <w:iCs w:val="0"/>
          <w:caps w:val="0"/>
          <w:color w:val="000000"/>
          <w:spacing w:val="0"/>
          <w:sz w:val="18"/>
          <w:szCs w:val="18"/>
          <w:highlight w:val="none"/>
          <w:shd w:val="clear" w:fill="FFFFFF"/>
        </w:rPr>
      </w:pPr>
      <w:r>
        <w:rPr>
          <w:rFonts w:hint="default" w:ascii="Arial" w:hAnsi="Arial" w:eastAsia="Arial" w:cs="Arial"/>
          <w:i w:val="0"/>
          <w:iCs w:val="0"/>
          <w:caps w:val="0"/>
          <w:color w:val="000000"/>
          <w:spacing w:val="0"/>
          <w:sz w:val="18"/>
          <w:szCs w:val="18"/>
          <w:highlight w:val="none"/>
          <w:shd w:val="clear" w:fill="FFFFFF"/>
        </w:rPr>
        <w:t> </w:t>
      </w:r>
    </w:p>
    <w:p>
      <w:pPr>
        <w:rPr>
          <w:rFonts w:hint="default" w:ascii="Arial" w:hAnsi="Arial" w:eastAsia="Arial" w:cs="Arial"/>
          <w:i w:val="0"/>
          <w:iCs w:val="0"/>
          <w:caps w:val="0"/>
          <w:color w:val="000000"/>
          <w:spacing w:val="0"/>
          <w:sz w:val="18"/>
          <w:szCs w:val="18"/>
          <w:highlight w:val="none"/>
          <w:shd w:val="clear" w:fill="FFFFFF"/>
        </w:rPr>
      </w:pPr>
      <w:r>
        <w:rPr>
          <w:rFonts w:hint="default" w:ascii="Arial" w:hAnsi="Arial" w:eastAsia="Arial" w:cs="Arial"/>
          <w:i w:val="0"/>
          <w:iCs w:val="0"/>
          <w:caps w:val="0"/>
          <w:color w:val="000000"/>
          <w:spacing w:val="0"/>
          <w:sz w:val="18"/>
          <w:szCs w:val="18"/>
          <w:highlight w:val="none"/>
          <w:shd w:val="clear" w:fill="FFFFFF"/>
        </w:rPr>
        <w:br w:type="page"/>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i w:val="0"/>
          <w:iCs w:val="0"/>
          <w:caps w:val="0"/>
          <w:color w:val="000000"/>
          <w:spacing w:val="0"/>
          <w:sz w:val="18"/>
          <w:szCs w:val="18"/>
          <w:highlight w:val="none"/>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outlineLvl w:val="1"/>
        <w:rPr>
          <w:rFonts w:hint="default" w:ascii="黑体" w:hAnsi="Calibri" w:eastAsia="黑体" w:cs="Times New Roman"/>
          <w:kern w:val="2"/>
          <w:sz w:val="32"/>
          <w:szCs w:val="32"/>
          <w:lang w:val="en-US" w:eastAsia="zh-CN" w:bidi="ar-SA"/>
        </w:rPr>
      </w:pPr>
      <w:r>
        <w:rPr>
          <w:rFonts w:hint="eastAsia" w:ascii="黑体" w:hAnsi="Calibri" w:eastAsia="黑体" w:cs="Times New Roman"/>
          <w:kern w:val="2"/>
          <w:sz w:val="32"/>
          <w:szCs w:val="32"/>
          <w:lang w:val="en-US" w:eastAsia="zh-CN" w:bidi="ar-SA"/>
        </w:rPr>
        <w:t>一、收入支出决算总体情况说明</w:t>
      </w:r>
    </w:p>
    <w:p>
      <w:pPr>
        <w:autoSpaceDE w:val="0"/>
        <w:autoSpaceDN w:val="0"/>
        <w:adjustRightInd w:val="0"/>
        <w:spacing w:line="580" w:lineRule="exact"/>
        <w:ind w:firstLine="640" w:firstLineChars="20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eastAsia="zh-CN"/>
        </w:rPr>
        <w:t>本部门</w:t>
      </w:r>
      <w:r>
        <w:rPr>
          <w:rFonts w:hint="eastAsia" w:ascii="仿宋" w:hAnsi="仿宋" w:eastAsia="仿宋" w:cs="仿宋"/>
          <w:kern w:val="2"/>
          <w:sz w:val="32"/>
          <w:szCs w:val="32"/>
          <w:lang w:val="zh-CN"/>
        </w:rPr>
        <w:t>2023年度收、</w:t>
      </w:r>
      <w:r>
        <w:rPr>
          <w:rFonts w:hint="eastAsia" w:ascii="仿宋" w:hAnsi="仿宋" w:eastAsia="仿宋" w:cs="仿宋"/>
          <w:kern w:val="2"/>
          <w:sz w:val="32"/>
          <w:szCs w:val="32"/>
          <w:lang w:val="en-US" w:eastAsia="zh-CN"/>
        </w:rPr>
        <w:t>支</w:t>
      </w:r>
      <w:r>
        <w:rPr>
          <w:rFonts w:hint="eastAsia" w:ascii="仿宋" w:hAnsi="仿宋" w:eastAsia="仿宋" w:cs="仿宋"/>
          <w:kern w:val="2"/>
          <w:sz w:val="32"/>
          <w:szCs w:val="32"/>
          <w:lang w:val="zh-CN"/>
        </w:rPr>
        <w:t>总计(含结转和结余)</w:t>
      </w:r>
      <w:r>
        <w:rPr>
          <w:rFonts w:hint="eastAsia" w:ascii="仿宋" w:hAnsi="仿宋" w:eastAsia="仿宋" w:cs="仿宋"/>
          <w:kern w:val="2"/>
          <w:sz w:val="32"/>
          <w:szCs w:val="32"/>
          <w:lang w:val="zh-CN" w:eastAsia="zh-CN"/>
        </w:rPr>
        <w:t>33,391.44</w:t>
      </w:r>
      <w:r>
        <w:rPr>
          <w:rFonts w:hint="eastAsia" w:ascii="仿宋" w:hAnsi="仿宋" w:eastAsia="仿宋" w:cs="仿宋"/>
          <w:kern w:val="2"/>
          <w:sz w:val="32"/>
          <w:szCs w:val="32"/>
          <w:lang w:val="en-US" w:eastAsia="zh-CN"/>
        </w:rPr>
        <w:t>万</w:t>
      </w:r>
      <w:r>
        <w:rPr>
          <w:rFonts w:hint="eastAsia" w:ascii="仿宋" w:hAnsi="仿宋" w:eastAsia="仿宋" w:cs="仿宋"/>
          <w:kern w:val="2"/>
          <w:sz w:val="32"/>
          <w:szCs w:val="32"/>
        </w:rPr>
        <w:t>元，与2022年度决算相比</w:t>
      </w:r>
      <w:r>
        <w:rPr>
          <w:rFonts w:hint="eastAsia" w:ascii="仿宋" w:hAnsi="仿宋" w:eastAsia="仿宋" w:cs="仿宋"/>
          <w:kern w:val="2"/>
          <w:sz w:val="32"/>
          <w:szCs w:val="32"/>
          <w:lang w:eastAsia="zh-CN"/>
        </w:rPr>
        <w:t>，</w:t>
      </w:r>
      <w:r>
        <w:rPr>
          <w:rFonts w:hint="eastAsia" w:ascii="仿宋" w:hAnsi="仿宋" w:eastAsia="仿宋" w:cs="仿宋"/>
          <w:kern w:val="2"/>
          <w:sz w:val="32"/>
          <w:szCs w:val="32"/>
        </w:rPr>
        <w:t>收支各</w:t>
      </w:r>
      <w:r>
        <w:rPr>
          <w:rFonts w:hint="eastAsia" w:ascii="仿宋" w:hAnsi="仿宋" w:eastAsia="仿宋" w:cs="仿宋"/>
          <w:sz w:val="32"/>
          <w:szCs w:val="32"/>
          <w:highlight w:val="none"/>
          <w:lang w:val="zh-CN"/>
        </w:rPr>
        <w:t>增加10,767.92万元</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lang w:val="zh-CN"/>
        </w:rPr>
        <w:t>增长47.6%，</w:t>
      </w:r>
      <w:r>
        <w:rPr>
          <w:rFonts w:hint="eastAsia" w:ascii="仿宋" w:hAnsi="仿宋" w:eastAsia="仿宋" w:cs="仿宋"/>
          <w:kern w:val="2"/>
          <w:sz w:val="32"/>
          <w:szCs w:val="32"/>
        </w:rPr>
        <w:t>主要是</w:t>
      </w:r>
      <w:r>
        <w:rPr>
          <w:rFonts w:hint="eastAsia" w:ascii="仿宋" w:hAnsi="仿宋" w:eastAsia="仿宋" w:cs="仿宋"/>
          <w:kern w:val="2"/>
          <w:sz w:val="32"/>
          <w:szCs w:val="32"/>
          <w:lang w:val="en-US" w:eastAsia="zh-CN"/>
        </w:rPr>
        <w:t>2023年上级资金增多</w:t>
      </w:r>
      <w:r>
        <w:rPr>
          <w:rFonts w:hint="eastAsia" w:ascii="仿宋" w:hAnsi="仿宋" w:eastAsia="仿宋" w:cs="仿宋"/>
          <w:kern w:val="2"/>
          <w:sz w:val="32"/>
          <w:szCs w:val="32"/>
          <w:lang w:val="en-US" w:eastAsia="zh-CN" w:bidi="ar-SA"/>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仿宋_GB2312" w:cs="Times New Roman"/>
          <w:kern w:val="2"/>
          <w:sz w:val="32"/>
          <w:szCs w:val="32"/>
          <w:highlight w:val="yellow"/>
          <w:lang w:val="en-US" w:eastAsia="zh-CN" w:bidi="ar-SA"/>
        </w:rPr>
      </w:pPr>
      <w:r>
        <w:rPr>
          <w:rFonts w:hint="eastAsia"/>
          <w:lang w:val="en-US" w:eastAsia="zh-CN"/>
        </w:rPr>
        <w:t xml:space="preserve">      </w:t>
      </w:r>
      <w:r>
        <w:drawing>
          <wp:inline distT="0" distB="0" distL="114300" distR="114300">
            <wp:extent cx="4352290" cy="2312035"/>
            <wp:effectExtent l="4445" t="4445" r="17145" b="15240"/>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adjustRightInd w:val="0"/>
        <w:snapToGrid w:val="0"/>
        <w:spacing w:line="580" w:lineRule="exact"/>
        <w:ind w:firstLine="640" w:firstLineChars="200"/>
        <w:rPr>
          <w:rFonts w:hint="eastAsia" w:ascii="仿宋" w:hAnsi="仿宋" w:eastAsia="仿宋" w:cs="仿宋"/>
          <w:kern w:val="2"/>
          <w:sz w:val="32"/>
          <w:szCs w:val="32"/>
          <w:highlight w:val="yellow"/>
          <w:lang w:val="en-US" w:eastAsia="zh-CN" w:bidi="ar-SA"/>
        </w:rPr>
      </w:pPr>
      <w:r>
        <w:rPr>
          <w:rFonts w:hint="eastAsia" w:ascii="仿宋" w:hAnsi="仿宋" w:eastAsia="仿宋" w:cs="仿宋"/>
          <w:sz w:val="32"/>
          <w:szCs w:val="32"/>
          <w:highlight w:val="none"/>
          <w:lang w:val="en-US" w:eastAsia="zh-CN"/>
        </w:rPr>
        <w:t>图1：2022-2023年收支总计对比情况   单位：万元</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Arial" w:cs="Times New Roman"/>
          <w:sz w:val="32"/>
          <w:szCs w:val="32"/>
          <w:highlight w:val="none"/>
        </w:rPr>
      </w:pPr>
      <w:r>
        <w:rPr>
          <w:rFonts w:hint="default" w:ascii="Times New Roman" w:hAnsi="Times New Roman" w:eastAsia="Arial" w:cs="Times New Roman"/>
          <w:i w:val="0"/>
          <w:iCs w:val="0"/>
          <w:caps w:val="0"/>
          <w:color w:val="000000"/>
          <w:spacing w:val="0"/>
          <w:sz w:val="32"/>
          <w:szCs w:val="32"/>
          <w:highlight w:val="none"/>
          <w:shd w:val="clear"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outlineLvl w:val="1"/>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二、收入决算情况说明</w:t>
      </w:r>
    </w:p>
    <w:p>
      <w:pPr>
        <w:autoSpaceDE w:val="0"/>
        <w:autoSpaceDN w:val="0"/>
        <w:adjustRightInd w:val="0"/>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kern w:val="2"/>
          <w:sz w:val="32"/>
          <w:szCs w:val="32"/>
          <w:lang w:val="zh-CN" w:eastAsia="zh-CN"/>
        </w:rPr>
        <w:t>本部门2023</w:t>
      </w:r>
      <w:r>
        <w:rPr>
          <w:rFonts w:hint="eastAsia" w:ascii="仿宋" w:hAnsi="仿宋" w:eastAsia="仿宋" w:cs="仿宋"/>
          <w:kern w:val="2"/>
          <w:sz w:val="32"/>
          <w:szCs w:val="32"/>
          <w:lang w:val="zh-CN"/>
        </w:rPr>
        <w:t>年度本年收入合计</w:t>
      </w:r>
      <w:r>
        <w:rPr>
          <w:rFonts w:hint="eastAsia" w:ascii="仿宋" w:hAnsi="仿宋" w:eastAsia="仿宋" w:cs="仿宋"/>
          <w:sz w:val="32"/>
          <w:szCs w:val="32"/>
          <w:highlight w:val="none"/>
          <w:lang w:eastAsia="zh-CN"/>
        </w:rPr>
        <w:t>29,391.44</w:t>
      </w:r>
      <w:r>
        <w:rPr>
          <w:rFonts w:hint="eastAsia" w:ascii="仿宋" w:hAnsi="仿宋" w:eastAsia="仿宋" w:cs="仿宋"/>
          <w:kern w:val="2"/>
          <w:sz w:val="32"/>
          <w:szCs w:val="32"/>
          <w:lang w:val="zh-CN" w:eastAsia="zh-CN"/>
        </w:rPr>
        <w:t>万元</w:t>
      </w:r>
      <w:r>
        <w:rPr>
          <w:rFonts w:hint="eastAsia" w:ascii="仿宋" w:hAnsi="仿宋" w:eastAsia="仿宋" w:cs="仿宋"/>
          <w:kern w:val="2"/>
          <w:sz w:val="32"/>
          <w:szCs w:val="32"/>
          <w:lang w:val="zh-CN"/>
        </w:rPr>
        <w:t>，其中：财政拨款收入</w:t>
      </w:r>
      <w:r>
        <w:rPr>
          <w:rFonts w:hint="eastAsia" w:ascii="仿宋" w:hAnsi="仿宋" w:eastAsia="仿宋" w:cs="仿宋"/>
          <w:kern w:val="2"/>
          <w:sz w:val="32"/>
          <w:szCs w:val="32"/>
          <w:lang w:val="zh-CN" w:eastAsia="zh-CN"/>
        </w:rPr>
        <w:t>29,391.44</w:t>
      </w:r>
      <w:r>
        <w:rPr>
          <w:rFonts w:hint="eastAsia" w:ascii="仿宋" w:hAnsi="仿宋" w:eastAsia="仿宋" w:cs="仿宋"/>
          <w:kern w:val="2"/>
          <w:sz w:val="32"/>
          <w:szCs w:val="32"/>
          <w:lang w:val="zh-CN"/>
        </w:rPr>
        <w:t>万元，占</w:t>
      </w:r>
      <w:r>
        <w:rPr>
          <w:rFonts w:hint="eastAsia" w:ascii="仿宋" w:hAnsi="仿宋" w:eastAsia="仿宋" w:cs="仿宋"/>
          <w:kern w:val="2"/>
          <w:sz w:val="32"/>
          <w:szCs w:val="32"/>
          <w:lang w:val="zh-CN" w:eastAsia="zh-CN"/>
        </w:rPr>
        <w:t>100%；</w:t>
      </w:r>
      <w:r>
        <w:rPr>
          <w:rFonts w:hint="eastAsia" w:ascii="仿宋" w:hAnsi="仿宋" w:eastAsia="仿宋" w:cs="仿宋"/>
          <w:kern w:val="2"/>
          <w:sz w:val="32"/>
          <w:szCs w:val="32"/>
          <w:lang w:val="zh-CN"/>
        </w:rPr>
        <w:t>上级补助收入0万元，</w:t>
      </w:r>
      <w:r>
        <w:rPr>
          <w:rFonts w:hint="eastAsia" w:ascii="仿宋" w:hAnsi="仿宋" w:eastAsia="仿宋" w:cs="仿宋"/>
          <w:kern w:val="2"/>
          <w:sz w:val="32"/>
          <w:szCs w:val="32"/>
          <w:lang w:val="zh-CN" w:eastAsia="zh-CN"/>
        </w:rPr>
        <w:t>占</w:t>
      </w:r>
      <w:r>
        <w:rPr>
          <w:rFonts w:hint="eastAsia" w:ascii="仿宋" w:hAnsi="仿宋" w:eastAsia="仿宋" w:cs="仿宋"/>
          <w:kern w:val="2"/>
          <w:sz w:val="32"/>
          <w:szCs w:val="32"/>
          <w:lang w:val="zh-CN"/>
        </w:rPr>
        <w:t>0%；事业收入0万元，</w:t>
      </w:r>
      <w:r>
        <w:rPr>
          <w:rFonts w:hint="eastAsia" w:ascii="仿宋" w:hAnsi="仿宋" w:eastAsia="仿宋" w:cs="仿宋"/>
          <w:kern w:val="2"/>
          <w:sz w:val="32"/>
          <w:szCs w:val="32"/>
          <w:lang w:val="zh-CN" w:eastAsia="zh-CN"/>
        </w:rPr>
        <w:t>占</w:t>
      </w:r>
      <w:r>
        <w:rPr>
          <w:rFonts w:hint="eastAsia" w:ascii="仿宋" w:hAnsi="仿宋" w:eastAsia="仿宋" w:cs="仿宋"/>
          <w:kern w:val="2"/>
          <w:sz w:val="32"/>
          <w:szCs w:val="32"/>
          <w:lang w:val="zh-CN"/>
        </w:rPr>
        <w:t>0%；经营收入0万元，</w:t>
      </w:r>
      <w:r>
        <w:rPr>
          <w:rFonts w:hint="eastAsia" w:ascii="仿宋" w:hAnsi="仿宋" w:eastAsia="仿宋" w:cs="仿宋"/>
          <w:kern w:val="2"/>
          <w:sz w:val="32"/>
          <w:szCs w:val="32"/>
          <w:lang w:val="zh-CN" w:eastAsia="zh-CN"/>
        </w:rPr>
        <w:t>占</w:t>
      </w:r>
      <w:r>
        <w:rPr>
          <w:rFonts w:hint="eastAsia" w:ascii="仿宋" w:hAnsi="仿宋" w:eastAsia="仿宋" w:cs="仿宋"/>
          <w:kern w:val="2"/>
          <w:sz w:val="32"/>
          <w:szCs w:val="32"/>
          <w:lang w:val="zh-CN"/>
        </w:rPr>
        <w:t>0%；附属单位上缴收入0万元，</w:t>
      </w:r>
      <w:r>
        <w:rPr>
          <w:rFonts w:hint="eastAsia" w:ascii="仿宋" w:hAnsi="仿宋" w:eastAsia="仿宋" w:cs="仿宋"/>
          <w:kern w:val="2"/>
          <w:sz w:val="32"/>
          <w:szCs w:val="32"/>
          <w:lang w:val="zh-CN" w:eastAsia="zh-CN"/>
        </w:rPr>
        <w:t>占</w:t>
      </w:r>
      <w:r>
        <w:rPr>
          <w:rFonts w:hint="eastAsia" w:ascii="仿宋" w:hAnsi="仿宋" w:eastAsia="仿宋" w:cs="仿宋"/>
          <w:kern w:val="2"/>
          <w:sz w:val="32"/>
          <w:szCs w:val="32"/>
          <w:lang w:val="zh-CN"/>
        </w:rPr>
        <w:t>0%；其他收入0万元，</w:t>
      </w:r>
      <w:r>
        <w:rPr>
          <w:rFonts w:hint="eastAsia" w:ascii="仿宋" w:hAnsi="仿宋" w:eastAsia="仿宋" w:cs="仿宋"/>
          <w:kern w:val="2"/>
          <w:sz w:val="32"/>
          <w:szCs w:val="32"/>
          <w:lang w:val="zh-CN" w:eastAsia="zh-CN"/>
        </w:rPr>
        <w:t>占</w:t>
      </w:r>
      <w:r>
        <w:rPr>
          <w:rFonts w:hint="eastAsia" w:ascii="仿宋" w:hAnsi="仿宋" w:eastAsia="仿宋" w:cs="仿宋"/>
          <w:kern w:val="2"/>
          <w:sz w:val="32"/>
          <w:szCs w:val="32"/>
          <w:lang w:val="zh-CN"/>
        </w:rPr>
        <w:t>0%。</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outlineLvl w:val="1"/>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三、支出决算情况说明</w:t>
      </w:r>
    </w:p>
    <w:p>
      <w:pPr>
        <w:autoSpaceDE w:val="0"/>
        <w:autoSpaceDN w:val="0"/>
        <w:adjustRightInd w:val="0"/>
        <w:spacing w:line="580" w:lineRule="exact"/>
        <w:ind w:firstLine="600"/>
        <w:jc w:val="left"/>
        <w:rPr>
          <w:rFonts w:hint="eastAsia" w:ascii="仿宋" w:hAnsi="仿宋" w:eastAsia="仿宋" w:cs="仿宋"/>
          <w:kern w:val="2"/>
          <w:sz w:val="32"/>
          <w:szCs w:val="32"/>
          <w:lang w:val="zh-CN" w:eastAsia="zh-CN"/>
        </w:rPr>
      </w:pPr>
      <w:r>
        <w:rPr>
          <w:rFonts w:hint="eastAsia" w:ascii="仿宋" w:hAnsi="仿宋" w:eastAsia="仿宋" w:cs="仿宋"/>
          <w:kern w:val="2"/>
          <w:sz w:val="32"/>
          <w:szCs w:val="32"/>
          <w:lang w:val="zh-CN" w:eastAsia="zh-CN"/>
        </w:rPr>
        <w:t>本部门</w:t>
      </w:r>
      <w:r>
        <w:rPr>
          <w:rFonts w:hint="eastAsia" w:ascii="仿宋" w:hAnsi="仿宋" w:eastAsia="仿宋" w:cs="仿宋"/>
          <w:kern w:val="2"/>
          <w:sz w:val="32"/>
          <w:szCs w:val="32"/>
          <w:lang w:val="zh-CN" w:eastAsia="zh-CN"/>
        </w:rPr>
        <w:t>2023</w:t>
      </w:r>
      <w:r>
        <w:rPr>
          <w:rFonts w:hint="eastAsia" w:ascii="仿宋" w:hAnsi="仿宋" w:eastAsia="仿宋" w:cs="仿宋"/>
          <w:kern w:val="2"/>
          <w:sz w:val="32"/>
          <w:szCs w:val="32"/>
          <w:lang w:val="zh-CN"/>
        </w:rPr>
        <w:t>年度本年支出合计</w:t>
      </w:r>
      <w:r>
        <w:rPr>
          <w:rFonts w:hint="eastAsia" w:ascii="仿宋" w:hAnsi="仿宋" w:eastAsia="仿宋" w:cs="仿宋"/>
          <w:kern w:val="2"/>
          <w:sz w:val="32"/>
          <w:szCs w:val="32"/>
          <w:lang w:val="zh-CN" w:eastAsia="zh-CN"/>
        </w:rPr>
        <w:t>33,391.44万元</w:t>
      </w:r>
      <w:r>
        <w:rPr>
          <w:rFonts w:hint="eastAsia" w:ascii="仿宋" w:hAnsi="仿宋" w:eastAsia="仿宋" w:cs="仿宋"/>
          <w:kern w:val="2"/>
          <w:sz w:val="32"/>
          <w:szCs w:val="32"/>
          <w:lang w:val="zh-CN"/>
        </w:rPr>
        <w:t>，其中：基本支出</w:t>
      </w:r>
      <w:r>
        <w:rPr>
          <w:rFonts w:hint="eastAsia" w:ascii="仿宋" w:hAnsi="仿宋" w:eastAsia="仿宋" w:cs="仿宋"/>
          <w:kern w:val="2"/>
          <w:sz w:val="32"/>
          <w:szCs w:val="32"/>
          <w:lang w:val="zh-CN" w:eastAsia="zh-CN"/>
        </w:rPr>
        <w:t>613.47万元</w:t>
      </w:r>
      <w:r>
        <w:rPr>
          <w:rFonts w:hint="eastAsia" w:ascii="仿宋" w:hAnsi="仿宋" w:eastAsia="仿宋" w:cs="仿宋"/>
          <w:kern w:val="2"/>
          <w:sz w:val="32"/>
          <w:szCs w:val="32"/>
          <w:lang w:val="zh-CN"/>
        </w:rPr>
        <w:t>，</w:t>
      </w:r>
      <w:r>
        <w:rPr>
          <w:rFonts w:hint="eastAsia" w:ascii="仿宋" w:hAnsi="仿宋" w:eastAsia="仿宋" w:cs="仿宋"/>
          <w:kern w:val="2"/>
          <w:sz w:val="32"/>
          <w:szCs w:val="32"/>
          <w:lang w:val="zh-CN" w:eastAsia="zh-CN"/>
        </w:rPr>
        <w:t>占1.84%；</w:t>
      </w:r>
      <w:r>
        <w:rPr>
          <w:rFonts w:hint="eastAsia" w:ascii="仿宋" w:hAnsi="仿宋" w:eastAsia="仿宋" w:cs="仿宋"/>
          <w:kern w:val="2"/>
          <w:sz w:val="32"/>
          <w:szCs w:val="32"/>
          <w:lang w:val="zh-CN"/>
        </w:rPr>
        <w:t>项目支出</w:t>
      </w:r>
      <w:r>
        <w:rPr>
          <w:rFonts w:hint="eastAsia" w:ascii="仿宋" w:hAnsi="仿宋" w:eastAsia="仿宋" w:cs="仿宋"/>
          <w:kern w:val="2"/>
          <w:sz w:val="32"/>
          <w:szCs w:val="32"/>
          <w:lang w:val="zh-CN" w:eastAsia="zh-CN"/>
        </w:rPr>
        <w:t>32,777.97万元</w:t>
      </w:r>
      <w:r>
        <w:rPr>
          <w:rFonts w:hint="eastAsia" w:ascii="仿宋" w:hAnsi="仿宋" w:eastAsia="仿宋" w:cs="仿宋"/>
          <w:kern w:val="2"/>
          <w:sz w:val="32"/>
          <w:szCs w:val="32"/>
          <w:lang w:val="zh-CN"/>
        </w:rPr>
        <w:t>，</w:t>
      </w:r>
      <w:r>
        <w:rPr>
          <w:rFonts w:hint="eastAsia" w:ascii="仿宋" w:hAnsi="仿宋" w:eastAsia="仿宋" w:cs="仿宋"/>
          <w:kern w:val="2"/>
          <w:sz w:val="32"/>
          <w:szCs w:val="32"/>
          <w:lang w:val="zh-CN" w:eastAsia="zh-CN"/>
        </w:rPr>
        <w:t>占98.16%；</w:t>
      </w:r>
      <w:r>
        <w:rPr>
          <w:rFonts w:hint="eastAsia" w:ascii="仿宋" w:hAnsi="仿宋" w:eastAsia="仿宋" w:cs="仿宋"/>
          <w:kern w:val="2"/>
          <w:sz w:val="32"/>
          <w:szCs w:val="32"/>
          <w:lang w:val="zh-CN"/>
        </w:rPr>
        <w:t>上缴上级支出</w:t>
      </w:r>
      <w:r>
        <w:rPr>
          <w:rFonts w:hint="eastAsia" w:ascii="仿宋" w:hAnsi="仿宋" w:eastAsia="仿宋" w:cs="仿宋"/>
          <w:kern w:val="2"/>
          <w:sz w:val="32"/>
          <w:szCs w:val="32"/>
          <w:lang w:val="zh-CN" w:eastAsia="zh-CN"/>
        </w:rPr>
        <w:t>0万元</w:t>
      </w:r>
      <w:r>
        <w:rPr>
          <w:rFonts w:hint="eastAsia" w:ascii="仿宋" w:hAnsi="仿宋" w:eastAsia="仿宋" w:cs="仿宋"/>
          <w:kern w:val="2"/>
          <w:sz w:val="32"/>
          <w:szCs w:val="32"/>
          <w:lang w:val="zh-CN"/>
        </w:rPr>
        <w:t>，</w:t>
      </w:r>
      <w:r>
        <w:rPr>
          <w:rFonts w:hint="eastAsia" w:ascii="仿宋" w:hAnsi="仿宋" w:eastAsia="仿宋" w:cs="仿宋"/>
          <w:kern w:val="2"/>
          <w:sz w:val="32"/>
          <w:szCs w:val="32"/>
          <w:lang w:val="zh-CN" w:eastAsia="zh-CN"/>
        </w:rPr>
        <w:t>占0%；</w:t>
      </w:r>
      <w:r>
        <w:rPr>
          <w:rFonts w:hint="eastAsia" w:ascii="仿宋" w:hAnsi="仿宋" w:eastAsia="仿宋" w:cs="仿宋"/>
          <w:kern w:val="2"/>
          <w:sz w:val="32"/>
          <w:szCs w:val="32"/>
          <w:lang w:val="zh-CN"/>
        </w:rPr>
        <w:t>经营支出</w:t>
      </w:r>
      <w:r>
        <w:rPr>
          <w:rFonts w:hint="eastAsia" w:ascii="仿宋" w:hAnsi="仿宋" w:eastAsia="仿宋" w:cs="仿宋"/>
          <w:kern w:val="2"/>
          <w:sz w:val="32"/>
          <w:szCs w:val="32"/>
          <w:lang w:val="zh-CN" w:eastAsia="zh-CN"/>
        </w:rPr>
        <w:t>0万元</w:t>
      </w:r>
      <w:r>
        <w:rPr>
          <w:rFonts w:hint="eastAsia" w:ascii="仿宋" w:hAnsi="仿宋" w:eastAsia="仿宋" w:cs="仿宋"/>
          <w:kern w:val="2"/>
          <w:sz w:val="32"/>
          <w:szCs w:val="32"/>
          <w:lang w:val="zh-CN"/>
        </w:rPr>
        <w:t>，</w:t>
      </w:r>
      <w:r>
        <w:rPr>
          <w:rFonts w:hint="eastAsia" w:ascii="仿宋" w:hAnsi="仿宋" w:eastAsia="仿宋" w:cs="仿宋"/>
          <w:kern w:val="2"/>
          <w:sz w:val="32"/>
          <w:szCs w:val="32"/>
          <w:lang w:val="zh-CN" w:eastAsia="zh-CN"/>
        </w:rPr>
        <w:t>占0%；</w:t>
      </w:r>
      <w:r>
        <w:rPr>
          <w:rFonts w:hint="eastAsia" w:ascii="仿宋" w:hAnsi="仿宋" w:eastAsia="仿宋" w:cs="仿宋"/>
          <w:kern w:val="2"/>
          <w:sz w:val="32"/>
          <w:szCs w:val="32"/>
          <w:lang w:val="zh-CN"/>
        </w:rPr>
        <w:t>对附属单位补助支出</w:t>
      </w:r>
      <w:r>
        <w:rPr>
          <w:rFonts w:hint="eastAsia" w:ascii="仿宋" w:hAnsi="仿宋" w:eastAsia="仿宋" w:cs="仿宋"/>
          <w:kern w:val="2"/>
          <w:sz w:val="32"/>
          <w:szCs w:val="32"/>
          <w:lang w:val="zh-CN" w:eastAsia="zh-CN"/>
        </w:rPr>
        <w:t>0万元</w:t>
      </w:r>
      <w:r>
        <w:rPr>
          <w:rFonts w:hint="eastAsia" w:ascii="仿宋" w:hAnsi="仿宋" w:eastAsia="仿宋" w:cs="仿宋"/>
          <w:kern w:val="2"/>
          <w:sz w:val="32"/>
          <w:szCs w:val="32"/>
          <w:lang w:val="zh-CN"/>
        </w:rPr>
        <w:t>，</w:t>
      </w:r>
      <w:r>
        <w:rPr>
          <w:rFonts w:hint="eastAsia" w:ascii="仿宋" w:hAnsi="仿宋" w:eastAsia="仿宋" w:cs="仿宋"/>
          <w:kern w:val="2"/>
          <w:sz w:val="32"/>
          <w:szCs w:val="32"/>
          <w:lang w:val="zh-CN" w:eastAsia="zh-CN"/>
        </w:rPr>
        <w:t>占0%。</w:t>
      </w:r>
    </w:p>
    <w:p>
      <w:pPr>
        <w:autoSpaceDE w:val="0"/>
        <w:autoSpaceDN w:val="0"/>
        <w:adjustRightInd w:val="0"/>
        <w:spacing w:line="580" w:lineRule="exact"/>
        <w:ind w:firstLine="600"/>
        <w:jc w:val="left"/>
        <w:rPr>
          <w:rFonts w:hint="default" w:ascii="Times New Roman" w:hAnsi="Times New Roman" w:eastAsia="仿宋_GB2312" w:cs="Times New Roman"/>
          <w:kern w:val="2"/>
          <w:sz w:val="32"/>
          <w:szCs w:val="32"/>
          <w:lang w:val="en-US"/>
        </w:rPr>
      </w:pPr>
    </w:p>
    <w:p>
      <w:pPr>
        <w:autoSpaceDE w:val="0"/>
        <w:autoSpaceDN w:val="0"/>
        <w:adjustRightInd w:val="0"/>
        <w:jc w:val="left"/>
        <w:rPr>
          <w:rFonts w:hint="default" w:ascii="Times New Roman" w:hAnsi="Times New Roman" w:eastAsia="仿宋_GB2312" w:cs="Times New Roman"/>
          <w:sz w:val="32"/>
          <w:szCs w:val="32"/>
        </w:rPr>
      </w:pPr>
      <w:r>
        <w:drawing>
          <wp:inline distT="0" distB="0" distL="114300" distR="114300">
            <wp:extent cx="4599305" cy="2200275"/>
            <wp:effectExtent l="4445" t="4445" r="13970" b="5080"/>
            <wp:docPr id="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spacing w:line="580" w:lineRule="exact"/>
        <w:ind w:firstLine="2240" w:firstLineChars="700"/>
        <w:outlineLvl w:val="1"/>
        <w:rPr>
          <w:rFonts w:hint="default" w:ascii="Times New Roman" w:hAnsi="Times New Roman" w:eastAsia="黑体" w:cs="Times New Roman"/>
          <w:kern w:val="2"/>
          <w:sz w:val="32"/>
          <w:szCs w:val="32"/>
          <w:lang w:val="en-US" w:eastAsia="zh-CN" w:bidi="ar-SA"/>
        </w:rPr>
      </w:pPr>
      <w:r>
        <w:rPr>
          <w:rFonts w:hint="eastAsia" w:ascii="仿宋_GB2312" w:hAnsi="Times New Roman" w:eastAsia="仿宋_GB2312" w:cs="Wingdings"/>
          <w:sz w:val="32"/>
          <w:szCs w:val="32"/>
        </w:rPr>
        <w:t>图</w:t>
      </w:r>
      <w:r>
        <w:rPr>
          <w:rFonts w:hint="eastAsia" w:ascii="仿宋_GB2312" w:hAnsi="Times New Roman" w:eastAsia="仿宋_GB2312" w:cs="Wingdings"/>
          <w:sz w:val="32"/>
          <w:szCs w:val="32"/>
          <w:lang w:val="en-US" w:eastAsia="zh-CN"/>
        </w:rPr>
        <w:t>2：支出决算构成情况</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outlineLvl w:val="1"/>
        <w:rPr>
          <w:rFonts w:hint="default" w:ascii="Times New Roman" w:hAnsi="Times New Roman" w:eastAsia="Arial" w:cs="Times New Roman"/>
          <w:sz w:val="32"/>
          <w:szCs w:val="32"/>
          <w:highlight w:val="none"/>
        </w:rPr>
      </w:pPr>
      <w:r>
        <w:rPr>
          <w:rFonts w:hint="default" w:ascii="Times New Roman" w:hAnsi="Times New Roman" w:eastAsia="黑体" w:cs="Times New Roman"/>
          <w:kern w:val="2"/>
          <w:sz w:val="32"/>
          <w:szCs w:val="32"/>
          <w:lang w:val="en-US" w:eastAsia="zh-CN" w:bidi="ar-SA"/>
        </w:rPr>
        <w:t>四、财政拨款收入支出决算总体情况说明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left"/>
        <w:outlineLvl w:val="2"/>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（一）财政拨款收支与2022年度决算对比情况</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jc w:val="both"/>
        <w:rPr>
          <w:rFonts w:hint="eastAsia" w:ascii="仿宋" w:hAnsi="仿宋" w:eastAsia="仿宋" w:cs="仿宋"/>
          <w:sz w:val="32"/>
          <w:szCs w:val="32"/>
          <w:highlight w:val="none"/>
        </w:rPr>
      </w:pPr>
      <w:r>
        <w:rPr>
          <w:rFonts w:hint="eastAsia" w:ascii="仿宋" w:hAnsi="仿宋" w:eastAsia="仿宋" w:cs="仿宋"/>
          <w:color w:val="auto"/>
          <w:kern w:val="2"/>
          <w:sz w:val="32"/>
          <w:szCs w:val="32"/>
          <w:lang w:val="zh-CN" w:eastAsia="zh-CN" w:bidi="ar-SA"/>
        </w:rPr>
        <w:t>本部门</w:t>
      </w:r>
      <w:r>
        <w:rPr>
          <w:rFonts w:hint="eastAsia" w:ascii="仿宋" w:hAnsi="仿宋" w:eastAsia="仿宋" w:cs="仿宋"/>
          <w:color w:val="auto"/>
          <w:kern w:val="2"/>
          <w:sz w:val="32"/>
          <w:szCs w:val="32"/>
          <w:lang w:val="zh-CN" w:eastAsia="zh-CN" w:bidi="ar-SA"/>
        </w:rPr>
        <w:t>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年度财政拨款本年收入29,391.44</w:t>
      </w:r>
      <w:r>
        <w:rPr>
          <w:rFonts w:hint="eastAsia" w:ascii="仿宋" w:hAnsi="仿宋" w:eastAsia="仿宋" w:cs="仿宋"/>
          <w:color w:val="auto"/>
          <w:kern w:val="2"/>
          <w:sz w:val="32"/>
          <w:szCs w:val="32"/>
          <w:lang w:val="en-US" w:eastAsia="zh-CN" w:bidi="ar-SA"/>
        </w:rPr>
        <w:t>万</w:t>
      </w:r>
      <w:r>
        <w:rPr>
          <w:rFonts w:hint="eastAsia" w:ascii="仿宋" w:hAnsi="仿宋" w:eastAsia="仿宋" w:cs="仿宋"/>
          <w:color w:val="auto"/>
          <w:kern w:val="2"/>
          <w:sz w:val="32"/>
          <w:szCs w:val="32"/>
          <w:lang w:val="zh-CN" w:eastAsia="zh-CN" w:bidi="ar-SA"/>
        </w:rPr>
        <w:t>元,比上年</w:t>
      </w:r>
      <w:r>
        <w:rPr>
          <w:rFonts w:hint="eastAsia" w:ascii="仿宋" w:hAnsi="仿宋" w:eastAsia="仿宋" w:cs="仿宋"/>
          <w:sz w:val="32"/>
          <w:szCs w:val="32"/>
          <w:highlight w:val="none"/>
          <w:lang w:val="zh-CN"/>
        </w:rPr>
        <w:t>增加10,767.92万元</w:t>
      </w:r>
      <w:r>
        <w:rPr>
          <w:rFonts w:hint="eastAsia" w:ascii="仿宋" w:hAnsi="仿宋" w:eastAsia="仿宋" w:cs="仿宋"/>
          <w:color w:val="auto"/>
          <w:kern w:val="2"/>
          <w:sz w:val="32"/>
          <w:szCs w:val="32"/>
          <w:lang w:val="zh-CN" w:eastAsia="zh-CN" w:bidi="ar-SA"/>
        </w:rPr>
        <w:t>，</w:t>
      </w:r>
      <w:r>
        <w:rPr>
          <w:rFonts w:hint="eastAsia" w:ascii="仿宋" w:hAnsi="仿宋" w:eastAsia="仿宋" w:cs="仿宋"/>
          <w:sz w:val="32"/>
          <w:szCs w:val="32"/>
          <w:highlight w:val="none"/>
          <w:lang w:val="zh-CN"/>
        </w:rPr>
        <w:t>增长57.82%，</w:t>
      </w:r>
      <w:r>
        <w:rPr>
          <w:rFonts w:hint="eastAsia" w:ascii="仿宋" w:hAnsi="仿宋" w:eastAsia="仿宋" w:cs="仿宋"/>
          <w:color w:val="auto"/>
          <w:kern w:val="2"/>
          <w:sz w:val="32"/>
          <w:szCs w:val="32"/>
          <w:lang w:val="zh-CN" w:eastAsia="zh-CN" w:bidi="ar-SA"/>
        </w:rPr>
        <w:t>主要是</w:t>
      </w:r>
      <w:r>
        <w:rPr>
          <w:rFonts w:hint="eastAsia" w:ascii="仿宋" w:hAnsi="仿宋" w:eastAsia="仿宋" w:cs="仿宋"/>
          <w:kern w:val="2"/>
          <w:sz w:val="32"/>
          <w:szCs w:val="32"/>
          <w:lang w:val="en-US" w:eastAsia="zh-CN"/>
        </w:rPr>
        <w:t>2023年上级资金增多</w:t>
      </w:r>
      <w:r>
        <w:rPr>
          <w:rFonts w:hint="eastAsia" w:ascii="仿宋" w:hAnsi="仿宋" w:eastAsia="仿宋" w:cs="仿宋"/>
          <w:color w:val="auto"/>
          <w:kern w:val="2"/>
          <w:sz w:val="32"/>
          <w:szCs w:val="32"/>
          <w:lang w:val="zh-CN" w:eastAsia="zh-CN" w:bidi="ar-SA"/>
        </w:rPr>
        <w:t>；本年支出 33,391.44</w:t>
      </w:r>
      <w:r>
        <w:rPr>
          <w:rFonts w:hint="eastAsia" w:ascii="仿宋" w:hAnsi="仿宋" w:eastAsia="仿宋" w:cs="仿宋"/>
          <w:color w:val="auto"/>
          <w:kern w:val="2"/>
          <w:sz w:val="32"/>
          <w:szCs w:val="32"/>
          <w:lang w:val="en-US" w:eastAsia="zh-CN" w:bidi="ar-SA"/>
        </w:rPr>
        <w:t>万</w:t>
      </w:r>
      <w:r>
        <w:rPr>
          <w:rFonts w:hint="eastAsia" w:ascii="仿宋" w:hAnsi="仿宋" w:eastAsia="仿宋" w:cs="仿宋"/>
          <w:color w:val="auto"/>
          <w:kern w:val="2"/>
          <w:sz w:val="32"/>
          <w:szCs w:val="32"/>
          <w:lang w:val="zh-CN" w:eastAsia="zh-CN" w:bidi="ar-SA"/>
        </w:rPr>
        <w:t>元，比上年</w:t>
      </w:r>
      <w:r>
        <w:rPr>
          <w:rFonts w:hint="eastAsia" w:ascii="仿宋" w:hAnsi="仿宋" w:eastAsia="仿宋" w:cs="仿宋"/>
          <w:sz w:val="32"/>
          <w:szCs w:val="32"/>
          <w:highlight w:val="none"/>
          <w:lang w:val="zh-CN"/>
        </w:rPr>
        <w:t>增加14,767.92万元</w:t>
      </w:r>
      <w:r>
        <w:rPr>
          <w:rFonts w:hint="eastAsia" w:ascii="仿宋" w:hAnsi="仿宋" w:eastAsia="仿宋" w:cs="仿宋"/>
          <w:color w:val="auto"/>
          <w:kern w:val="2"/>
          <w:sz w:val="32"/>
          <w:szCs w:val="32"/>
          <w:lang w:val="zh-CN" w:eastAsia="zh-CN" w:bidi="ar-SA"/>
        </w:rPr>
        <w:t>，</w:t>
      </w:r>
      <w:r>
        <w:rPr>
          <w:rFonts w:hint="eastAsia" w:ascii="仿宋" w:hAnsi="仿宋" w:eastAsia="仿宋" w:cs="仿宋"/>
          <w:sz w:val="32"/>
          <w:szCs w:val="32"/>
          <w:highlight w:val="none"/>
          <w:lang w:val="zh-CN"/>
        </w:rPr>
        <w:t>增长79.3%，</w:t>
      </w:r>
      <w:r>
        <w:rPr>
          <w:rFonts w:hint="eastAsia" w:ascii="仿宋" w:hAnsi="仿宋" w:eastAsia="仿宋" w:cs="仿宋"/>
          <w:color w:val="auto"/>
          <w:kern w:val="2"/>
          <w:sz w:val="32"/>
          <w:szCs w:val="32"/>
          <w:lang w:val="zh-CN" w:eastAsia="zh-CN" w:bidi="ar-SA"/>
        </w:rPr>
        <w:t>主要</w:t>
      </w:r>
      <w:r>
        <w:rPr>
          <w:rFonts w:hint="eastAsia" w:ascii="仿宋" w:hAnsi="仿宋" w:eastAsia="仿宋" w:cs="仿宋"/>
          <w:kern w:val="2"/>
          <w:sz w:val="32"/>
          <w:szCs w:val="32"/>
          <w:lang w:val="en-US" w:eastAsia="zh-CN"/>
        </w:rPr>
        <w:t>2023年上级资金增多，支出增多</w:t>
      </w:r>
      <w:r>
        <w:rPr>
          <w:rFonts w:hint="eastAsia" w:ascii="仿宋" w:hAnsi="仿宋" w:eastAsia="仿宋" w:cs="仿宋"/>
          <w:color w:val="auto"/>
          <w:kern w:val="2"/>
          <w:sz w:val="32"/>
          <w:szCs w:val="32"/>
          <w:lang w:val="zh-CN" w:eastAsia="zh-CN" w:bidi="ar-SA"/>
        </w:rPr>
        <w:t>。具体情况如下：</w:t>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r>
        <w:rPr>
          <w:rFonts w:hint="eastAsia" w:ascii="仿宋" w:hAnsi="仿宋" w:eastAsia="仿宋" w:cs="仿宋"/>
          <w:kern w:val="2"/>
          <w:sz w:val="32"/>
          <w:szCs w:val="32"/>
          <w:lang w:val="zh-CN"/>
        </w:rPr>
        <w:t>1. 一般公共预算财政拨款本年收入29,391.44</w:t>
      </w:r>
      <w:r>
        <w:rPr>
          <w:rFonts w:hint="eastAsia" w:ascii="仿宋" w:hAnsi="仿宋" w:eastAsia="仿宋" w:cs="仿宋"/>
          <w:kern w:val="2"/>
          <w:sz w:val="32"/>
          <w:szCs w:val="32"/>
          <w:lang w:val="zh-CN" w:eastAsia="zh-CN"/>
        </w:rPr>
        <w:t>万元</w:t>
      </w:r>
      <w:r>
        <w:rPr>
          <w:rFonts w:hint="eastAsia" w:ascii="仿宋" w:hAnsi="仿宋" w:eastAsia="仿宋" w:cs="仿宋"/>
          <w:kern w:val="2"/>
          <w:sz w:val="32"/>
          <w:szCs w:val="32"/>
          <w:lang w:val="zh-CN"/>
        </w:rPr>
        <w:t>,比上年</w:t>
      </w:r>
      <w:r>
        <w:rPr>
          <w:rFonts w:hint="eastAsia" w:ascii="仿宋" w:hAnsi="仿宋" w:eastAsia="仿宋" w:cs="仿宋"/>
          <w:sz w:val="32"/>
          <w:szCs w:val="32"/>
          <w:highlight w:val="none"/>
          <w:lang w:val="zh-CN"/>
        </w:rPr>
        <w:t>增加10,767.92万元，增长57.82%，</w:t>
      </w:r>
      <w:r>
        <w:rPr>
          <w:rFonts w:hint="eastAsia" w:ascii="仿宋" w:hAnsi="仿宋" w:eastAsia="仿宋" w:cs="仿宋"/>
          <w:kern w:val="2"/>
          <w:sz w:val="32"/>
          <w:szCs w:val="32"/>
          <w:lang w:val="zh-CN"/>
        </w:rPr>
        <w:t>主要是</w:t>
      </w:r>
      <w:r>
        <w:rPr>
          <w:rFonts w:hint="eastAsia" w:ascii="仿宋" w:hAnsi="仿宋" w:eastAsia="仿宋" w:cs="仿宋"/>
          <w:kern w:val="2"/>
          <w:sz w:val="32"/>
          <w:szCs w:val="32"/>
          <w:lang w:val="en-US" w:eastAsia="zh-CN"/>
        </w:rPr>
        <w:t>2023年上级资金增多</w:t>
      </w:r>
      <w:r>
        <w:rPr>
          <w:rFonts w:hint="eastAsia" w:ascii="仿宋" w:hAnsi="仿宋" w:eastAsia="仿宋" w:cs="仿宋"/>
          <w:kern w:val="2"/>
          <w:sz w:val="32"/>
          <w:szCs w:val="32"/>
          <w:lang w:val="zh-CN"/>
        </w:rPr>
        <w:t>；本年支出 33,391.44</w:t>
      </w:r>
      <w:r>
        <w:rPr>
          <w:rFonts w:hint="eastAsia" w:ascii="仿宋" w:hAnsi="仿宋" w:eastAsia="仿宋" w:cs="仿宋"/>
          <w:kern w:val="2"/>
          <w:sz w:val="32"/>
          <w:szCs w:val="32"/>
          <w:lang w:val="en-US" w:eastAsia="zh-CN"/>
        </w:rPr>
        <w:t>万</w:t>
      </w:r>
      <w:r>
        <w:rPr>
          <w:rFonts w:hint="eastAsia" w:ascii="仿宋" w:hAnsi="仿宋" w:eastAsia="仿宋" w:cs="仿宋"/>
          <w:kern w:val="2"/>
          <w:sz w:val="32"/>
          <w:szCs w:val="32"/>
          <w:lang w:val="zh-CN"/>
        </w:rPr>
        <w:t>元，比上年</w:t>
      </w:r>
      <w:r>
        <w:rPr>
          <w:rFonts w:hint="eastAsia" w:ascii="仿宋" w:hAnsi="仿宋" w:eastAsia="仿宋" w:cs="仿宋"/>
          <w:sz w:val="32"/>
          <w:szCs w:val="32"/>
          <w:highlight w:val="none"/>
          <w:lang w:val="zh-CN"/>
        </w:rPr>
        <w:t>增加14,767.92万元</w:t>
      </w:r>
      <w:r>
        <w:rPr>
          <w:rFonts w:hint="eastAsia" w:ascii="仿宋" w:hAnsi="仿宋" w:eastAsia="仿宋" w:cs="仿宋"/>
          <w:kern w:val="2"/>
          <w:sz w:val="32"/>
          <w:szCs w:val="32"/>
          <w:lang w:val="zh-CN"/>
        </w:rPr>
        <w:t>，</w:t>
      </w:r>
      <w:r>
        <w:rPr>
          <w:rFonts w:hint="eastAsia" w:ascii="仿宋" w:hAnsi="仿宋" w:eastAsia="仿宋" w:cs="仿宋"/>
          <w:sz w:val="32"/>
          <w:szCs w:val="32"/>
          <w:highlight w:val="none"/>
          <w:lang w:val="zh-CN"/>
        </w:rPr>
        <w:t>增长79.3%，</w:t>
      </w:r>
      <w:r>
        <w:rPr>
          <w:rFonts w:hint="eastAsia" w:ascii="仿宋" w:hAnsi="仿宋" w:eastAsia="仿宋" w:cs="仿宋"/>
          <w:kern w:val="2"/>
          <w:sz w:val="32"/>
          <w:szCs w:val="32"/>
          <w:lang w:val="zh-CN"/>
        </w:rPr>
        <w:t>主要是</w:t>
      </w:r>
      <w:r>
        <w:rPr>
          <w:rFonts w:hint="eastAsia" w:ascii="仿宋" w:hAnsi="仿宋" w:eastAsia="仿宋" w:cs="仿宋"/>
          <w:kern w:val="2"/>
          <w:sz w:val="32"/>
          <w:szCs w:val="32"/>
          <w:lang w:val="en-US" w:eastAsia="zh-CN"/>
        </w:rPr>
        <w:t>2023年上级资金增多，支出增多</w:t>
      </w:r>
      <w:r>
        <w:rPr>
          <w:rFonts w:hint="eastAsia" w:ascii="仿宋" w:hAnsi="仿宋" w:eastAsia="仿宋" w:cs="仿宋"/>
          <w:kern w:val="2"/>
          <w:sz w:val="32"/>
          <w:szCs w:val="32"/>
          <w:lang w:val="zh-CN"/>
        </w:rPr>
        <w:t>。</w:t>
      </w:r>
    </w:p>
    <w:p>
      <w:pPr>
        <w:autoSpaceDE w:val="0"/>
        <w:autoSpaceDN w:val="0"/>
        <w:adjustRightInd w:val="0"/>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kern w:val="2"/>
          <w:sz w:val="32"/>
          <w:szCs w:val="32"/>
          <w:lang w:val="zh-CN"/>
        </w:rPr>
        <w:t>2. 政府性基金预算财政拨款本年收入0</w:t>
      </w:r>
      <w:r>
        <w:rPr>
          <w:rFonts w:hint="eastAsia" w:ascii="仿宋" w:hAnsi="仿宋" w:eastAsia="仿宋" w:cs="仿宋"/>
          <w:kern w:val="2"/>
          <w:sz w:val="32"/>
          <w:szCs w:val="32"/>
          <w:lang w:val="en-US" w:eastAsia="zh-CN"/>
        </w:rPr>
        <w:t>万</w:t>
      </w:r>
      <w:r>
        <w:rPr>
          <w:rFonts w:hint="eastAsia" w:ascii="仿宋" w:hAnsi="仿宋" w:eastAsia="仿宋" w:cs="仿宋"/>
          <w:kern w:val="2"/>
          <w:sz w:val="32"/>
          <w:szCs w:val="32"/>
          <w:lang w:val="zh-CN"/>
        </w:rPr>
        <w:t>元，比上年</w:t>
      </w:r>
      <w:r>
        <w:rPr>
          <w:rFonts w:hint="eastAsia" w:ascii="仿宋" w:hAnsi="仿宋" w:eastAsia="仿宋" w:cs="仿宋"/>
          <w:sz w:val="32"/>
          <w:szCs w:val="32"/>
          <w:highlight w:val="none"/>
          <w:lang w:val="zh-CN"/>
        </w:rPr>
        <w:t>持平</w:t>
      </w:r>
      <w:r>
        <w:rPr>
          <w:rFonts w:hint="eastAsia" w:ascii="仿宋" w:hAnsi="仿宋" w:eastAsia="仿宋" w:cs="仿宋"/>
          <w:kern w:val="2"/>
          <w:sz w:val="32"/>
          <w:szCs w:val="32"/>
          <w:lang w:val="zh-CN"/>
        </w:rPr>
        <w:t>，主要原因</w:t>
      </w:r>
      <w:r>
        <w:rPr>
          <w:rFonts w:hint="eastAsia" w:ascii="仿宋" w:hAnsi="仿宋" w:eastAsia="仿宋" w:cs="仿宋"/>
          <w:kern w:val="2"/>
          <w:sz w:val="32"/>
          <w:szCs w:val="32"/>
          <w:lang w:val="en-US" w:eastAsia="zh-CN"/>
        </w:rPr>
        <w:t>是我单位不存在</w:t>
      </w:r>
      <w:r>
        <w:rPr>
          <w:rFonts w:hint="eastAsia" w:ascii="仿宋" w:hAnsi="仿宋" w:eastAsia="仿宋" w:cs="仿宋"/>
          <w:kern w:val="2"/>
          <w:sz w:val="32"/>
          <w:szCs w:val="32"/>
          <w:lang w:val="zh-CN"/>
        </w:rPr>
        <w:t>政府性基金预算财政拨款；本年支出 0</w:t>
      </w:r>
      <w:r>
        <w:rPr>
          <w:rFonts w:hint="eastAsia" w:ascii="仿宋" w:hAnsi="仿宋" w:eastAsia="仿宋" w:cs="仿宋"/>
          <w:kern w:val="2"/>
          <w:sz w:val="32"/>
          <w:szCs w:val="32"/>
          <w:lang w:val="en-US" w:eastAsia="zh-CN"/>
        </w:rPr>
        <w:t>万</w:t>
      </w:r>
      <w:r>
        <w:rPr>
          <w:rFonts w:hint="eastAsia" w:ascii="仿宋" w:hAnsi="仿宋" w:eastAsia="仿宋" w:cs="仿宋"/>
          <w:kern w:val="2"/>
          <w:sz w:val="32"/>
          <w:szCs w:val="32"/>
          <w:lang w:val="zh-CN"/>
        </w:rPr>
        <w:t>元，比上年</w:t>
      </w:r>
      <w:r>
        <w:rPr>
          <w:rFonts w:hint="eastAsia" w:ascii="仿宋" w:hAnsi="仿宋" w:eastAsia="仿宋" w:cs="仿宋"/>
          <w:sz w:val="32"/>
          <w:szCs w:val="32"/>
          <w:highlight w:val="none"/>
          <w:lang w:val="zh-CN"/>
        </w:rPr>
        <w:t>持平</w:t>
      </w:r>
      <w:r>
        <w:rPr>
          <w:rFonts w:hint="eastAsia" w:ascii="仿宋" w:hAnsi="仿宋" w:eastAsia="仿宋" w:cs="仿宋"/>
          <w:kern w:val="2"/>
          <w:sz w:val="32"/>
          <w:szCs w:val="32"/>
          <w:lang w:val="zh-CN"/>
        </w:rPr>
        <w:t>，主要是</w:t>
      </w:r>
      <w:r>
        <w:rPr>
          <w:rFonts w:hint="eastAsia" w:ascii="仿宋" w:hAnsi="仿宋" w:eastAsia="仿宋" w:cs="仿宋"/>
          <w:kern w:val="2"/>
          <w:sz w:val="32"/>
          <w:szCs w:val="32"/>
          <w:lang w:val="en-US" w:eastAsia="zh-CN"/>
        </w:rPr>
        <w:t>我单位不存在</w:t>
      </w:r>
      <w:r>
        <w:rPr>
          <w:rFonts w:hint="eastAsia" w:ascii="仿宋" w:hAnsi="仿宋" w:eastAsia="仿宋" w:cs="仿宋"/>
          <w:kern w:val="2"/>
          <w:sz w:val="32"/>
          <w:szCs w:val="32"/>
          <w:lang w:val="zh-CN"/>
        </w:rPr>
        <w:t>政府性基金预算财政拨款。</w:t>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r>
        <w:rPr>
          <w:rFonts w:hint="eastAsia" w:ascii="仿宋" w:hAnsi="仿宋" w:eastAsia="仿宋" w:cs="仿宋"/>
          <w:kern w:val="2"/>
          <w:sz w:val="32"/>
          <w:szCs w:val="32"/>
          <w:lang w:val="zh-CN"/>
        </w:rPr>
        <w:t>3. 国有资本经营预算财政拨款本年收入0</w:t>
      </w:r>
      <w:r>
        <w:rPr>
          <w:rFonts w:hint="eastAsia" w:ascii="仿宋" w:hAnsi="仿宋" w:eastAsia="仿宋" w:cs="仿宋"/>
          <w:kern w:val="2"/>
          <w:sz w:val="32"/>
          <w:szCs w:val="32"/>
          <w:lang w:val="en-US" w:eastAsia="zh-CN"/>
        </w:rPr>
        <w:t>万</w:t>
      </w:r>
      <w:r>
        <w:rPr>
          <w:rFonts w:hint="eastAsia" w:ascii="仿宋" w:hAnsi="仿宋" w:eastAsia="仿宋" w:cs="仿宋"/>
          <w:kern w:val="2"/>
          <w:sz w:val="32"/>
          <w:szCs w:val="32"/>
          <w:lang w:val="zh-CN"/>
        </w:rPr>
        <w:t>元，比上年</w:t>
      </w:r>
      <w:r>
        <w:rPr>
          <w:rFonts w:hint="eastAsia" w:ascii="仿宋" w:hAnsi="仿宋" w:eastAsia="仿宋" w:cs="仿宋"/>
          <w:sz w:val="32"/>
          <w:szCs w:val="32"/>
          <w:highlight w:val="none"/>
          <w:lang w:val="zh-CN"/>
        </w:rPr>
        <w:t>持平</w:t>
      </w:r>
      <w:r>
        <w:rPr>
          <w:rFonts w:hint="eastAsia" w:ascii="仿宋" w:hAnsi="仿宋" w:eastAsia="仿宋" w:cs="仿宋"/>
          <w:kern w:val="2"/>
          <w:sz w:val="32"/>
          <w:szCs w:val="32"/>
          <w:lang w:val="zh-CN"/>
        </w:rPr>
        <w:t>，主要原因是</w:t>
      </w:r>
      <w:r>
        <w:rPr>
          <w:rFonts w:hint="eastAsia" w:ascii="仿宋" w:hAnsi="仿宋" w:eastAsia="仿宋" w:cs="仿宋"/>
          <w:kern w:val="2"/>
          <w:sz w:val="32"/>
          <w:szCs w:val="32"/>
          <w:lang w:val="en-US" w:eastAsia="zh-CN"/>
        </w:rPr>
        <w:t>我单位不存在</w:t>
      </w:r>
      <w:r>
        <w:rPr>
          <w:rFonts w:hint="eastAsia" w:ascii="仿宋" w:hAnsi="仿宋" w:eastAsia="仿宋" w:cs="仿宋"/>
          <w:kern w:val="2"/>
          <w:sz w:val="32"/>
          <w:szCs w:val="32"/>
          <w:lang w:val="zh-CN"/>
        </w:rPr>
        <w:t>政府性基金预算财政拨款；本年支出0</w:t>
      </w:r>
      <w:r>
        <w:rPr>
          <w:rFonts w:hint="eastAsia" w:ascii="仿宋" w:hAnsi="仿宋" w:eastAsia="仿宋" w:cs="仿宋"/>
          <w:kern w:val="2"/>
          <w:sz w:val="32"/>
          <w:szCs w:val="32"/>
          <w:lang w:val="en-US" w:eastAsia="zh-CN"/>
        </w:rPr>
        <w:t>万</w:t>
      </w:r>
      <w:r>
        <w:rPr>
          <w:rFonts w:hint="eastAsia" w:ascii="仿宋" w:hAnsi="仿宋" w:eastAsia="仿宋" w:cs="仿宋"/>
          <w:kern w:val="2"/>
          <w:sz w:val="32"/>
          <w:szCs w:val="32"/>
          <w:lang w:val="zh-CN"/>
        </w:rPr>
        <w:t>元，比上年</w:t>
      </w:r>
      <w:r>
        <w:rPr>
          <w:rFonts w:hint="eastAsia" w:ascii="仿宋" w:hAnsi="仿宋" w:eastAsia="仿宋" w:cs="仿宋"/>
          <w:sz w:val="32"/>
          <w:szCs w:val="32"/>
          <w:highlight w:val="none"/>
          <w:lang w:val="zh-CN"/>
        </w:rPr>
        <w:t>持平</w:t>
      </w:r>
      <w:r>
        <w:rPr>
          <w:rFonts w:hint="eastAsia" w:ascii="仿宋" w:hAnsi="仿宋" w:eastAsia="仿宋" w:cs="仿宋"/>
          <w:kern w:val="2"/>
          <w:sz w:val="32"/>
          <w:szCs w:val="32"/>
          <w:lang w:val="zh-CN"/>
        </w:rPr>
        <w:t>，主要是</w:t>
      </w:r>
      <w:r>
        <w:rPr>
          <w:rFonts w:hint="eastAsia" w:ascii="仿宋" w:hAnsi="仿宋" w:eastAsia="仿宋" w:cs="仿宋"/>
          <w:kern w:val="2"/>
          <w:sz w:val="32"/>
          <w:szCs w:val="32"/>
          <w:lang w:val="en-US" w:eastAsia="zh-CN"/>
        </w:rPr>
        <w:t>我单位不存在</w:t>
      </w:r>
      <w:r>
        <w:rPr>
          <w:rFonts w:hint="eastAsia" w:ascii="仿宋" w:hAnsi="仿宋" w:eastAsia="仿宋" w:cs="仿宋"/>
          <w:kern w:val="2"/>
          <w:sz w:val="32"/>
          <w:szCs w:val="32"/>
          <w:lang w:val="zh-CN"/>
        </w:rPr>
        <w:t>政府性基金预算财政拨款。</w:t>
      </w:r>
    </w:p>
    <w:p>
      <w:pPr>
        <w:autoSpaceDE w:val="0"/>
        <w:autoSpaceDN w:val="0"/>
        <w:adjustRightInd w:val="0"/>
        <w:spacing w:line="580" w:lineRule="exact"/>
        <w:ind w:firstLine="480" w:firstLineChars="200"/>
        <w:jc w:val="both"/>
        <w:rPr>
          <w:rFonts w:hint="default" w:ascii="Times New Roman" w:hAnsi="Times New Roman" w:eastAsia="仿宋_GB2312" w:cs="Times New Roman"/>
          <w:color w:val="auto"/>
          <w:kern w:val="0"/>
          <w:sz w:val="32"/>
          <w:szCs w:val="32"/>
          <w:highlight w:val="yellow"/>
          <w:lang w:val="en-US" w:eastAsia="zh-CN" w:bidi="ar-SA"/>
        </w:rPr>
      </w:pPr>
      <w:r>
        <w:drawing>
          <wp:anchor distT="0" distB="0" distL="114300" distR="114300" simplePos="0" relativeHeight="251667456" behindDoc="0" locked="0" layoutInCell="1" allowOverlap="1">
            <wp:simplePos x="0" y="0"/>
            <wp:positionH relativeFrom="column">
              <wp:posOffset>90170</wp:posOffset>
            </wp:positionH>
            <wp:positionV relativeFrom="paragraph">
              <wp:posOffset>164465</wp:posOffset>
            </wp:positionV>
            <wp:extent cx="5038725" cy="2569210"/>
            <wp:effectExtent l="4445" t="4445" r="16510" b="17145"/>
            <wp:wrapSquare wrapText="bothSides"/>
            <wp:docPr id="1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rFonts w:hint="eastAsia"/>
          <w:lang w:val="en-US" w:eastAsia="zh-CN"/>
        </w:rPr>
        <w:t xml:space="preserve"> </w:t>
      </w:r>
      <w:r>
        <w:rPr>
          <w:rFonts w:hint="eastAsia" w:ascii="仿宋" w:hAnsi="仿宋" w:eastAsia="仿宋" w:cs="仿宋"/>
          <w:sz w:val="32"/>
          <w:szCs w:val="32"/>
        </w:rPr>
        <w:t>图</w:t>
      </w:r>
      <w:r>
        <w:rPr>
          <w:rFonts w:hint="eastAsia" w:ascii="仿宋" w:hAnsi="仿宋" w:eastAsia="仿宋" w:cs="仿宋"/>
          <w:sz w:val="32"/>
          <w:szCs w:val="32"/>
          <w:lang w:val="en-US" w:eastAsia="zh-CN"/>
        </w:rPr>
        <w:t>3：2022、2023年度财政拨款收支情况  单位：万元</w:t>
      </w:r>
    </w:p>
    <w:p>
      <w:pPr>
        <w:snapToGrid w:val="0"/>
        <w:spacing w:line="580" w:lineRule="exact"/>
        <w:ind w:firstLine="643" w:firstLineChars="200"/>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rPr>
        <w:t>（二）财政拨款收支与年初预算数对比情况</w:t>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r>
        <w:rPr>
          <w:rFonts w:hint="eastAsia" w:ascii="仿宋" w:hAnsi="仿宋" w:eastAsia="仿宋" w:cs="仿宋"/>
          <w:color w:val="auto"/>
          <w:kern w:val="2"/>
          <w:sz w:val="32"/>
          <w:szCs w:val="32"/>
          <w:lang w:val="zh-CN" w:eastAsia="zh-CN" w:bidi="ar-SA"/>
        </w:rPr>
        <w:t>本部门</w:t>
      </w:r>
      <w:r>
        <w:rPr>
          <w:rFonts w:hint="eastAsia" w:ascii="仿宋" w:hAnsi="仿宋" w:eastAsia="仿宋" w:cs="仿宋"/>
          <w:color w:val="auto"/>
          <w:kern w:val="2"/>
          <w:sz w:val="32"/>
          <w:szCs w:val="32"/>
          <w:lang w:val="zh-CN" w:eastAsia="zh-CN" w:bidi="ar-SA"/>
        </w:rPr>
        <w:t>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年度财政拨款本年收入29,391.44万元，完成年初预算的78.96%，比年初预算</w:t>
      </w:r>
      <w:r>
        <w:rPr>
          <w:rFonts w:hint="eastAsia" w:ascii="仿宋" w:hAnsi="仿宋" w:eastAsia="仿宋" w:cs="仿宋"/>
          <w:sz w:val="32"/>
          <w:szCs w:val="32"/>
          <w:highlight w:val="none"/>
          <w:lang w:val="zh-CN"/>
        </w:rPr>
        <w:t>减少7,830.36万元</w:t>
      </w:r>
      <w:r>
        <w:rPr>
          <w:rFonts w:hint="eastAsia" w:ascii="仿宋" w:hAnsi="仿宋" w:eastAsia="仿宋" w:cs="仿宋"/>
          <w:color w:val="auto"/>
          <w:kern w:val="2"/>
          <w:sz w:val="32"/>
          <w:szCs w:val="32"/>
          <w:lang w:val="zh-CN" w:eastAsia="zh-CN" w:bidi="ar-SA"/>
        </w:rPr>
        <w:t>，决算数小于预算数主要原因是</w:t>
      </w:r>
      <w:r>
        <w:rPr>
          <w:rFonts w:hint="eastAsia" w:ascii="仿宋" w:hAnsi="仿宋" w:eastAsia="仿宋" w:cs="仿宋"/>
          <w:color w:val="auto"/>
          <w:kern w:val="2"/>
          <w:sz w:val="32"/>
          <w:szCs w:val="32"/>
          <w:lang w:val="en-US" w:eastAsia="zh-CN" w:bidi="ar-SA"/>
        </w:rPr>
        <w:t>年初预算数包含原循环化工园区科技局预算收入</w:t>
      </w:r>
      <w:r>
        <w:rPr>
          <w:rFonts w:hint="eastAsia" w:ascii="仿宋" w:hAnsi="仿宋" w:eastAsia="仿宋" w:cs="仿宋"/>
          <w:color w:val="auto"/>
          <w:kern w:val="2"/>
          <w:sz w:val="32"/>
          <w:szCs w:val="32"/>
          <w:lang w:val="zh-CN" w:eastAsia="zh-CN" w:bidi="ar-SA"/>
        </w:rPr>
        <w:t>；本年支出33,391.44万元，完成年初预算的89.71%，比年初预算</w:t>
      </w:r>
      <w:r>
        <w:rPr>
          <w:rFonts w:hint="eastAsia" w:ascii="仿宋" w:hAnsi="仿宋" w:eastAsia="仿宋" w:cs="仿宋"/>
          <w:sz w:val="32"/>
          <w:szCs w:val="32"/>
          <w:highlight w:val="none"/>
          <w:lang w:val="zh-CN"/>
        </w:rPr>
        <w:t>减少3,830.36万元</w:t>
      </w:r>
      <w:r>
        <w:rPr>
          <w:rFonts w:hint="eastAsia" w:ascii="仿宋" w:hAnsi="仿宋" w:eastAsia="仿宋" w:cs="仿宋"/>
          <w:color w:val="auto"/>
          <w:kern w:val="2"/>
          <w:sz w:val="32"/>
          <w:szCs w:val="32"/>
          <w:lang w:val="zh-CN" w:eastAsia="zh-CN" w:bidi="ar-SA"/>
        </w:rPr>
        <w:t>，决算数小于</w:t>
      </w:r>
      <w:r>
        <w:rPr>
          <w:rFonts w:hint="eastAsia" w:ascii="仿宋" w:hAnsi="仿宋" w:eastAsia="仿宋" w:cs="仿宋"/>
          <w:kern w:val="2"/>
          <w:sz w:val="32"/>
          <w:szCs w:val="32"/>
          <w:lang w:val="zh-CN"/>
        </w:rPr>
        <w:t>预算数主要原因是</w:t>
      </w:r>
      <w:r>
        <w:rPr>
          <w:rFonts w:hint="eastAsia" w:ascii="仿宋" w:hAnsi="仿宋" w:eastAsia="仿宋" w:cs="仿宋"/>
          <w:color w:val="auto"/>
          <w:kern w:val="2"/>
          <w:sz w:val="32"/>
          <w:szCs w:val="32"/>
          <w:lang w:val="en-US" w:eastAsia="zh-CN" w:bidi="ar-SA"/>
        </w:rPr>
        <w:t>年初预算数包含原循环化工园区科技局预算支出</w:t>
      </w:r>
      <w:r>
        <w:rPr>
          <w:rFonts w:hint="eastAsia" w:ascii="仿宋" w:hAnsi="仿宋" w:eastAsia="仿宋" w:cs="仿宋"/>
          <w:kern w:val="2"/>
          <w:sz w:val="32"/>
          <w:szCs w:val="32"/>
          <w:lang w:val="zh-CN"/>
        </w:rPr>
        <w:t>。具体情况如下：</w:t>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r>
        <w:rPr>
          <w:rFonts w:hint="eastAsia" w:ascii="仿宋" w:hAnsi="仿宋" w:eastAsia="仿宋" w:cs="仿宋"/>
          <w:kern w:val="2"/>
          <w:sz w:val="32"/>
          <w:szCs w:val="32"/>
          <w:lang w:val="en-US" w:eastAsia="zh-CN"/>
        </w:rPr>
        <w:t>1.</w:t>
      </w:r>
      <w:r>
        <w:rPr>
          <w:rFonts w:hint="eastAsia" w:ascii="仿宋" w:hAnsi="仿宋" w:eastAsia="仿宋" w:cs="仿宋"/>
          <w:kern w:val="2"/>
          <w:sz w:val="32"/>
          <w:szCs w:val="32"/>
          <w:lang w:val="zh-CN"/>
        </w:rPr>
        <w:t>一般公共预算财政拨款</w:t>
      </w:r>
      <w:r>
        <w:rPr>
          <w:rFonts w:hint="eastAsia" w:ascii="仿宋" w:hAnsi="仿宋" w:eastAsia="仿宋" w:cs="仿宋"/>
          <w:kern w:val="2"/>
          <w:sz w:val="32"/>
          <w:szCs w:val="32"/>
          <w:lang w:val="en-US" w:eastAsia="zh-CN"/>
        </w:rPr>
        <w:t>本年</w:t>
      </w:r>
      <w:r>
        <w:rPr>
          <w:rFonts w:hint="eastAsia" w:ascii="仿宋" w:hAnsi="仿宋" w:eastAsia="仿宋" w:cs="仿宋"/>
          <w:kern w:val="2"/>
          <w:sz w:val="32"/>
          <w:szCs w:val="32"/>
          <w:lang w:val="zh-CN"/>
        </w:rPr>
        <w:t>收入29,391.44万元，完成年初预算的 92.96%，比年初预算</w:t>
      </w:r>
      <w:r>
        <w:rPr>
          <w:rFonts w:hint="eastAsia" w:ascii="仿宋" w:hAnsi="仿宋" w:eastAsia="仿宋" w:cs="仿宋"/>
          <w:sz w:val="32"/>
          <w:szCs w:val="32"/>
          <w:highlight w:val="none"/>
          <w:lang w:val="zh-CN"/>
        </w:rPr>
        <w:t>减少2,225.47万元</w:t>
      </w:r>
      <w:r>
        <w:rPr>
          <w:rFonts w:hint="eastAsia" w:ascii="仿宋" w:hAnsi="仿宋" w:eastAsia="仿宋" w:cs="仿宋"/>
          <w:kern w:val="2"/>
          <w:sz w:val="32"/>
          <w:szCs w:val="32"/>
          <w:lang w:val="zh-CN"/>
        </w:rPr>
        <w:t>，主要原因是</w:t>
      </w:r>
      <w:r>
        <w:rPr>
          <w:rFonts w:hint="eastAsia" w:ascii="仿宋" w:hAnsi="仿宋" w:eastAsia="仿宋" w:cs="仿宋"/>
          <w:color w:val="auto"/>
          <w:kern w:val="2"/>
          <w:sz w:val="32"/>
          <w:szCs w:val="32"/>
          <w:lang w:val="en-US" w:eastAsia="zh-CN" w:bidi="ar-SA"/>
        </w:rPr>
        <w:t>京津冀审计涉企政策资金因为有企业注销和迁出没有进行资金补助</w:t>
      </w:r>
      <w:r>
        <w:rPr>
          <w:rFonts w:hint="eastAsia" w:ascii="仿宋" w:hAnsi="仿宋" w:eastAsia="仿宋" w:cs="仿宋"/>
          <w:kern w:val="2"/>
          <w:sz w:val="32"/>
          <w:szCs w:val="32"/>
          <w:lang w:val="zh-CN"/>
        </w:rPr>
        <w:t>；本年支出33,391.44万元，完成年初预算的105.61%，比年初预算</w:t>
      </w:r>
      <w:r>
        <w:rPr>
          <w:rFonts w:hint="eastAsia" w:ascii="仿宋" w:hAnsi="仿宋" w:eastAsia="仿宋" w:cs="仿宋"/>
          <w:sz w:val="32"/>
          <w:szCs w:val="32"/>
          <w:highlight w:val="none"/>
          <w:lang w:val="zh-CN"/>
        </w:rPr>
        <w:t>增加1,774.53万元</w:t>
      </w:r>
      <w:r>
        <w:rPr>
          <w:rFonts w:hint="eastAsia" w:ascii="仿宋" w:hAnsi="仿宋" w:eastAsia="仿宋" w:cs="仿宋"/>
          <w:kern w:val="2"/>
          <w:sz w:val="32"/>
          <w:szCs w:val="32"/>
          <w:lang w:val="zh-CN"/>
        </w:rPr>
        <w:t>，主要原因是主要是</w:t>
      </w:r>
      <w:r>
        <w:rPr>
          <w:rFonts w:hint="eastAsia" w:ascii="仿宋" w:hAnsi="仿宋" w:eastAsia="仿宋" w:cs="仿宋"/>
          <w:kern w:val="2"/>
          <w:sz w:val="32"/>
          <w:szCs w:val="32"/>
          <w:lang w:val="en-US" w:eastAsia="zh-CN"/>
        </w:rPr>
        <w:t>上级资金增多</w:t>
      </w:r>
      <w:r>
        <w:rPr>
          <w:rFonts w:hint="eastAsia" w:ascii="仿宋" w:hAnsi="仿宋" w:eastAsia="仿宋" w:cs="仿宋"/>
          <w:kern w:val="2"/>
          <w:sz w:val="32"/>
          <w:szCs w:val="32"/>
          <w:lang w:val="zh-CN"/>
        </w:rPr>
        <w:t>。</w:t>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r>
        <w:rPr>
          <w:rFonts w:hint="eastAsia" w:ascii="仿宋" w:hAnsi="仿宋" w:eastAsia="仿宋" w:cs="仿宋"/>
          <w:kern w:val="2"/>
          <w:sz w:val="32"/>
          <w:szCs w:val="32"/>
          <w:lang w:val="zh-CN"/>
        </w:rPr>
        <w:t>2. 政府性基金预算财政拨款本年收入0万元，完成年初预算的0%，比年初预算</w:t>
      </w:r>
      <w:r>
        <w:rPr>
          <w:rFonts w:hint="eastAsia" w:ascii="仿宋" w:hAnsi="仿宋" w:eastAsia="仿宋" w:cs="仿宋"/>
          <w:sz w:val="32"/>
          <w:szCs w:val="32"/>
          <w:highlight w:val="none"/>
          <w:lang w:val="zh-CN"/>
        </w:rPr>
        <w:t>减少5,604.89万元</w:t>
      </w:r>
      <w:r>
        <w:rPr>
          <w:rFonts w:hint="eastAsia" w:ascii="仿宋" w:hAnsi="仿宋" w:eastAsia="仿宋" w:cs="仿宋"/>
          <w:kern w:val="2"/>
          <w:sz w:val="32"/>
          <w:szCs w:val="32"/>
          <w:lang w:val="zh-CN"/>
        </w:rPr>
        <w:t>，主要原因是</w:t>
      </w:r>
      <w:r>
        <w:rPr>
          <w:rFonts w:hint="eastAsia" w:ascii="仿宋" w:hAnsi="仿宋" w:eastAsia="仿宋" w:cs="仿宋"/>
          <w:color w:val="auto"/>
          <w:kern w:val="2"/>
          <w:sz w:val="32"/>
          <w:szCs w:val="32"/>
          <w:lang w:val="en-US" w:eastAsia="zh-CN" w:bidi="ar-SA"/>
        </w:rPr>
        <w:t>年初政府性基金预算数为原循环化工园区科技局</w:t>
      </w:r>
      <w:r>
        <w:rPr>
          <w:rFonts w:hint="eastAsia" w:ascii="仿宋" w:hAnsi="仿宋" w:eastAsia="仿宋" w:cs="仿宋"/>
          <w:kern w:val="2"/>
          <w:sz w:val="32"/>
          <w:szCs w:val="32"/>
          <w:lang w:val="zh-CN"/>
        </w:rPr>
        <w:t>政府性基金预算；本年支出0万元，完成年初预算的0%，比年初预算</w:t>
      </w:r>
      <w:r>
        <w:rPr>
          <w:rFonts w:hint="eastAsia" w:ascii="仿宋" w:hAnsi="仿宋" w:eastAsia="仿宋" w:cs="仿宋"/>
          <w:sz w:val="32"/>
          <w:szCs w:val="32"/>
          <w:highlight w:val="none"/>
          <w:lang w:val="zh-CN"/>
        </w:rPr>
        <w:t>减少5,604.89万元</w:t>
      </w:r>
      <w:r>
        <w:rPr>
          <w:rFonts w:hint="eastAsia" w:ascii="仿宋" w:hAnsi="仿宋" w:eastAsia="仿宋" w:cs="仿宋"/>
          <w:kern w:val="2"/>
          <w:sz w:val="32"/>
          <w:szCs w:val="32"/>
          <w:lang w:val="zh-CN"/>
        </w:rPr>
        <w:t>，主要原因是</w:t>
      </w:r>
      <w:r>
        <w:rPr>
          <w:rFonts w:hint="eastAsia" w:ascii="仿宋" w:hAnsi="仿宋" w:eastAsia="仿宋" w:cs="仿宋"/>
          <w:color w:val="auto"/>
          <w:kern w:val="2"/>
          <w:sz w:val="32"/>
          <w:szCs w:val="32"/>
          <w:lang w:val="en-US" w:eastAsia="zh-CN" w:bidi="ar-SA"/>
        </w:rPr>
        <w:t>年初政府性基金预算数为原循环化工园区科技局</w:t>
      </w:r>
      <w:r>
        <w:rPr>
          <w:rFonts w:hint="eastAsia" w:ascii="仿宋" w:hAnsi="仿宋" w:eastAsia="仿宋" w:cs="仿宋"/>
          <w:kern w:val="2"/>
          <w:sz w:val="32"/>
          <w:szCs w:val="32"/>
          <w:lang w:val="zh-CN"/>
        </w:rPr>
        <w:t>政府性基金预算。</w:t>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r>
        <w:rPr>
          <w:rFonts w:hint="eastAsia" w:ascii="仿宋" w:hAnsi="仿宋" w:eastAsia="仿宋" w:cs="仿宋"/>
          <w:kern w:val="2"/>
          <w:sz w:val="32"/>
          <w:szCs w:val="32"/>
          <w:highlight w:val="none"/>
          <w:lang w:val="zh-CN"/>
        </w:rPr>
        <w:t>3. 国有</w:t>
      </w:r>
      <w:r>
        <w:rPr>
          <w:rFonts w:hint="eastAsia" w:ascii="仿宋" w:hAnsi="仿宋" w:eastAsia="仿宋" w:cs="仿宋"/>
          <w:kern w:val="2"/>
          <w:sz w:val="32"/>
          <w:szCs w:val="32"/>
          <w:lang w:val="zh-CN"/>
        </w:rPr>
        <w:t>资本经营预算财政拨款本年收入0万元，完成年初预算的0%，</w:t>
      </w:r>
      <w:r>
        <w:rPr>
          <w:rFonts w:hint="eastAsia" w:ascii="仿宋" w:hAnsi="仿宋" w:eastAsia="仿宋" w:cs="仿宋"/>
          <w:sz w:val="32"/>
          <w:szCs w:val="32"/>
          <w:highlight w:val="none"/>
          <w:lang w:val="zh-CN"/>
        </w:rPr>
        <w:t>比年初预算持平</w:t>
      </w:r>
      <w:r>
        <w:rPr>
          <w:rFonts w:hint="eastAsia" w:ascii="仿宋" w:hAnsi="仿宋" w:eastAsia="仿宋" w:cs="仿宋"/>
          <w:kern w:val="2"/>
          <w:sz w:val="32"/>
          <w:szCs w:val="32"/>
          <w:lang w:val="zh-CN"/>
        </w:rPr>
        <w:t>，主要原因是</w:t>
      </w:r>
      <w:r>
        <w:rPr>
          <w:rFonts w:hint="eastAsia" w:ascii="仿宋" w:hAnsi="仿宋" w:eastAsia="仿宋" w:cs="仿宋"/>
          <w:kern w:val="2"/>
          <w:sz w:val="32"/>
          <w:szCs w:val="32"/>
          <w:lang w:val="en-US" w:eastAsia="zh-CN"/>
        </w:rPr>
        <w:t>我单位不存在国有资本</w:t>
      </w:r>
      <w:r>
        <w:rPr>
          <w:rFonts w:hint="eastAsia" w:ascii="仿宋" w:hAnsi="仿宋" w:eastAsia="仿宋" w:cs="仿宋"/>
          <w:kern w:val="2"/>
          <w:sz w:val="32"/>
          <w:szCs w:val="32"/>
          <w:lang w:val="zh-CN"/>
        </w:rPr>
        <w:t>；本年支出0万元，完成年初预算的0%，比年初预算</w:t>
      </w:r>
      <w:r>
        <w:rPr>
          <w:rFonts w:hint="eastAsia" w:ascii="仿宋" w:hAnsi="仿宋" w:eastAsia="仿宋" w:cs="仿宋"/>
          <w:sz w:val="32"/>
          <w:szCs w:val="32"/>
          <w:highlight w:val="none"/>
          <w:lang w:val="zh-CN"/>
        </w:rPr>
        <w:t>持平</w:t>
      </w:r>
      <w:r>
        <w:rPr>
          <w:rFonts w:hint="eastAsia" w:ascii="仿宋" w:hAnsi="仿宋" w:eastAsia="仿宋" w:cs="仿宋"/>
          <w:kern w:val="2"/>
          <w:sz w:val="32"/>
          <w:szCs w:val="32"/>
          <w:lang w:val="zh-CN"/>
        </w:rPr>
        <w:t>，主要原因是</w:t>
      </w:r>
      <w:r>
        <w:rPr>
          <w:rFonts w:hint="eastAsia" w:ascii="仿宋" w:hAnsi="仿宋" w:eastAsia="仿宋" w:cs="仿宋"/>
          <w:kern w:val="2"/>
          <w:sz w:val="32"/>
          <w:szCs w:val="32"/>
          <w:lang w:val="en-US" w:eastAsia="zh-CN"/>
        </w:rPr>
        <w:t>我单位不存在国有资本</w:t>
      </w:r>
      <w:r>
        <w:rPr>
          <w:rFonts w:hint="eastAsia" w:ascii="仿宋" w:hAnsi="仿宋" w:eastAsia="仿宋" w:cs="仿宋"/>
          <w:kern w:val="2"/>
          <w:sz w:val="32"/>
          <w:szCs w:val="32"/>
          <w:lang w:val="zh-CN"/>
        </w:rPr>
        <w:t>。</w:t>
      </w:r>
    </w:p>
    <w:p>
      <w:pPr>
        <w:autoSpaceDE w:val="0"/>
        <w:autoSpaceDN w:val="0"/>
        <w:adjustRightInd w:val="0"/>
        <w:spacing w:line="580" w:lineRule="exact"/>
        <w:ind w:firstLine="480" w:firstLineChars="200"/>
        <w:jc w:val="both"/>
        <w:rPr>
          <w:rFonts w:hint="eastAsia" w:ascii="仿宋" w:hAnsi="仿宋" w:eastAsia="仿宋" w:cs="仿宋"/>
          <w:kern w:val="2"/>
          <w:sz w:val="32"/>
          <w:szCs w:val="32"/>
          <w:lang w:val="zh-CN"/>
        </w:rPr>
      </w:pPr>
      <w:r>
        <w:drawing>
          <wp:anchor distT="0" distB="0" distL="114300" distR="114300" simplePos="0" relativeHeight="251668480" behindDoc="0" locked="0" layoutInCell="1" allowOverlap="1">
            <wp:simplePos x="0" y="0"/>
            <wp:positionH relativeFrom="column">
              <wp:posOffset>300355</wp:posOffset>
            </wp:positionH>
            <wp:positionV relativeFrom="paragraph">
              <wp:posOffset>80010</wp:posOffset>
            </wp:positionV>
            <wp:extent cx="4589145" cy="2555875"/>
            <wp:effectExtent l="4445" t="5080" r="8890" b="14605"/>
            <wp:wrapSquare wrapText="bothSides"/>
            <wp:docPr id="1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p>
    <w:p>
      <w:pPr>
        <w:autoSpaceDE w:val="0"/>
        <w:autoSpaceDN w:val="0"/>
        <w:adjustRightInd w:val="0"/>
        <w:spacing w:line="580" w:lineRule="exact"/>
        <w:jc w:val="both"/>
        <w:rPr>
          <w:rFonts w:hint="eastAsia" w:ascii="仿宋" w:hAnsi="仿宋" w:eastAsia="仿宋" w:cs="仿宋"/>
          <w:kern w:val="2"/>
          <w:sz w:val="32"/>
          <w:szCs w:val="32"/>
          <w:lang w:val="zh-CN"/>
        </w:rPr>
      </w:pP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p>
    <w:p>
      <w:pPr>
        <w:autoSpaceDE w:val="0"/>
        <w:autoSpaceDN w:val="0"/>
        <w:adjustRightInd w:val="0"/>
        <w:spacing w:line="580" w:lineRule="exact"/>
        <w:ind w:firstLine="640" w:firstLineChars="200"/>
        <w:jc w:val="both"/>
        <w:rPr>
          <w:rFonts w:hint="eastAsia" w:ascii="仿宋" w:hAnsi="仿宋" w:eastAsia="仿宋" w:cs="仿宋"/>
          <w:kern w:val="2"/>
          <w:sz w:val="32"/>
          <w:szCs w:val="32"/>
          <w:lang w:val="zh-CN"/>
        </w:rPr>
      </w:pPr>
    </w:p>
    <w:p>
      <w:pPr>
        <w:autoSpaceDE w:val="0"/>
        <w:autoSpaceDN w:val="0"/>
        <w:adjustRightInd w:val="0"/>
        <w:spacing w:line="580" w:lineRule="exact"/>
        <w:jc w:val="both"/>
        <w:rPr>
          <w:rFonts w:hint="eastAsia" w:ascii="仿宋" w:hAnsi="仿宋" w:eastAsia="仿宋" w:cs="仿宋"/>
          <w:kern w:val="2"/>
          <w:sz w:val="32"/>
          <w:szCs w:val="32"/>
          <w:lang w:val="zh-CN"/>
        </w:rPr>
      </w:pPr>
      <w:r>
        <w:rPr>
          <w:rFonts w:hint="eastAsia" w:ascii="仿宋" w:hAnsi="仿宋" w:eastAsia="仿宋" w:cs="仿宋"/>
          <w:sz w:val="32"/>
          <w:szCs w:val="32"/>
        </w:rPr>
        <w:t>图</w:t>
      </w:r>
      <w:r>
        <w:rPr>
          <w:rFonts w:hint="eastAsia" w:ascii="仿宋" w:hAnsi="仿宋" w:eastAsia="仿宋" w:cs="仿宋"/>
          <w:sz w:val="32"/>
          <w:szCs w:val="32"/>
          <w:lang w:val="en-US" w:eastAsia="zh-CN"/>
        </w:rPr>
        <w:t>4：2023年度财政拨款收支预决算对比情况  单位：万元</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Arial" w:cs="Times New Roman"/>
          <w:highlight w:val="none"/>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仿宋_GB2312" w:cs="Times New Roman"/>
          <w:color w:val="auto"/>
          <w:kern w:val="0"/>
          <w:sz w:val="32"/>
          <w:szCs w:val="32"/>
          <w:highlight w:val="yellow"/>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both"/>
        <w:outlineLvl w:val="2"/>
        <w:rPr>
          <w:rFonts w:hint="default" w:ascii="Times New Roman" w:hAnsi="Times New Roman" w:eastAsia="楷体_GB2312" w:cs="Times New Roman"/>
          <w:b/>
          <w:bCs/>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（三）财政拨款支出决算结构情况</w:t>
      </w:r>
    </w:p>
    <w:p>
      <w:pPr>
        <w:keepNext w:val="0"/>
        <w:keepLines w:val="0"/>
        <w:pageBreakBefore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 w:hAnsi="仿宋" w:eastAsia="仿宋" w:cs="仿宋"/>
          <w:sz w:val="32"/>
          <w:szCs w:val="32"/>
          <w:highlight w:val="yellow"/>
        </w:rPr>
      </w:pPr>
      <w:r>
        <w:rPr>
          <w:rFonts w:hint="eastAsia" w:ascii="仿宋" w:hAnsi="仿宋" w:eastAsia="仿宋" w:cs="仿宋"/>
          <w:kern w:val="2"/>
          <w:sz w:val="32"/>
          <w:szCs w:val="32"/>
          <w:lang w:val="zh-CN"/>
        </w:rPr>
        <w:t>202</w:t>
      </w:r>
      <w:r>
        <w:rPr>
          <w:rFonts w:hint="eastAsia" w:ascii="仿宋" w:hAnsi="仿宋" w:eastAsia="仿宋" w:cs="仿宋"/>
          <w:kern w:val="2"/>
          <w:sz w:val="32"/>
          <w:szCs w:val="32"/>
          <w:lang w:val="en-US" w:eastAsia="zh-CN"/>
        </w:rPr>
        <w:t>3</w:t>
      </w:r>
      <w:r>
        <w:rPr>
          <w:rFonts w:hint="eastAsia" w:ascii="仿宋" w:hAnsi="仿宋" w:eastAsia="仿宋" w:cs="仿宋"/>
          <w:kern w:val="2"/>
          <w:sz w:val="32"/>
          <w:szCs w:val="32"/>
          <w:lang w:val="zh-CN"/>
        </w:rPr>
        <w:t>年度财政拨款支出33,391.44万元，主要用于以下方面：</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zh-CN" w:eastAsia="zh-CN" w:bidi="ar-SA"/>
        </w:rPr>
        <w:t>一般公共服务（类）支出250万元，占0.75%，</w:t>
      </w:r>
      <w:r>
        <w:rPr>
          <w:rFonts w:hint="eastAsia" w:ascii="仿宋" w:hAnsi="仿宋" w:eastAsia="仿宋" w:cs="仿宋"/>
          <w:color w:val="auto"/>
          <w:kern w:val="2"/>
          <w:sz w:val="32"/>
          <w:szCs w:val="32"/>
          <w:lang w:val="en-US" w:eastAsia="zh-CN" w:bidi="ar-SA"/>
        </w:rPr>
        <w:t>主要用于支出商贸事务</w:t>
      </w:r>
      <w:r>
        <w:rPr>
          <w:rFonts w:hint="eastAsia" w:ascii="仿宋" w:hAnsi="仿宋" w:eastAsia="仿宋" w:cs="仿宋"/>
          <w:color w:val="auto"/>
          <w:kern w:val="2"/>
          <w:sz w:val="32"/>
          <w:szCs w:val="32"/>
          <w:lang w:val="zh-CN" w:eastAsia="zh-CN" w:bidi="ar-SA"/>
        </w:rPr>
        <w:t>；科学技术（类）支出33,074.47万元，占99.05%，</w:t>
      </w:r>
      <w:r>
        <w:rPr>
          <w:rFonts w:hint="eastAsia" w:ascii="仿宋" w:hAnsi="仿宋" w:eastAsia="仿宋" w:cs="仿宋"/>
          <w:color w:val="auto"/>
          <w:kern w:val="2"/>
          <w:sz w:val="32"/>
          <w:szCs w:val="32"/>
          <w:lang w:val="en-US" w:eastAsia="zh-CN" w:bidi="ar-SA"/>
        </w:rPr>
        <w:t>主要用于支出科技技术管理事务、基础研究、技术研究与开发、科技条件与服务、科技重大项目</w:t>
      </w:r>
      <w:r>
        <w:rPr>
          <w:rFonts w:hint="eastAsia" w:ascii="仿宋" w:hAnsi="仿宋" w:eastAsia="仿宋" w:cs="仿宋"/>
          <w:color w:val="auto"/>
          <w:kern w:val="2"/>
          <w:sz w:val="32"/>
          <w:szCs w:val="32"/>
          <w:lang w:val="zh-CN" w:eastAsia="zh-CN" w:bidi="ar-SA"/>
        </w:rPr>
        <w:t>；社会保障和就业 （类）支出27.58万元，占0.08%，</w:t>
      </w:r>
      <w:r>
        <w:rPr>
          <w:rFonts w:hint="eastAsia" w:ascii="仿宋" w:hAnsi="仿宋" w:eastAsia="仿宋" w:cs="仿宋"/>
          <w:color w:val="auto"/>
          <w:kern w:val="2"/>
          <w:sz w:val="32"/>
          <w:szCs w:val="32"/>
          <w:lang w:val="en-US" w:eastAsia="zh-CN" w:bidi="ar-SA"/>
        </w:rPr>
        <w:t>主要用于支出行政事业单位养老支出</w:t>
      </w:r>
      <w:r>
        <w:rPr>
          <w:rFonts w:hint="eastAsia" w:ascii="仿宋" w:hAnsi="仿宋" w:eastAsia="仿宋" w:cs="仿宋"/>
          <w:color w:val="auto"/>
          <w:kern w:val="2"/>
          <w:sz w:val="32"/>
          <w:szCs w:val="32"/>
          <w:lang w:val="zh-CN" w:eastAsia="zh-CN" w:bidi="ar-SA"/>
        </w:rPr>
        <w:t>；卫生健康（类）支出11.72万元，占0.04%，</w:t>
      </w:r>
      <w:r>
        <w:rPr>
          <w:rFonts w:hint="eastAsia" w:ascii="仿宋" w:hAnsi="仿宋" w:eastAsia="仿宋" w:cs="仿宋"/>
          <w:color w:val="auto"/>
          <w:kern w:val="2"/>
          <w:sz w:val="32"/>
          <w:szCs w:val="32"/>
          <w:lang w:val="en-US" w:eastAsia="zh-CN" w:bidi="ar-SA"/>
        </w:rPr>
        <w:t>主要用于行政事业单位医疗</w:t>
      </w:r>
      <w:r>
        <w:rPr>
          <w:rFonts w:hint="eastAsia" w:ascii="仿宋" w:hAnsi="仿宋" w:eastAsia="仿宋" w:cs="仿宋"/>
          <w:color w:val="auto"/>
          <w:kern w:val="2"/>
          <w:sz w:val="32"/>
          <w:szCs w:val="32"/>
          <w:lang w:val="zh-CN" w:eastAsia="zh-CN" w:bidi="ar-SA"/>
        </w:rPr>
        <w:t>；住房保障（类）支出27.67万元，占0.08%，</w:t>
      </w:r>
      <w:r>
        <w:rPr>
          <w:rFonts w:hint="eastAsia" w:ascii="仿宋" w:hAnsi="仿宋" w:eastAsia="仿宋" w:cs="仿宋"/>
          <w:color w:val="auto"/>
          <w:kern w:val="2"/>
          <w:sz w:val="32"/>
          <w:szCs w:val="32"/>
          <w:lang w:val="en-US" w:eastAsia="zh-CN" w:bidi="ar-SA"/>
        </w:rPr>
        <w:t>主要用于住房改革支出。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43" w:firstLineChars="200"/>
        <w:jc w:val="left"/>
        <w:textAlignment w:val="auto"/>
        <w:rPr>
          <w:rFonts w:hint="default" w:ascii="Times New Roman" w:hAnsi="Times New Roman" w:eastAsia="楷体_GB2312" w:cs="Times New Roman"/>
          <w:b/>
          <w:bCs/>
          <w:kern w:val="2"/>
          <w:sz w:val="32"/>
          <w:szCs w:val="32"/>
          <w:lang w:val="en-US" w:eastAsia="zh-CN" w:bidi="ar-SA"/>
        </w:rPr>
      </w:pPr>
      <w:r>
        <w:rPr>
          <w:rFonts w:hint="eastAsia" w:ascii="Times New Roman" w:hAnsi="Times New Roman" w:eastAsia="楷体_GB2312" w:cs="Times New Roman"/>
          <w:b/>
          <w:bCs/>
          <w:kern w:val="2"/>
          <w:sz w:val="32"/>
          <w:szCs w:val="32"/>
          <w:lang w:val="en-US" w:eastAsia="zh-CN" w:bidi="ar-SA"/>
        </w:rPr>
        <w:t>（四）</w:t>
      </w:r>
      <w:r>
        <w:rPr>
          <w:rFonts w:hint="default" w:ascii="Times New Roman" w:hAnsi="Times New Roman" w:eastAsia="楷体_GB2312" w:cs="Times New Roman"/>
          <w:b/>
          <w:bCs/>
          <w:kern w:val="2"/>
          <w:sz w:val="32"/>
          <w:szCs w:val="32"/>
          <w:lang w:val="en-US" w:eastAsia="zh-CN" w:bidi="ar-SA"/>
        </w:rPr>
        <w:t>一般公共预算基本支出决算情况说明</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right="0" w:firstLine="640" w:firstLineChars="200"/>
        <w:jc w:val="both"/>
        <w:textAlignment w:val="auto"/>
        <w:rPr>
          <w:rFonts w:hint="eastAsia" w:ascii="仿宋" w:hAnsi="仿宋" w:eastAsia="仿宋" w:cs="仿宋"/>
          <w:color w:val="auto"/>
          <w:kern w:val="2"/>
          <w:sz w:val="32"/>
          <w:szCs w:val="32"/>
          <w:lang w:val="zh-CN" w:eastAsia="zh-CN" w:bidi="ar-SA"/>
        </w:rPr>
      </w:pPr>
      <w:r>
        <w:rPr>
          <w:rFonts w:hint="eastAsia" w:ascii="仿宋" w:hAnsi="仿宋" w:eastAsia="仿宋" w:cs="仿宋"/>
          <w:color w:val="auto"/>
          <w:kern w:val="2"/>
          <w:sz w:val="32"/>
          <w:szCs w:val="32"/>
          <w:lang w:val="zh-CN" w:eastAsia="zh-CN" w:bidi="ar-SA"/>
        </w:rPr>
        <w:t>2</w:t>
      </w:r>
      <w:r>
        <w:rPr>
          <w:rFonts w:hint="eastAsia" w:ascii="仿宋" w:hAnsi="仿宋" w:eastAsia="仿宋" w:cs="仿宋"/>
          <w:color w:val="auto"/>
          <w:kern w:val="2"/>
          <w:sz w:val="32"/>
          <w:szCs w:val="32"/>
          <w:lang w:val="zh-CN" w:eastAsia="zh-CN" w:bidi="ar-SA"/>
        </w:rPr>
        <w:t>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年度财政拨款基本支出613.47万元，其中：</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right="0" w:firstLine="640" w:firstLineChars="200"/>
        <w:jc w:val="both"/>
        <w:textAlignment w:val="auto"/>
        <w:rPr>
          <w:rFonts w:hint="eastAsia" w:ascii="仿宋" w:hAnsi="仿宋" w:eastAsia="仿宋" w:cs="仿宋"/>
          <w:sz w:val="32"/>
          <w:szCs w:val="32"/>
        </w:rPr>
      </w:pPr>
      <w:r>
        <w:rPr>
          <w:rFonts w:hint="eastAsia" w:ascii="仿宋" w:hAnsi="仿宋" w:eastAsia="仿宋" w:cs="仿宋"/>
          <w:color w:val="auto"/>
          <w:kern w:val="2"/>
          <w:sz w:val="32"/>
          <w:szCs w:val="32"/>
          <w:lang w:val="zh-CN" w:eastAsia="zh-CN" w:bidi="ar-SA"/>
        </w:rPr>
        <w:t>人员经费465.95万元，主要包括基本工资、津贴补贴、奖金、绩效工资、机关事业部门基本养老保险缴费、职业年金缴费、职工基本医疗保险缴费、公务员医疗补助缴费、住房公积金、医疗费、其他社会保障缴费、其他工资福利支出、离休费、 退休费、 抚恤金、生活补助、医疗费补助、奖励金、其他对</w:t>
      </w:r>
      <w:r>
        <w:rPr>
          <w:rFonts w:hint="eastAsia" w:ascii="仿宋" w:hAnsi="仿宋" w:eastAsia="仿宋" w:cs="仿宋"/>
          <w:i w:val="0"/>
          <w:iCs w:val="0"/>
          <w:caps w:val="0"/>
          <w:color w:val="333333"/>
          <w:spacing w:val="0"/>
          <w:sz w:val="32"/>
          <w:szCs w:val="32"/>
          <w:highlight w:val="none"/>
          <w:shd w:val="clear" w:fill="FFFFFF"/>
        </w:rPr>
        <w:t>个人和家庭</w:t>
      </w:r>
      <w:r>
        <w:rPr>
          <w:rFonts w:hint="eastAsia" w:ascii="仿宋" w:hAnsi="仿宋" w:eastAsia="仿宋" w:cs="仿宋"/>
          <w:color w:val="auto"/>
          <w:kern w:val="2"/>
          <w:sz w:val="32"/>
          <w:szCs w:val="32"/>
          <w:lang w:val="zh-CN" w:eastAsia="zh-CN" w:bidi="ar-SA"/>
        </w:rPr>
        <w:t>的补助支出。</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auto"/>
          <w:kern w:val="0"/>
          <w:sz w:val="32"/>
          <w:szCs w:val="32"/>
          <w:highlight w:val="yellow"/>
          <w:lang w:val="en-US" w:eastAsia="zh-CN" w:bidi="ar-SA"/>
        </w:rPr>
      </w:pPr>
      <w:r>
        <w:rPr>
          <w:rFonts w:hint="eastAsia" w:ascii="仿宋" w:hAnsi="仿宋" w:eastAsia="仿宋" w:cs="仿宋"/>
          <w:i w:val="0"/>
          <w:iCs w:val="0"/>
          <w:caps w:val="0"/>
          <w:color w:val="333333"/>
          <w:spacing w:val="0"/>
          <w:sz w:val="32"/>
          <w:szCs w:val="32"/>
          <w:highlight w:val="none"/>
          <w:shd w:val="clear" w:fill="FFFFFF"/>
        </w:rPr>
        <w:t> </w:t>
      </w:r>
      <w:r>
        <w:rPr>
          <w:rFonts w:hint="eastAsia" w:ascii="仿宋" w:hAnsi="仿宋" w:eastAsia="仿宋" w:cs="仿宋"/>
          <w:i w:val="0"/>
          <w:iCs w:val="0"/>
          <w:caps w:val="0"/>
          <w:color w:val="333333"/>
          <w:spacing w:val="0"/>
          <w:sz w:val="32"/>
          <w:szCs w:val="32"/>
          <w:highlight w:val="none"/>
          <w:shd w:val="clear" w:fill="FFFFFF"/>
          <w:lang w:val="en-US" w:eastAsia="zh-CN"/>
        </w:rPr>
        <w:t xml:space="preserve">   </w:t>
      </w:r>
      <w:r>
        <w:rPr>
          <w:rFonts w:hint="eastAsia" w:ascii="仿宋" w:hAnsi="仿宋" w:eastAsia="仿宋" w:cs="仿宋"/>
          <w:color w:val="auto"/>
          <w:kern w:val="2"/>
          <w:sz w:val="32"/>
          <w:szCs w:val="32"/>
          <w:lang w:val="zh-CN" w:eastAsia="zh-CN" w:bidi="ar-SA"/>
        </w:rPr>
        <w:t>公用经费147.52万元，主要包括办公费、印刷费、手续费、差旅费、委托业务费、福利费、其他商品和服务支出。</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outlineLvl w:val="1"/>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五、财政拨款“三公” 经费支出决算情况说明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both"/>
        <w:outlineLvl w:val="2"/>
        <w:rPr>
          <w:rFonts w:hint="default" w:ascii="Times New Roman" w:hAnsi="Times New Roman" w:eastAsia="楷体_GB2312" w:cs="Times New Roman"/>
          <w:b/>
          <w:bCs/>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（一）“三公”经费财政拨款支出决算总体情况说明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eastAsia="仿宋_GB2312" w:cs="Times New Roman"/>
          <w:color w:val="auto"/>
          <w:kern w:val="2"/>
          <w:sz w:val="32"/>
          <w:szCs w:val="32"/>
          <w:lang w:val="zh-CN" w:eastAsia="zh-CN" w:bidi="ar-SA"/>
        </w:rPr>
      </w:pPr>
      <w:r>
        <w:rPr>
          <w:rFonts w:hint="default" w:ascii="Times New Roman" w:hAnsi="Times New Roman" w:eastAsia="仿宋_GB2312" w:cs="Times New Roman"/>
          <w:i w:val="0"/>
          <w:iCs w:val="0"/>
          <w:caps w:val="0"/>
          <w:color w:val="333333"/>
          <w:spacing w:val="0"/>
          <w:sz w:val="33"/>
          <w:szCs w:val="33"/>
          <w:highlight w:val="none"/>
          <w:shd w:val="clear" w:fill="FFFFFF"/>
        </w:rPr>
        <w:t>   </w:t>
      </w:r>
      <w:r>
        <w:rPr>
          <w:rFonts w:hint="default" w:ascii="Times New Roman" w:hAnsi="Times New Roman" w:eastAsia="仿宋_GB2312" w:cs="Times New Roman"/>
          <w:i w:val="0"/>
          <w:iCs w:val="0"/>
          <w:caps w:val="0"/>
          <w:color w:val="333333"/>
          <w:spacing w:val="0"/>
          <w:sz w:val="33"/>
          <w:szCs w:val="33"/>
          <w:highlight w:val="none"/>
          <w:shd w:val="clear" w:fill="FFFFFF"/>
          <w:lang w:eastAsia="zh-CN"/>
        </w:rPr>
        <w:t xml:space="preserve"> </w:t>
      </w:r>
      <w:r>
        <w:rPr>
          <w:rFonts w:hint="eastAsia" w:ascii="仿宋" w:hAnsi="仿宋" w:eastAsia="仿宋" w:cs="仿宋"/>
          <w:color w:val="auto"/>
          <w:kern w:val="2"/>
          <w:sz w:val="32"/>
          <w:szCs w:val="32"/>
          <w:lang w:val="en-US" w:eastAsia="zh-CN" w:bidi="ar-SA"/>
        </w:rPr>
        <w:t xml:space="preserve"> </w:t>
      </w:r>
      <w:r>
        <w:rPr>
          <w:rFonts w:hint="eastAsia" w:ascii="仿宋" w:hAnsi="仿宋" w:eastAsia="仿宋" w:cs="仿宋"/>
          <w:color w:val="auto"/>
          <w:kern w:val="2"/>
          <w:sz w:val="32"/>
          <w:szCs w:val="32"/>
          <w:lang w:val="zh-CN" w:eastAsia="zh-CN" w:bidi="ar-SA"/>
        </w:rPr>
        <w:t>本部门</w:t>
      </w:r>
      <w:r>
        <w:rPr>
          <w:rFonts w:hint="eastAsia" w:ascii="仿宋" w:hAnsi="仿宋" w:eastAsia="仿宋" w:cs="仿宋"/>
          <w:color w:val="auto"/>
          <w:kern w:val="2"/>
          <w:sz w:val="32"/>
          <w:szCs w:val="32"/>
          <w:lang w:val="zh-CN" w:eastAsia="zh-CN" w:bidi="ar-SA"/>
        </w:rPr>
        <w:t>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年度“三公”经费财政拨款支出预算为2万元，支出决算为 0万元，完成预算的 0%，较预算减少2万元，降低100%，主要是</w:t>
      </w:r>
      <w:r>
        <w:rPr>
          <w:rFonts w:hint="eastAsia" w:ascii="仿宋" w:hAnsi="仿宋" w:eastAsia="仿宋" w:cs="仿宋"/>
          <w:sz w:val="32"/>
          <w:szCs w:val="32"/>
        </w:rPr>
        <w:t>落实中央八项规定精神和厉行节约要求，管理制度不断完善</w:t>
      </w:r>
      <w:r>
        <w:rPr>
          <w:rFonts w:hint="eastAsia" w:ascii="仿宋" w:hAnsi="仿宋" w:eastAsia="仿宋" w:cs="仿宋"/>
          <w:sz w:val="32"/>
          <w:szCs w:val="32"/>
          <w:lang w:eastAsia="zh-CN"/>
        </w:rPr>
        <w:t>；</w:t>
      </w:r>
      <w:r>
        <w:rPr>
          <w:rFonts w:hint="eastAsia" w:ascii="仿宋" w:hAnsi="仿宋" w:eastAsia="仿宋" w:cs="仿宋"/>
          <w:color w:val="auto"/>
          <w:kern w:val="2"/>
          <w:sz w:val="32"/>
          <w:szCs w:val="32"/>
          <w:lang w:val="zh-CN" w:eastAsia="zh-CN" w:bidi="ar-SA"/>
        </w:rPr>
        <w:t>较2022年度决算持平。</w:t>
      </w:r>
    </w:p>
    <w:p>
      <w:pPr>
        <w:adjustRightInd w:val="0"/>
        <w:snapToGrid w:val="0"/>
        <w:spacing w:line="580" w:lineRule="exact"/>
        <w:ind w:firstLine="643" w:firstLineChars="200"/>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rPr>
        <w:t>（二）“三公”经费财政拨款支出决算具体情况说明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both"/>
        <w:rPr>
          <w:rFonts w:hint="eastAsia" w:ascii="仿宋" w:hAnsi="仿宋" w:eastAsia="仿宋" w:cs="仿宋"/>
          <w:color w:val="auto"/>
          <w:kern w:val="2"/>
          <w:sz w:val="32"/>
          <w:szCs w:val="32"/>
          <w:lang w:val="en-US" w:eastAsia="zh-CN" w:bidi="ar-SA"/>
        </w:rPr>
      </w:pPr>
      <w:r>
        <w:rPr>
          <w:rFonts w:hint="eastAsia" w:ascii="仿宋" w:hAnsi="仿宋" w:eastAsia="仿宋" w:cs="仿宋"/>
          <w:b/>
          <w:bCs/>
          <w:kern w:val="2"/>
          <w:sz w:val="32"/>
          <w:szCs w:val="32"/>
          <w:lang w:val="en-US" w:eastAsia="zh-CN" w:bidi="ar-SA"/>
        </w:rPr>
        <w:t>1.因公出国（境）费支出情况。</w:t>
      </w:r>
      <w:r>
        <w:rPr>
          <w:rFonts w:hint="eastAsia" w:ascii="仿宋" w:hAnsi="仿宋" w:eastAsia="仿宋" w:cs="仿宋"/>
          <w:color w:val="auto"/>
          <w:kern w:val="2"/>
          <w:sz w:val="32"/>
          <w:szCs w:val="32"/>
          <w:lang w:val="zh-CN" w:eastAsia="zh-CN" w:bidi="ar-SA"/>
        </w:rPr>
        <w:t>本部门</w:t>
      </w:r>
      <w:r>
        <w:rPr>
          <w:rFonts w:hint="eastAsia" w:ascii="仿宋" w:hAnsi="仿宋" w:eastAsia="仿宋" w:cs="仿宋"/>
          <w:color w:val="auto"/>
          <w:kern w:val="2"/>
          <w:sz w:val="32"/>
          <w:szCs w:val="32"/>
          <w:lang w:val="en-US" w:eastAsia="zh-CN" w:bidi="ar-SA"/>
        </w:rPr>
        <w:t>2023年度因公出国（境）费支出预算为0万元,支出决算0万元。完成预算的0%。因公出国（境）费支出较预算</w:t>
      </w:r>
      <w:r>
        <w:rPr>
          <w:rFonts w:hint="eastAsia" w:ascii="仿宋" w:hAnsi="仿宋" w:eastAsia="仿宋" w:cs="仿宋"/>
          <w:color w:val="auto"/>
          <w:kern w:val="2"/>
          <w:sz w:val="32"/>
          <w:szCs w:val="32"/>
          <w:lang w:val="zh-CN" w:eastAsia="zh-CN" w:bidi="ar-SA"/>
        </w:rPr>
        <w:t>持平</w:t>
      </w:r>
      <w:r>
        <w:rPr>
          <w:rFonts w:hint="eastAsia" w:ascii="仿宋" w:hAnsi="仿宋" w:eastAsia="仿宋" w:cs="仿宋"/>
          <w:color w:val="auto"/>
          <w:kern w:val="2"/>
          <w:sz w:val="32"/>
          <w:szCs w:val="32"/>
          <w:lang w:val="en-US" w:eastAsia="zh-CN" w:bidi="ar-SA"/>
        </w:rPr>
        <w:t>，主要是</w:t>
      </w:r>
      <w:r>
        <w:rPr>
          <w:rFonts w:hint="eastAsia" w:ascii="仿宋" w:hAnsi="仿宋" w:eastAsia="仿宋" w:cs="仿宋"/>
          <w:sz w:val="32"/>
          <w:szCs w:val="32"/>
          <w:lang w:eastAsia="zh-CN"/>
        </w:rPr>
        <w:t>未</w:t>
      </w:r>
      <w:r>
        <w:rPr>
          <w:rFonts w:hint="eastAsia" w:ascii="仿宋" w:hAnsi="仿宋" w:eastAsia="仿宋" w:cs="仿宋"/>
          <w:sz w:val="32"/>
          <w:szCs w:val="32"/>
        </w:rPr>
        <w:t>安排因公出国出访任务</w:t>
      </w:r>
      <w:r>
        <w:rPr>
          <w:rFonts w:hint="eastAsia" w:ascii="仿宋" w:hAnsi="仿宋" w:eastAsia="仿宋" w:cs="仿宋"/>
          <w:color w:val="auto"/>
          <w:kern w:val="2"/>
          <w:sz w:val="32"/>
          <w:szCs w:val="32"/>
          <w:lang w:val="en-US" w:eastAsia="zh-CN" w:bidi="ar-SA"/>
        </w:rPr>
        <w:t>；较上年</w:t>
      </w:r>
      <w:r>
        <w:rPr>
          <w:rFonts w:hint="eastAsia" w:ascii="仿宋" w:hAnsi="仿宋" w:eastAsia="仿宋" w:cs="仿宋"/>
          <w:color w:val="auto"/>
          <w:kern w:val="2"/>
          <w:sz w:val="32"/>
          <w:szCs w:val="32"/>
          <w:lang w:val="zh-CN" w:eastAsia="zh-CN" w:bidi="ar-SA"/>
        </w:rPr>
        <w:t>持平</w:t>
      </w:r>
      <w:r>
        <w:rPr>
          <w:rFonts w:hint="eastAsia" w:ascii="仿宋" w:hAnsi="仿宋" w:eastAsia="仿宋" w:cs="仿宋"/>
          <w:color w:val="auto"/>
          <w:kern w:val="2"/>
          <w:sz w:val="32"/>
          <w:szCs w:val="32"/>
          <w:lang w:val="en-US" w:eastAsia="zh-CN" w:bidi="ar-SA"/>
        </w:rPr>
        <w:t>，主要是</w:t>
      </w:r>
      <w:r>
        <w:rPr>
          <w:rFonts w:hint="eastAsia" w:ascii="仿宋" w:hAnsi="仿宋" w:eastAsia="仿宋" w:cs="仿宋"/>
          <w:sz w:val="32"/>
          <w:szCs w:val="32"/>
          <w:lang w:eastAsia="zh-CN"/>
        </w:rPr>
        <w:t>未</w:t>
      </w:r>
      <w:r>
        <w:rPr>
          <w:rFonts w:hint="eastAsia" w:ascii="仿宋" w:hAnsi="仿宋" w:eastAsia="仿宋" w:cs="仿宋"/>
          <w:sz w:val="32"/>
          <w:szCs w:val="32"/>
        </w:rPr>
        <w:t>安排因公出国出访任务</w:t>
      </w:r>
      <w:r>
        <w:rPr>
          <w:rFonts w:hint="eastAsia" w:ascii="仿宋" w:hAnsi="仿宋" w:eastAsia="仿宋" w:cs="仿宋"/>
          <w:color w:val="auto"/>
          <w:kern w:val="2"/>
          <w:sz w:val="32"/>
          <w:szCs w:val="32"/>
          <w:lang w:val="en-US" w:eastAsia="zh-CN" w:bidi="ar-SA"/>
        </w:rPr>
        <w:t>。因公出国（境）团组0个、共0人、参加其他单位组织的因公出国（境）团组0个、共0人，无本单位组织的出国（境）团组。</w:t>
      </w:r>
    </w:p>
    <w:p>
      <w:pPr>
        <w:keepNext w:val="0"/>
        <w:keepLines w:val="0"/>
        <w:pageBreakBefore w:val="0"/>
        <w:kinsoku/>
        <w:wordWrap/>
        <w:overflowPunct/>
        <w:topLinePunct w:val="0"/>
        <w:autoSpaceDE/>
        <w:autoSpaceDN/>
        <w:bidi w:val="0"/>
        <w:adjustRightInd w:val="0"/>
        <w:snapToGrid w:val="0"/>
        <w:spacing w:line="580" w:lineRule="exact"/>
        <w:ind w:firstLine="643" w:firstLineChars="200"/>
        <w:jc w:val="both"/>
        <w:textAlignment w:val="auto"/>
        <w:rPr>
          <w:rFonts w:hint="eastAsia" w:ascii="仿宋" w:hAnsi="仿宋" w:eastAsia="仿宋" w:cs="仿宋"/>
          <w:sz w:val="32"/>
          <w:szCs w:val="32"/>
          <w:highlight w:val="none"/>
        </w:rPr>
      </w:pPr>
      <w:r>
        <w:rPr>
          <w:rFonts w:hint="eastAsia" w:ascii="仿宋" w:hAnsi="仿宋" w:eastAsia="仿宋" w:cs="仿宋"/>
          <w:b/>
          <w:bCs/>
          <w:kern w:val="2"/>
          <w:sz w:val="32"/>
          <w:szCs w:val="32"/>
          <w:lang w:val="en-US" w:eastAsia="zh-CN" w:bidi="ar-SA"/>
        </w:rPr>
        <w:t>2.</w:t>
      </w:r>
      <w:r>
        <w:rPr>
          <w:rFonts w:hint="eastAsia" w:ascii="仿宋" w:hAnsi="仿宋" w:eastAsia="仿宋" w:cs="仿宋"/>
          <w:b/>
          <w:bCs/>
          <w:sz w:val="32"/>
          <w:szCs w:val="32"/>
        </w:rPr>
        <w:t>公务用车购置及运行维护费支出情况。</w:t>
      </w:r>
      <w:r>
        <w:rPr>
          <w:rFonts w:hint="eastAsia" w:ascii="仿宋" w:hAnsi="仿宋" w:eastAsia="仿宋" w:cs="仿宋"/>
          <w:color w:val="auto"/>
          <w:kern w:val="2"/>
          <w:sz w:val="32"/>
          <w:szCs w:val="32"/>
          <w:lang w:val="zh-CN" w:eastAsia="zh-CN" w:bidi="ar-SA"/>
        </w:rPr>
        <w:t>本部门202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年度公务用车购置及运行维护费预算为0万元，支出决算 0万元，完成预算的0%,较预算持平，主要是</w:t>
      </w:r>
      <w:r>
        <w:rPr>
          <w:rFonts w:hint="eastAsia" w:ascii="仿宋" w:hAnsi="仿宋" w:eastAsia="仿宋" w:cs="仿宋"/>
          <w:sz w:val="32"/>
          <w:szCs w:val="32"/>
        </w:rPr>
        <w:t>无公务用车</w:t>
      </w:r>
      <w:r>
        <w:rPr>
          <w:rFonts w:hint="eastAsia" w:ascii="仿宋" w:hAnsi="仿宋" w:eastAsia="仿宋" w:cs="仿宋"/>
          <w:color w:val="auto"/>
          <w:kern w:val="2"/>
          <w:sz w:val="32"/>
          <w:szCs w:val="32"/>
          <w:lang w:val="zh-CN" w:eastAsia="zh-CN" w:bidi="ar-SA"/>
        </w:rPr>
        <w:t>；较上年持平，主要是</w:t>
      </w:r>
      <w:r>
        <w:rPr>
          <w:rFonts w:hint="eastAsia" w:ascii="仿宋" w:hAnsi="仿宋" w:eastAsia="仿宋" w:cs="仿宋"/>
          <w:sz w:val="32"/>
          <w:szCs w:val="32"/>
        </w:rPr>
        <w:t>无公务用车</w:t>
      </w:r>
      <w:r>
        <w:rPr>
          <w:rFonts w:hint="eastAsia" w:ascii="仿宋" w:hAnsi="仿宋" w:eastAsia="仿宋" w:cs="仿宋"/>
          <w:color w:val="auto"/>
          <w:kern w:val="2"/>
          <w:sz w:val="32"/>
          <w:szCs w:val="32"/>
          <w:lang w:val="zh-CN" w:eastAsia="zh-CN" w:bidi="ar-SA"/>
        </w:rPr>
        <w:t>。其中：</w:t>
      </w:r>
    </w:p>
    <w:p>
      <w:pPr>
        <w:adjustRightInd w:val="0"/>
        <w:snapToGrid w:val="0"/>
        <w:spacing w:line="580" w:lineRule="exact"/>
        <w:ind w:firstLine="643" w:firstLineChars="200"/>
        <w:jc w:val="both"/>
        <w:rPr>
          <w:rFonts w:hint="eastAsia" w:ascii="仿宋" w:hAnsi="仿宋" w:eastAsia="仿宋" w:cs="仿宋"/>
          <w:color w:val="auto"/>
          <w:kern w:val="2"/>
          <w:sz w:val="32"/>
          <w:szCs w:val="32"/>
          <w:lang w:val="zh-CN" w:eastAsia="zh-CN" w:bidi="ar-SA"/>
        </w:rPr>
      </w:pPr>
      <w:r>
        <w:rPr>
          <w:rFonts w:hint="eastAsia" w:ascii="仿宋" w:hAnsi="仿宋" w:eastAsia="仿宋" w:cs="仿宋"/>
          <w:b/>
          <w:sz w:val="32"/>
          <w:szCs w:val="32"/>
        </w:rPr>
        <w:t>公务用车购置费支出</w:t>
      </w:r>
      <w:r>
        <w:rPr>
          <w:rFonts w:hint="eastAsia" w:ascii="仿宋" w:hAnsi="仿宋" w:eastAsia="仿宋" w:cs="仿宋"/>
          <w:b/>
          <w:sz w:val="32"/>
          <w:szCs w:val="32"/>
          <w:lang w:val="en-US" w:eastAsia="zh-CN"/>
        </w:rPr>
        <w:t>0</w:t>
      </w:r>
      <w:r>
        <w:rPr>
          <w:rFonts w:hint="eastAsia" w:ascii="仿宋" w:hAnsi="仿宋" w:eastAsia="仿宋" w:cs="仿宋"/>
          <w:b/>
          <w:bCs/>
          <w:sz w:val="32"/>
          <w:szCs w:val="32"/>
        </w:rPr>
        <w:t>万元</w:t>
      </w:r>
      <w:r>
        <w:rPr>
          <w:rFonts w:hint="eastAsia" w:ascii="仿宋" w:hAnsi="仿宋" w:eastAsia="仿宋" w:cs="仿宋"/>
          <w:b/>
          <w:sz w:val="32"/>
          <w:szCs w:val="32"/>
        </w:rPr>
        <w:t>：</w:t>
      </w:r>
      <w:r>
        <w:rPr>
          <w:rFonts w:hint="eastAsia" w:ascii="仿宋" w:hAnsi="仿宋" w:eastAsia="仿宋" w:cs="仿宋"/>
          <w:color w:val="auto"/>
          <w:kern w:val="2"/>
          <w:sz w:val="32"/>
          <w:szCs w:val="32"/>
          <w:lang w:val="zh-CN" w:eastAsia="zh-CN" w:bidi="ar-SA"/>
        </w:rPr>
        <w:t>本</w:t>
      </w:r>
      <w:r>
        <w:rPr>
          <w:rFonts w:hint="eastAsia" w:ascii="仿宋" w:hAnsi="仿宋" w:eastAsia="仿宋" w:cs="仿宋"/>
          <w:color w:val="auto"/>
          <w:kern w:val="2"/>
          <w:sz w:val="32"/>
          <w:szCs w:val="32"/>
          <w:lang w:val="en-US" w:eastAsia="zh-CN" w:bidi="ar-SA"/>
        </w:rPr>
        <w:t>部门</w:t>
      </w:r>
      <w:r>
        <w:rPr>
          <w:rFonts w:hint="eastAsia" w:ascii="仿宋" w:hAnsi="仿宋" w:eastAsia="仿宋" w:cs="仿宋"/>
          <w:color w:val="auto"/>
          <w:kern w:val="2"/>
          <w:sz w:val="32"/>
          <w:szCs w:val="32"/>
          <w:lang w:val="zh-CN" w:eastAsia="zh-CN" w:bidi="ar-SA"/>
        </w:rPr>
        <w:t>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年度公务用车购置量0辆，发生“公务用车购置”经费支出 0万元。公务用车购置费支出较预算持平，主要是</w:t>
      </w:r>
      <w:r>
        <w:rPr>
          <w:rFonts w:hint="eastAsia" w:ascii="仿宋" w:hAnsi="仿宋" w:eastAsia="仿宋" w:cs="仿宋"/>
          <w:sz w:val="32"/>
          <w:szCs w:val="32"/>
        </w:rPr>
        <w:t>无公务用车购置指标</w:t>
      </w:r>
      <w:r>
        <w:rPr>
          <w:rFonts w:hint="eastAsia" w:ascii="仿宋" w:hAnsi="仿宋" w:eastAsia="仿宋" w:cs="仿宋"/>
          <w:color w:val="auto"/>
          <w:kern w:val="2"/>
          <w:sz w:val="32"/>
          <w:szCs w:val="32"/>
          <w:lang w:val="zh-CN" w:eastAsia="zh-CN" w:bidi="ar-SA"/>
        </w:rPr>
        <w:t>；较上年持平，主要是</w:t>
      </w:r>
      <w:r>
        <w:rPr>
          <w:rFonts w:hint="eastAsia" w:ascii="仿宋" w:hAnsi="仿宋" w:eastAsia="仿宋" w:cs="仿宋"/>
          <w:sz w:val="32"/>
          <w:szCs w:val="32"/>
        </w:rPr>
        <w:t>无公务用车购置指标</w:t>
      </w:r>
      <w:r>
        <w:rPr>
          <w:rFonts w:hint="eastAsia" w:ascii="仿宋" w:hAnsi="仿宋" w:eastAsia="仿宋" w:cs="仿宋"/>
          <w:color w:val="auto"/>
          <w:kern w:val="2"/>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left"/>
        <w:textAlignment w:val="auto"/>
        <w:rPr>
          <w:rFonts w:hint="eastAsia" w:ascii="仿宋" w:hAnsi="仿宋" w:eastAsia="仿宋" w:cs="仿宋"/>
          <w:color w:val="auto"/>
          <w:kern w:val="2"/>
          <w:sz w:val="32"/>
          <w:szCs w:val="32"/>
          <w:lang w:val="zh-CN" w:eastAsia="zh-CN" w:bidi="ar-SA"/>
        </w:rPr>
      </w:pPr>
      <w:r>
        <w:rPr>
          <w:rFonts w:hint="eastAsia" w:ascii="仿宋" w:hAnsi="仿宋" w:eastAsia="仿宋" w:cs="仿宋"/>
          <w:b/>
          <w:sz w:val="32"/>
          <w:szCs w:val="32"/>
        </w:rPr>
        <w:t>公务用车运行维护费支出</w:t>
      </w:r>
      <w:r>
        <w:rPr>
          <w:rFonts w:hint="eastAsia" w:ascii="仿宋" w:hAnsi="仿宋" w:eastAsia="仿宋" w:cs="仿宋"/>
          <w:b/>
          <w:sz w:val="32"/>
          <w:szCs w:val="32"/>
          <w:lang w:val="en-US" w:eastAsia="zh-CN"/>
        </w:rPr>
        <w:t>0</w:t>
      </w:r>
      <w:r>
        <w:rPr>
          <w:rFonts w:hint="eastAsia" w:ascii="仿宋" w:hAnsi="仿宋" w:eastAsia="仿宋" w:cs="仿宋"/>
          <w:b/>
          <w:bCs/>
          <w:sz w:val="32"/>
          <w:szCs w:val="32"/>
        </w:rPr>
        <w:t>万元</w:t>
      </w:r>
      <w:r>
        <w:rPr>
          <w:rFonts w:hint="eastAsia" w:ascii="仿宋" w:hAnsi="仿宋" w:eastAsia="仿宋" w:cs="仿宋"/>
          <w:b/>
          <w:sz w:val="32"/>
          <w:szCs w:val="32"/>
        </w:rPr>
        <w:t>：</w:t>
      </w:r>
      <w:r>
        <w:rPr>
          <w:rFonts w:hint="eastAsia" w:ascii="仿宋" w:hAnsi="仿宋" w:eastAsia="仿宋" w:cs="仿宋"/>
          <w:color w:val="auto"/>
          <w:kern w:val="2"/>
          <w:sz w:val="32"/>
          <w:szCs w:val="32"/>
          <w:lang w:val="zh-CN" w:eastAsia="zh-CN" w:bidi="ar-SA"/>
        </w:rPr>
        <w:t>本</w:t>
      </w:r>
      <w:r>
        <w:rPr>
          <w:rFonts w:hint="eastAsia" w:ascii="仿宋" w:hAnsi="仿宋" w:eastAsia="仿宋" w:cs="仿宋"/>
          <w:color w:val="auto"/>
          <w:kern w:val="2"/>
          <w:sz w:val="32"/>
          <w:szCs w:val="32"/>
          <w:lang w:val="en-US" w:eastAsia="zh-CN" w:bidi="ar-SA"/>
        </w:rPr>
        <w:t>部门</w:t>
      </w:r>
      <w:r>
        <w:rPr>
          <w:rFonts w:hint="eastAsia" w:ascii="仿宋" w:hAnsi="仿宋" w:eastAsia="仿宋" w:cs="仿宋"/>
          <w:color w:val="auto"/>
          <w:kern w:val="2"/>
          <w:sz w:val="32"/>
          <w:szCs w:val="32"/>
          <w:lang w:val="zh-CN" w:eastAsia="zh-CN" w:bidi="ar-SA"/>
        </w:rPr>
        <w:t>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年度单位公务用车保有量0辆，发生运行维护费支出0万元。公车运行维护费支出较预算持平，主要是</w:t>
      </w:r>
      <w:r>
        <w:rPr>
          <w:rFonts w:hint="eastAsia" w:ascii="仿宋" w:hAnsi="仿宋" w:eastAsia="仿宋" w:cs="仿宋"/>
          <w:color w:val="auto"/>
          <w:kern w:val="2"/>
          <w:sz w:val="32"/>
          <w:szCs w:val="32"/>
          <w:lang w:val="en-US" w:eastAsia="zh-CN" w:bidi="ar-SA"/>
        </w:rPr>
        <w:t>无公务用车</w:t>
      </w:r>
      <w:r>
        <w:rPr>
          <w:rFonts w:hint="eastAsia" w:ascii="仿宋" w:hAnsi="仿宋" w:eastAsia="仿宋" w:cs="仿宋"/>
          <w:color w:val="auto"/>
          <w:kern w:val="2"/>
          <w:sz w:val="32"/>
          <w:szCs w:val="32"/>
          <w:lang w:val="zh-CN" w:eastAsia="zh-CN" w:bidi="ar-SA"/>
        </w:rPr>
        <w:t>；较上年持平，主要是</w:t>
      </w:r>
      <w:r>
        <w:rPr>
          <w:rFonts w:hint="eastAsia" w:ascii="仿宋" w:hAnsi="仿宋" w:eastAsia="仿宋" w:cs="仿宋"/>
          <w:color w:val="auto"/>
          <w:kern w:val="2"/>
          <w:sz w:val="32"/>
          <w:szCs w:val="32"/>
          <w:lang w:val="en-US" w:eastAsia="zh-CN" w:bidi="ar-SA"/>
        </w:rPr>
        <w:t>无公务用车</w:t>
      </w:r>
      <w:r>
        <w:rPr>
          <w:rFonts w:hint="eastAsia" w:ascii="仿宋" w:hAnsi="仿宋" w:eastAsia="仿宋" w:cs="仿宋"/>
          <w:color w:val="auto"/>
          <w:kern w:val="2"/>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both"/>
        <w:textAlignment w:val="auto"/>
        <w:rPr>
          <w:rFonts w:hint="eastAsia" w:ascii="仿宋" w:hAnsi="仿宋" w:eastAsia="仿宋" w:cs="仿宋"/>
          <w:color w:val="auto"/>
          <w:kern w:val="0"/>
          <w:sz w:val="32"/>
          <w:szCs w:val="32"/>
          <w:highlight w:val="yellow"/>
          <w:lang w:val="en-US" w:eastAsia="zh-CN" w:bidi="ar-SA"/>
        </w:rPr>
      </w:pPr>
      <w:r>
        <w:rPr>
          <w:rFonts w:hint="eastAsia" w:ascii="仿宋" w:hAnsi="仿宋" w:eastAsia="仿宋" w:cs="仿宋"/>
          <w:b/>
          <w:bCs/>
          <w:kern w:val="2"/>
          <w:sz w:val="32"/>
          <w:szCs w:val="32"/>
          <w:lang w:val="en-US" w:eastAsia="zh-CN" w:bidi="ar-SA"/>
        </w:rPr>
        <w:t>3.公务接待费。</w:t>
      </w:r>
      <w:r>
        <w:rPr>
          <w:rFonts w:hint="eastAsia" w:ascii="仿宋" w:hAnsi="仿宋" w:eastAsia="仿宋" w:cs="仿宋"/>
          <w:color w:val="auto"/>
          <w:kern w:val="2"/>
          <w:sz w:val="32"/>
          <w:szCs w:val="32"/>
          <w:lang w:val="zh-CN" w:eastAsia="zh-CN" w:bidi="ar-SA"/>
        </w:rPr>
        <w:t>本部门202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年度公务接待费支出预算为2万元，支出决算0万元，完成预算的0%。公务接待费支出较预算减少2万元，降低100%，主要是</w:t>
      </w:r>
      <w:r>
        <w:rPr>
          <w:rFonts w:hint="eastAsia" w:ascii="仿宋" w:hAnsi="仿宋" w:eastAsia="仿宋" w:cs="仿宋"/>
          <w:color w:val="auto"/>
          <w:kern w:val="2"/>
          <w:sz w:val="32"/>
          <w:szCs w:val="32"/>
          <w:lang w:val="en-US" w:eastAsia="zh-CN" w:bidi="ar-SA"/>
        </w:rPr>
        <w:t>无公务接待活动</w:t>
      </w:r>
      <w:r>
        <w:rPr>
          <w:rFonts w:hint="eastAsia" w:ascii="仿宋" w:hAnsi="仿宋" w:eastAsia="仿宋" w:cs="仿宋"/>
          <w:color w:val="auto"/>
          <w:kern w:val="2"/>
          <w:sz w:val="32"/>
          <w:szCs w:val="32"/>
          <w:lang w:val="zh-CN" w:eastAsia="zh-CN" w:bidi="ar-SA"/>
        </w:rPr>
        <w:t>；较上年度持平，主要是</w:t>
      </w:r>
      <w:r>
        <w:rPr>
          <w:rFonts w:hint="eastAsia" w:ascii="仿宋" w:hAnsi="仿宋" w:eastAsia="仿宋" w:cs="仿宋"/>
          <w:sz w:val="32"/>
          <w:szCs w:val="32"/>
        </w:rPr>
        <w:t>积极贯彻落实中央和省委关于厉行节约要求，严控公务接待支出</w:t>
      </w:r>
      <w:r>
        <w:rPr>
          <w:rFonts w:hint="eastAsia" w:ascii="仿宋" w:hAnsi="仿宋" w:eastAsia="仿宋" w:cs="仿宋"/>
          <w:color w:val="auto"/>
          <w:kern w:val="2"/>
          <w:sz w:val="32"/>
          <w:szCs w:val="32"/>
          <w:lang w:val="zh-CN" w:eastAsia="zh-CN" w:bidi="ar-SA"/>
        </w:rPr>
        <w:t>。本年度共发生公务接待</w:t>
      </w:r>
      <w:r>
        <w:rPr>
          <w:rFonts w:hint="eastAsia" w:ascii="仿宋" w:hAnsi="仿宋" w:eastAsia="仿宋" w:cs="仿宋"/>
          <w:color w:val="auto"/>
          <w:kern w:val="2"/>
          <w:sz w:val="32"/>
          <w:szCs w:val="32"/>
          <w:lang w:val="en-US" w:eastAsia="zh-CN" w:bidi="ar-SA"/>
        </w:rPr>
        <w:t>0</w:t>
      </w:r>
      <w:r>
        <w:rPr>
          <w:rFonts w:hint="eastAsia" w:ascii="仿宋" w:hAnsi="仿宋" w:eastAsia="仿宋" w:cs="仿宋"/>
          <w:color w:val="auto"/>
          <w:kern w:val="2"/>
          <w:sz w:val="32"/>
          <w:szCs w:val="32"/>
          <w:lang w:val="zh-CN" w:eastAsia="zh-CN" w:bidi="ar-SA"/>
        </w:rPr>
        <w:t>批次、</w:t>
      </w:r>
      <w:r>
        <w:rPr>
          <w:rFonts w:hint="eastAsia" w:ascii="仿宋" w:hAnsi="仿宋" w:eastAsia="仿宋" w:cs="仿宋"/>
          <w:color w:val="auto"/>
          <w:kern w:val="2"/>
          <w:sz w:val="32"/>
          <w:szCs w:val="32"/>
          <w:lang w:val="en-US" w:eastAsia="zh-CN" w:bidi="ar-SA"/>
        </w:rPr>
        <w:t>0</w:t>
      </w:r>
      <w:r>
        <w:rPr>
          <w:rFonts w:hint="eastAsia" w:ascii="仿宋" w:hAnsi="仿宋" w:eastAsia="仿宋" w:cs="仿宋"/>
          <w:color w:val="auto"/>
          <w:kern w:val="2"/>
          <w:sz w:val="32"/>
          <w:szCs w:val="32"/>
          <w:lang w:val="zh-CN" w:eastAsia="zh-CN" w:bidi="ar-SA"/>
        </w:rPr>
        <w:t>人次。</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jc w:val="both"/>
        <w:outlineLvl w:val="1"/>
        <w:rPr>
          <w:rFonts w:hint="default" w:ascii="Times New Roman" w:hAnsi="Times New Roman" w:eastAsia="黑体" w:cs="Times New Roman"/>
          <w:i w:val="0"/>
          <w:iCs w:val="0"/>
          <w:caps w:val="0"/>
          <w:color w:val="333333"/>
          <w:spacing w:val="0"/>
          <w:sz w:val="32"/>
          <w:szCs w:val="32"/>
          <w:highlight w:val="none"/>
          <w:shd w:val="clear" w:fill="FFFFFF"/>
          <w:lang w:eastAsia="zh-CN"/>
        </w:rPr>
      </w:pPr>
      <w:r>
        <w:rPr>
          <w:rFonts w:hint="default" w:ascii="Times New Roman" w:hAnsi="Times New Roman" w:eastAsia="黑体" w:cs="Times New Roman"/>
          <w:i w:val="0"/>
          <w:iCs w:val="0"/>
          <w:caps w:val="0"/>
          <w:color w:val="333333"/>
          <w:spacing w:val="0"/>
          <w:sz w:val="32"/>
          <w:szCs w:val="32"/>
          <w:highlight w:val="none"/>
          <w:shd w:val="clear" w:fill="FFFFFF"/>
        </w:rPr>
        <w:t>六、</w:t>
      </w:r>
      <w:r>
        <w:rPr>
          <w:rFonts w:hint="default" w:ascii="Times New Roman" w:hAnsi="Times New Roman" w:eastAsia="黑体" w:cs="Times New Roman"/>
          <w:sz w:val="32"/>
          <w:szCs w:val="32"/>
        </w:rPr>
        <w:t>机关运行经费支出说明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auto"/>
          <w:kern w:val="0"/>
          <w:sz w:val="32"/>
          <w:szCs w:val="32"/>
          <w:highlight w:val="yellow"/>
          <w:lang w:val="en-US" w:eastAsia="zh-CN" w:bidi="ar-SA"/>
        </w:rPr>
      </w:pPr>
      <w:r>
        <w:rPr>
          <w:rFonts w:hint="eastAsia" w:ascii="仿宋" w:hAnsi="仿宋" w:eastAsia="仿宋" w:cs="仿宋"/>
          <w:i w:val="0"/>
          <w:iCs w:val="0"/>
          <w:caps w:val="0"/>
          <w:color w:val="333333"/>
          <w:spacing w:val="0"/>
          <w:sz w:val="32"/>
          <w:szCs w:val="32"/>
          <w:highlight w:val="none"/>
          <w:shd w:val="clear" w:fill="FFFFFF"/>
        </w:rPr>
        <w:t>   </w:t>
      </w:r>
      <w:r>
        <w:rPr>
          <w:rFonts w:hint="eastAsia" w:ascii="仿宋" w:hAnsi="仿宋" w:eastAsia="仿宋" w:cs="仿宋"/>
          <w:i w:val="0"/>
          <w:iCs w:val="0"/>
          <w:caps w:val="0"/>
          <w:color w:val="333333"/>
          <w:spacing w:val="0"/>
          <w:sz w:val="32"/>
          <w:szCs w:val="32"/>
          <w:highlight w:val="none"/>
          <w:shd w:val="clear" w:fill="FFFFFF"/>
          <w:lang w:val="en-US" w:eastAsia="zh-CN"/>
        </w:rPr>
        <w:t xml:space="preserve"> </w:t>
      </w:r>
      <w:r>
        <w:rPr>
          <w:rFonts w:hint="eastAsia" w:ascii="仿宋" w:hAnsi="仿宋" w:eastAsia="仿宋" w:cs="仿宋"/>
          <w:i w:val="0"/>
          <w:iCs w:val="0"/>
          <w:caps w:val="0"/>
          <w:color w:val="333333"/>
          <w:spacing w:val="0"/>
          <w:sz w:val="32"/>
          <w:szCs w:val="32"/>
          <w:highlight w:val="none"/>
          <w:shd w:val="clear" w:fill="FFFFFF"/>
          <w:lang w:eastAsia="zh-CN"/>
        </w:rPr>
        <w:t xml:space="preserve"> </w:t>
      </w:r>
      <w:r>
        <w:rPr>
          <w:rFonts w:hint="eastAsia" w:ascii="仿宋" w:hAnsi="仿宋" w:eastAsia="仿宋" w:cs="仿宋"/>
          <w:color w:val="auto"/>
          <w:kern w:val="2"/>
          <w:sz w:val="32"/>
          <w:szCs w:val="32"/>
          <w:lang w:val="zh-CN" w:eastAsia="zh-CN" w:bidi="ar-SA"/>
        </w:rPr>
        <w:t>本部门202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年度机关运行经费支出147.52万元，较2022年度增加124.5万元，增长540.85%，主要原因是</w:t>
      </w:r>
      <w:r>
        <w:rPr>
          <w:rFonts w:hint="eastAsia" w:ascii="仿宋" w:hAnsi="仿宋" w:eastAsia="仿宋" w:cs="仿宋"/>
          <w:color w:val="auto"/>
          <w:kern w:val="2"/>
          <w:sz w:val="32"/>
          <w:szCs w:val="32"/>
          <w:lang w:val="en-US" w:eastAsia="zh-CN" w:bidi="ar-SA"/>
        </w:rPr>
        <w:t>人员增多</w:t>
      </w:r>
      <w:r>
        <w:rPr>
          <w:rFonts w:hint="eastAsia" w:ascii="仿宋" w:hAnsi="仿宋" w:eastAsia="仿宋" w:cs="仿宋"/>
          <w:color w:val="auto"/>
          <w:kern w:val="2"/>
          <w:sz w:val="32"/>
          <w:szCs w:val="32"/>
          <w:lang w:val="zh-CN" w:eastAsia="zh-CN" w:bidi="ar-SA"/>
        </w:rPr>
        <w:t>。</w:t>
      </w:r>
    </w:p>
    <w:p>
      <w:pPr>
        <w:adjustRightInd w:val="0"/>
        <w:snapToGrid w:val="0"/>
        <w:spacing w:line="580" w:lineRule="exact"/>
        <w:ind w:firstLine="640" w:firstLineChars="200"/>
        <w:rPr>
          <w:rFonts w:hint="default" w:ascii="Times New Roman" w:hAnsi="Times New Roman" w:eastAsia="仿宋_GB2312" w:cs="Times New Roman"/>
          <w:sz w:val="32"/>
          <w:szCs w:val="32"/>
          <w:highlight w:val="yellow"/>
        </w:rPr>
      </w:pPr>
      <w:r>
        <w:rPr>
          <w:rFonts w:hint="default" w:ascii="Times New Roman" w:hAnsi="Times New Roman" w:eastAsia="黑体" w:cs="Times New Roman"/>
          <w:i w:val="0"/>
          <w:iCs w:val="0"/>
          <w:caps w:val="0"/>
          <w:color w:val="333333"/>
          <w:spacing w:val="0"/>
          <w:sz w:val="32"/>
          <w:szCs w:val="32"/>
          <w:highlight w:val="none"/>
          <w:shd w:val="clear" w:fill="FFFFFF"/>
        </w:rPr>
        <w:t>七、</w:t>
      </w:r>
      <w:r>
        <w:rPr>
          <w:rFonts w:hint="default" w:ascii="Times New Roman" w:hAnsi="Times New Roman" w:eastAsia="黑体" w:cs="Times New Roman"/>
          <w:sz w:val="32"/>
          <w:szCs w:val="32"/>
        </w:rPr>
        <w:t>政府采购支出说明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sz w:val="32"/>
          <w:szCs w:val="32"/>
          <w:highlight w:val="yellow"/>
        </w:rPr>
      </w:pPr>
      <w:r>
        <w:rPr>
          <w:rFonts w:hint="default" w:ascii="Times New Roman" w:hAnsi="Times New Roman" w:eastAsia="Arial" w:cs="Times New Roman"/>
          <w:i w:val="0"/>
          <w:iCs w:val="0"/>
          <w:caps w:val="0"/>
          <w:color w:val="333333"/>
          <w:spacing w:val="0"/>
          <w:sz w:val="19"/>
          <w:szCs w:val="19"/>
          <w:highlight w:val="none"/>
          <w:shd w:val="clear" w:fill="FFFFFF"/>
        </w:rPr>
        <w:t> </w:t>
      </w:r>
      <w:r>
        <w:rPr>
          <w:rFonts w:hint="default" w:ascii="Times New Roman" w:hAnsi="Times New Roman" w:eastAsia="仿宋_GB2312" w:cs="Times New Roman"/>
          <w:i w:val="0"/>
          <w:iCs w:val="0"/>
          <w:caps w:val="0"/>
          <w:color w:val="333333"/>
          <w:spacing w:val="0"/>
          <w:sz w:val="33"/>
          <w:szCs w:val="33"/>
          <w:highlight w:val="none"/>
          <w:shd w:val="clear" w:fill="FFFFFF"/>
        </w:rPr>
        <w:t>   </w:t>
      </w:r>
      <w:r>
        <w:rPr>
          <w:rFonts w:hint="default" w:ascii="Times New Roman" w:hAnsi="Times New Roman" w:eastAsia="仿宋_GB2312" w:cs="Times New Roman"/>
          <w:i w:val="0"/>
          <w:iCs w:val="0"/>
          <w:caps w:val="0"/>
          <w:color w:val="333333"/>
          <w:spacing w:val="0"/>
          <w:sz w:val="33"/>
          <w:szCs w:val="33"/>
          <w:highlight w:val="none"/>
          <w:shd w:val="clear" w:fill="FFFFFF"/>
          <w:lang w:val="en-US" w:eastAsia="zh-CN"/>
        </w:rPr>
        <w:t xml:space="preserve"> </w:t>
      </w:r>
      <w:r>
        <w:rPr>
          <w:rFonts w:hint="default" w:ascii="Times New Roman" w:hAnsi="Times New Roman" w:eastAsia="仿宋_GB2312" w:cs="Times New Roman"/>
          <w:i w:val="0"/>
          <w:iCs w:val="0"/>
          <w:caps w:val="0"/>
          <w:color w:val="333333"/>
          <w:spacing w:val="0"/>
          <w:sz w:val="33"/>
          <w:szCs w:val="33"/>
          <w:highlight w:val="none"/>
          <w:shd w:val="clear" w:fill="FFFFFF"/>
          <w:lang w:eastAsia="zh-CN"/>
        </w:rPr>
        <w:t xml:space="preserve"> </w:t>
      </w:r>
      <w:r>
        <w:rPr>
          <w:rFonts w:hint="eastAsia" w:ascii="仿宋" w:hAnsi="仿宋" w:eastAsia="仿宋" w:cs="仿宋"/>
          <w:color w:val="auto"/>
          <w:kern w:val="2"/>
          <w:sz w:val="32"/>
          <w:szCs w:val="32"/>
          <w:lang w:val="zh-CN" w:eastAsia="zh-CN" w:bidi="ar-SA"/>
        </w:rPr>
        <w:t>本部门</w:t>
      </w:r>
      <w:r>
        <w:rPr>
          <w:rFonts w:hint="eastAsia" w:ascii="仿宋" w:hAnsi="仿宋" w:eastAsia="仿宋" w:cs="仿宋"/>
          <w:color w:val="auto"/>
          <w:kern w:val="2"/>
          <w:sz w:val="32"/>
          <w:szCs w:val="32"/>
          <w:lang w:val="zh-CN" w:eastAsia="zh-CN" w:bidi="ar-SA"/>
        </w:rPr>
        <w:t>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年度政府采购支出总额639.96万元，从采购类型来看，政府采购货物支出11.6万元、政府采购工程支出0万元、政府采购服务支出628.36万元。授予中小企业</w:t>
      </w:r>
      <w:r>
        <w:rPr>
          <w:rFonts w:hint="eastAsia" w:ascii="仿宋" w:hAnsi="仿宋" w:eastAsia="仿宋" w:cs="仿宋"/>
          <w:color w:val="auto"/>
          <w:kern w:val="2"/>
          <w:sz w:val="32"/>
          <w:szCs w:val="32"/>
          <w:lang w:val="en-US" w:eastAsia="zh-CN" w:bidi="ar-SA"/>
        </w:rPr>
        <w:t>合同金额</w:t>
      </w:r>
      <w:r>
        <w:rPr>
          <w:rFonts w:hint="eastAsia" w:ascii="仿宋" w:hAnsi="仿宋" w:eastAsia="仿宋" w:cs="仿宋"/>
          <w:color w:val="auto"/>
          <w:kern w:val="2"/>
          <w:sz w:val="32"/>
          <w:szCs w:val="32"/>
          <w:lang w:val="zh-CN" w:eastAsia="zh-CN" w:bidi="ar-SA"/>
        </w:rPr>
        <w:t>0万元，占政府采购支出总额的0%，其中授予小微企业合同金额0万元，占政府采购支出总额的0%。</w:t>
      </w:r>
    </w:p>
    <w:p>
      <w:pPr>
        <w:snapToGrid w:val="0"/>
        <w:spacing w:line="580" w:lineRule="exact"/>
        <w:ind w:firstLine="640" w:firstLineChars="200"/>
        <w:jc w:val="left"/>
        <w:rPr>
          <w:rFonts w:hint="default" w:ascii="Times New Roman" w:hAnsi="Times New Roman" w:eastAsia="仿宋_GB2312" w:cs="Times New Roman"/>
          <w:sz w:val="32"/>
          <w:szCs w:val="32"/>
          <w:highlight w:val="yellow"/>
        </w:rPr>
      </w:pPr>
      <w:r>
        <w:rPr>
          <w:rFonts w:hint="default" w:ascii="Times New Roman" w:hAnsi="Times New Roman" w:eastAsia="黑体" w:cs="Times New Roman"/>
          <w:i w:val="0"/>
          <w:iCs w:val="0"/>
          <w:caps w:val="0"/>
          <w:color w:val="333333"/>
          <w:spacing w:val="0"/>
          <w:sz w:val="32"/>
          <w:szCs w:val="32"/>
          <w:highlight w:val="none"/>
          <w:shd w:val="clear" w:fill="FFFFFF"/>
        </w:rPr>
        <w:t>八、</w:t>
      </w:r>
      <w:r>
        <w:rPr>
          <w:rFonts w:hint="default" w:ascii="Times New Roman" w:hAnsi="Times New Roman" w:eastAsia="黑体" w:cs="Times New Roman"/>
          <w:sz w:val="32"/>
          <w:szCs w:val="32"/>
        </w:rPr>
        <w:t>国有资产占用情况说明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auto"/>
          <w:kern w:val="2"/>
          <w:sz w:val="32"/>
          <w:szCs w:val="32"/>
          <w:lang w:val="zh-CN" w:eastAsia="zh-CN" w:bidi="ar-SA"/>
        </w:rPr>
      </w:pPr>
      <w:r>
        <w:rPr>
          <w:rFonts w:hint="default" w:ascii="Times New Roman" w:hAnsi="Times New Roman" w:eastAsia="仿宋_GB2312" w:cs="Times New Roman"/>
          <w:i w:val="0"/>
          <w:iCs w:val="0"/>
          <w:caps w:val="0"/>
          <w:color w:val="333333"/>
          <w:spacing w:val="0"/>
          <w:sz w:val="32"/>
          <w:szCs w:val="32"/>
          <w:highlight w:val="none"/>
          <w:shd w:val="clear" w:fill="FFFFFF"/>
        </w:rPr>
        <w:t>  </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 xml:space="preserve">   </w:t>
      </w:r>
      <w:r>
        <w:rPr>
          <w:rFonts w:hint="eastAsia" w:ascii="仿宋" w:hAnsi="仿宋" w:eastAsia="仿宋" w:cs="仿宋"/>
          <w:color w:val="auto"/>
          <w:kern w:val="2"/>
          <w:sz w:val="32"/>
          <w:szCs w:val="32"/>
          <w:lang w:val="zh-CN" w:eastAsia="zh-CN" w:bidi="ar-SA"/>
        </w:rPr>
        <w:t>截至202</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年12月31日，本部门共有车辆0辆，比上年持平辆，主要是</w:t>
      </w:r>
      <w:r>
        <w:rPr>
          <w:rFonts w:hint="eastAsia" w:ascii="仿宋" w:hAnsi="仿宋" w:eastAsia="仿宋" w:cs="仿宋"/>
          <w:color w:val="auto"/>
          <w:kern w:val="2"/>
          <w:sz w:val="32"/>
          <w:szCs w:val="32"/>
          <w:lang w:val="en-US" w:eastAsia="zh-CN" w:bidi="ar-SA"/>
        </w:rPr>
        <w:t>无公务用车</w:t>
      </w:r>
      <w:r>
        <w:rPr>
          <w:rFonts w:hint="eastAsia" w:ascii="仿宋" w:hAnsi="仿宋" w:eastAsia="仿宋" w:cs="仿宋"/>
          <w:color w:val="auto"/>
          <w:kern w:val="2"/>
          <w:sz w:val="32"/>
          <w:szCs w:val="32"/>
          <w:lang w:val="zh-CN" w:eastAsia="zh-CN" w:bidi="ar-SA"/>
        </w:rPr>
        <w:t>。其中，副部（省）级及以上领导用车0辆，主要</w:t>
      </w:r>
      <w:r>
        <w:rPr>
          <w:rFonts w:hint="eastAsia" w:ascii="仿宋" w:hAnsi="仿宋" w:eastAsia="仿宋" w:cs="仿宋"/>
          <w:color w:val="auto"/>
          <w:kern w:val="2"/>
          <w:sz w:val="32"/>
          <w:szCs w:val="32"/>
          <w:lang w:val="en-US" w:eastAsia="zh-CN" w:bidi="ar-SA"/>
        </w:rPr>
        <w:t>负责人</w:t>
      </w:r>
      <w:r>
        <w:rPr>
          <w:rFonts w:hint="eastAsia" w:ascii="仿宋" w:hAnsi="仿宋" w:eastAsia="仿宋" w:cs="仿宋"/>
          <w:color w:val="auto"/>
          <w:kern w:val="2"/>
          <w:sz w:val="32"/>
          <w:szCs w:val="32"/>
          <w:lang w:val="zh-CN" w:eastAsia="zh-CN" w:bidi="ar-SA"/>
        </w:rPr>
        <w:t>用车0辆，机要通信用车0辆，应急保障用车0辆，执法执勤用车0辆，特种专业技术用车0辆，离退休干部用车0辆，其他用车0辆，主要是</w:t>
      </w:r>
      <w:r>
        <w:rPr>
          <w:rFonts w:hint="eastAsia" w:ascii="仿宋" w:hAnsi="仿宋" w:eastAsia="仿宋" w:cs="仿宋"/>
          <w:sz w:val="32"/>
          <w:szCs w:val="32"/>
        </w:rPr>
        <w:t>未发生购置事项</w:t>
      </w:r>
      <w:r>
        <w:rPr>
          <w:rFonts w:hint="eastAsia" w:ascii="仿宋" w:hAnsi="仿宋" w:eastAsia="仿宋" w:cs="仿宋"/>
          <w:color w:val="auto"/>
          <w:kern w:val="2"/>
          <w:sz w:val="32"/>
          <w:szCs w:val="32"/>
          <w:lang w:val="zh-CN" w:eastAsia="zh-CN" w:bidi="ar-SA"/>
        </w:rPr>
        <w:t>。单位价值100万元（含）以上设备（不含车辆）0台（套）。</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jc w:val="both"/>
        <w:outlineLvl w:val="1"/>
        <w:rPr>
          <w:rFonts w:hint="default" w:ascii="Times New Roman" w:hAnsi="Times New Roman" w:eastAsia="黑体" w:cs="Times New Roman"/>
          <w:kern w:val="2"/>
          <w:sz w:val="32"/>
          <w:szCs w:val="40"/>
          <w:lang w:val="en-US" w:eastAsia="zh-CN" w:bidi="ar-SA"/>
        </w:rPr>
      </w:pPr>
      <w:r>
        <w:rPr>
          <w:rFonts w:hint="default" w:ascii="Times New Roman" w:hAnsi="Times New Roman" w:eastAsia="黑体" w:cs="Times New Roman"/>
          <w:kern w:val="2"/>
          <w:sz w:val="32"/>
          <w:szCs w:val="40"/>
          <w:lang w:val="en-US" w:eastAsia="zh-CN" w:bidi="ar-SA"/>
        </w:rPr>
        <w:t>九、预算绩效情况说明</w:t>
      </w:r>
    </w:p>
    <w:p>
      <w:pPr>
        <w:adjustRightInd w:val="0"/>
        <w:snapToGrid w:val="0"/>
        <w:spacing w:line="58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（一）预算绩效管理工作开展情况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40" w:firstLineChars="200"/>
        <w:jc w:val="left"/>
        <w:textAlignment w:val="auto"/>
        <w:rPr>
          <w:rFonts w:hint="eastAsia" w:ascii="仿宋" w:hAnsi="仿宋" w:eastAsia="仿宋" w:cs="仿宋"/>
          <w:color w:val="auto"/>
          <w:kern w:val="2"/>
          <w:sz w:val="32"/>
          <w:szCs w:val="32"/>
          <w:lang w:val="zh-CN" w:eastAsia="zh-CN" w:bidi="ar-SA"/>
        </w:rPr>
      </w:pPr>
      <w:r>
        <w:rPr>
          <w:rFonts w:hint="eastAsia" w:ascii="仿宋" w:hAnsi="仿宋" w:eastAsia="仿宋" w:cs="仿宋"/>
          <w:color w:val="auto"/>
          <w:kern w:val="2"/>
          <w:sz w:val="32"/>
          <w:szCs w:val="32"/>
          <w:lang w:val="zh-CN" w:eastAsia="zh-CN" w:bidi="ar-SA"/>
        </w:rPr>
        <w:t>根据预算绩效管理要求，本部门组织对2023年度一般公共预算项目支出全面开展绩效自评，其中，一级项目</w:t>
      </w:r>
      <w:r>
        <w:rPr>
          <w:rFonts w:hint="eastAsia" w:ascii="仿宋" w:hAnsi="仿宋" w:eastAsia="仿宋" w:cs="仿宋"/>
          <w:color w:val="auto"/>
          <w:kern w:val="2"/>
          <w:sz w:val="32"/>
          <w:szCs w:val="32"/>
          <w:lang w:val="en-US" w:eastAsia="zh-CN" w:bidi="ar-SA"/>
        </w:rPr>
        <w:t>41</w:t>
      </w:r>
      <w:r>
        <w:rPr>
          <w:rFonts w:hint="eastAsia" w:ascii="仿宋" w:hAnsi="仿宋" w:eastAsia="仿宋" w:cs="仿宋"/>
          <w:color w:val="auto"/>
          <w:kern w:val="2"/>
          <w:sz w:val="32"/>
          <w:szCs w:val="32"/>
          <w:lang w:val="zh-CN" w:eastAsia="zh-CN" w:bidi="ar-SA"/>
        </w:rPr>
        <w:t>个，二级项目</w:t>
      </w:r>
      <w:r>
        <w:rPr>
          <w:rFonts w:hint="eastAsia" w:ascii="仿宋" w:hAnsi="仿宋" w:eastAsia="仿宋" w:cs="仿宋"/>
          <w:color w:val="auto"/>
          <w:kern w:val="2"/>
          <w:sz w:val="32"/>
          <w:szCs w:val="32"/>
          <w:lang w:val="en-US" w:eastAsia="zh-CN" w:bidi="ar-SA"/>
        </w:rPr>
        <w:t>0</w:t>
      </w:r>
      <w:r>
        <w:rPr>
          <w:rFonts w:hint="eastAsia" w:ascii="仿宋" w:hAnsi="仿宋" w:eastAsia="仿宋" w:cs="仿宋"/>
          <w:color w:val="auto"/>
          <w:kern w:val="2"/>
          <w:sz w:val="32"/>
          <w:szCs w:val="32"/>
          <w:lang w:val="zh-CN" w:eastAsia="zh-CN" w:bidi="ar-SA"/>
        </w:rPr>
        <w:t>个，共涉及资金</w:t>
      </w:r>
      <w:r>
        <w:rPr>
          <w:rFonts w:hint="eastAsia" w:ascii="仿宋" w:hAnsi="仿宋" w:eastAsia="仿宋" w:cs="仿宋"/>
          <w:color w:val="auto"/>
          <w:kern w:val="2"/>
          <w:sz w:val="32"/>
          <w:szCs w:val="32"/>
          <w:lang w:val="en-US" w:eastAsia="zh-CN" w:bidi="ar-SA"/>
        </w:rPr>
        <w:t>28939.04</w:t>
      </w:r>
      <w:r>
        <w:rPr>
          <w:rFonts w:hint="eastAsia" w:ascii="仿宋" w:hAnsi="仿宋" w:eastAsia="仿宋" w:cs="仿宋"/>
          <w:color w:val="auto"/>
          <w:kern w:val="2"/>
          <w:sz w:val="32"/>
          <w:szCs w:val="32"/>
          <w:lang w:val="zh-CN" w:eastAsia="zh-CN" w:bidi="ar-SA"/>
        </w:rPr>
        <w:t>万元，占一般公共预算项目支出总额的</w:t>
      </w:r>
      <w:r>
        <w:rPr>
          <w:rFonts w:hint="eastAsia" w:ascii="仿宋" w:hAnsi="仿宋" w:eastAsia="仿宋" w:cs="仿宋"/>
          <w:color w:val="auto"/>
          <w:kern w:val="2"/>
          <w:sz w:val="32"/>
          <w:szCs w:val="32"/>
          <w:lang w:val="en-US" w:eastAsia="zh-CN" w:bidi="ar-SA"/>
        </w:rPr>
        <w:t>100</w:t>
      </w:r>
      <w:r>
        <w:rPr>
          <w:rFonts w:hint="eastAsia" w:ascii="仿宋" w:hAnsi="仿宋" w:eastAsia="仿宋" w:cs="仿宋"/>
          <w:color w:val="auto"/>
          <w:kern w:val="2"/>
          <w:sz w:val="32"/>
          <w:szCs w:val="32"/>
          <w:lang w:val="zh-CN" w:eastAsia="zh-CN" w:bidi="ar-SA"/>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color w:val="auto"/>
          <w:kern w:val="2"/>
          <w:sz w:val="32"/>
          <w:szCs w:val="32"/>
          <w:lang w:val="zh-CN" w:eastAsia="zh-CN" w:bidi="ar-SA"/>
        </w:rPr>
        <w:t>组织对“</w:t>
      </w:r>
      <w:r>
        <w:rPr>
          <w:rFonts w:hint="eastAsia" w:ascii="仿宋" w:hAnsi="仿宋" w:eastAsia="仿宋" w:cs="仿宋"/>
          <w:color w:val="auto"/>
          <w:kern w:val="2"/>
          <w:sz w:val="32"/>
          <w:szCs w:val="32"/>
          <w:lang w:val="en-US" w:eastAsia="zh-CN" w:bidi="ar-SA"/>
        </w:rPr>
        <w:t>2023年县域科技创新能力跃升市级资金</w:t>
      </w:r>
      <w:r>
        <w:rPr>
          <w:rFonts w:hint="eastAsia" w:ascii="仿宋" w:hAnsi="仿宋" w:eastAsia="仿宋" w:cs="仿宋"/>
          <w:color w:val="auto"/>
          <w:kern w:val="2"/>
          <w:sz w:val="32"/>
          <w:szCs w:val="32"/>
          <w:lang w:val="zh-CN" w:eastAsia="zh-CN" w:bidi="ar-SA"/>
        </w:rPr>
        <w:t>”“</w:t>
      </w:r>
      <w:r>
        <w:rPr>
          <w:rFonts w:hint="eastAsia" w:ascii="仿宋" w:hAnsi="仿宋" w:eastAsia="仿宋" w:cs="仿宋"/>
          <w:color w:val="auto"/>
          <w:kern w:val="2"/>
          <w:sz w:val="32"/>
          <w:szCs w:val="32"/>
          <w:lang w:val="en-US" w:eastAsia="zh-CN" w:bidi="ar-SA"/>
        </w:rPr>
        <w:t>2022年度科技型中小企业贷款贴息资金</w:t>
      </w:r>
      <w:r>
        <w:rPr>
          <w:rFonts w:hint="eastAsia" w:ascii="仿宋" w:hAnsi="仿宋" w:eastAsia="仿宋" w:cs="仿宋"/>
          <w:color w:val="auto"/>
          <w:kern w:val="2"/>
          <w:sz w:val="32"/>
          <w:szCs w:val="32"/>
          <w:lang w:val="zh-CN" w:eastAsia="zh-CN" w:bidi="ar-SA"/>
        </w:rPr>
        <w:t>”等</w:t>
      </w:r>
      <w:r>
        <w:rPr>
          <w:rFonts w:hint="eastAsia" w:ascii="仿宋" w:hAnsi="仿宋" w:eastAsia="仿宋" w:cs="仿宋"/>
          <w:color w:val="auto"/>
          <w:kern w:val="2"/>
          <w:sz w:val="32"/>
          <w:szCs w:val="32"/>
          <w:lang w:val="en-US" w:eastAsia="zh-CN" w:bidi="ar-SA"/>
        </w:rPr>
        <w:t>3</w:t>
      </w:r>
      <w:r>
        <w:rPr>
          <w:rFonts w:hint="eastAsia" w:ascii="仿宋" w:hAnsi="仿宋" w:eastAsia="仿宋" w:cs="仿宋"/>
          <w:color w:val="auto"/>
          <w:kern w:val="2"/>
          <w:sz w:val="32"/>
          <w:szCs w:val="32"/>
          <w:lang w:val="zh-CN" w:eastAsia="zh-CN" w:bidi="ar-SA"/>
        </w:rPr>
        <w:t>个项目开展了部门评价，涉及一般公共预算支出</w:t>
      </w:r>
      <w:r>
        <w:rPr>
          <w:rFonts w:hint="eastAsia" w:ascii="仿宋" w:hAnsi="仿宋" w:eastAsia="仿宋" w:cs="仿宋"/>
          <w:color w:val="auto"/>
          <w:kern w:val="2"/>
          <w:sz w:val="32"/>
          <w:szCs w:val="32"/>
          <w:lang w:val="en-US" w:eastAsia="zh-CN" w:bidi="ar-SA"/>
        </w:rPr>
        <w:t>1853.99</w:t>
      </w:r>
      <w:r>
        <w:rPr>
          <w:rFonts w:hint="eastAsia" w:ascii="仿宋" w:hAnsi="仿宋" w:eastAsia="仿宋" w:cs="仿宋"/>
          <w:color w:val="auto"/>
          <w:kern w:val="2"/>
          <w:sz w:val="32"/>
          <w:szCs w:val="32"/>
          <w:lang w:val="zh-CN" w:eastAsia="zh-CN" w:bidi="ar-SA"/>
        </w:rPr>
        <w:t>万元。政府性基金预算支出</w:t>
      </w:r>
      <w:r>
        <w:rPr>
          <w:rFonts w:hint="eastAsia" w:ascii="仿宋" w:hAnsi="仿宋" w:eastAsia="仿宋" w:cs="仿宋"/>
          <w:color w:val="auto"/>
          <w:kern w:val="2"/>
          <w:sz w:val="32"/>
          <w:szCs w:val="32"/>
          <w:lang w:val="en-US" w:eastAsia="zh-CN" w:bidi="ar-SA"/>
        </w:rPr>
        <w:t>0</w:t>
      </w:r>
      <w:r>
        <w:rPr>
          <w:rFonts w:hint="eastAsia" w:ascii="仿宋" w:hAnsi="仿宋" w:eastAsia="仿宋" w:cs="仿宋"/>
          <w:color w:val="auto"/>
          <w:kern w:val="2"/>
          <w:sz w:val="32"/>
          <w:szCs w:val="32"/>
          <w:lang w:val="zh-CN" w:eastAsia="zh-CN" w:bidi="ar-SA"/>
        </w:rPr>
        <w:t>万元，国有资本经营预算支出</w:t>
      </w:r>
      <w:r>
        <w:rPr>
          <w:rFonts w:hint="eastAsia" w:ascii="仿宋" w:hAnsi="仿宋" w:eastAsia="仿宋" w:cs="仿宋"/>
          <w:color w:val="auto"/>
          <w:kern w:val="2"/>
          <w:sz w:val="32"/>
          <w:szCs w:val="32"/>
          <w:lang w:val="en-US" w:eastAsia="zh-CN" w:bidi="ar-SA"/>
        </w:rPr>
        <w:t>0</w:t>
      </w:r>
      <w:r>
        <w:rPr>
          <w:rFonts w:hint="eastAsia" w:ascii="仿宋" w:hAnsi="仿宋" w:eastAsia="仿宋" w:cs="仿宋"/>
          <w:color w:val="auto"/>
          <w:kern w:val="2"/>
          <w:sz w:val="32"/>
          <w:szCs w:val="32"/>
          <w:lang w:val="zh-CN" w:eastAsia="zh-CN" w:bidi="ar-SA"/>
        </w:rPr>
        <w:t>万元。从评价情况来看，</w:t>
      </w:r>
      <w:r>
        <w:rPr>
          <w:rFonts w:hint="eastAsia" w:ascii="仿宋" w:hAnsi="仿宋" w:eastAsia="仿宋" w:cs="仿宋"/>
          <w:color w:val="auto"/>
          <w:kern w:val="2"/>
          <w:sz w:val="32"/>
          <w:szCs w:val="32"/>
          <w:lang w:val="en-US" w:eastAsia="zh-CN" w:bidi="ar-SA"/>
        </w:rPr>
        <w:t>支出进度100%，年初设定绩效目标全部完成。</w:t>
      </w:r>
    </w:p>
    <w:p>
      <w:pPr>
        <w:adjustRightInd w:val="0"/>
        <w:snapToGrid w:val="0"/>
        <w:spacing w:line="580" w:lineRule="exact"/>
        <w:ind w:firstLine="643" w:firstLineChars="200"/>
        <w:rPr>
          <w:rFonts w:hint="eastAsia" w:ascii="楷体" w:hAnsi="楷体" w:eastAsia="楷体" w:cs="楷体"/>
          <w:b/>
          <w:bCs/>
          <w:sz w:val="32"/>
          <w:szCs w:val="32"/>
          <w:highlight w:val="none"/>
        </w:rPr>
      </w:pPr>
      <w:r>
        <w:rPr>
          <w:rFonts w:hint="eastAsia" w:ascii="楷体" w:hAnsi="楷体" w:eastAsia="楷体" w:cs="楷体"/>
          <w:b/>
          <w:bCs/>
          <w:sz w:val="32"/>
          <w:szCs w:val="32"/>
          <w:highlight w:val="none"/>
        </w:rPr>
        <w:t>（</w:t>
      </w:r>
      <w:r>
        <w:rPr>
          <w:rFonts w:hint="eastAsia" w:ascii="楷体" w:hAnsi="楷体" w:eastAsia="楷体" w:cs="楷体"/>
          <w:b/>
          <w:bCs/>
          <w:sz w:val="32"/>
          <w:szCs w:val="32"/>
          <w:highlight w:val="none"/>
        </w:rPr>
        <w:t>二）</w:t>
      </w:r>
      <w:r>
        <w:rPr>
          <w:rFonts w:hint="eastAsia" w:ascii="楷体" w:hAnsi="楷体" w:eastAsia="楷体" w:cs="楷体"/>
          <w:b/>
          <w:bCs/>
          <w:sz w:val="32"/>
          <w:szCs w:val="32"/>
          <w:highlight w:val="none"/>
          <w:lang w:val="en-US" w:eastAsia="zh-CN"/>
        </w:rPr>
        <w:t>部门</w:t>
      </w:r>
      <w:r>
        <w:rPr>
          <w:rFonts w:hint="eastAsia" w:ascii="楷体" w:hAnsi="楷体" w:eastAsia="楷体" w:cs="楷体"/>
          <w:b/>
          <w:bCs/>
          <w:sz w:val="32"/>
          <w:szCs w:val="32"/>
          <w:highlight w:val="none"/>
        </w:rPr>
        <w:t>决算中项目绩效自评结果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40" w:firstLineChars="200"/>
        <w:jc w:val="left"/>
        <w:textAlignment w:val="auto"/>
        <w:rPr>
          <w:rFonts w:hint="eastAsia" w:ascii="仿宋" w:hAnsi="仿宋" w:eastAsia="仿宋" w:cs="仿宋"/>
          <w:color w:val="auto"/>
          <w:kern w:val="2"/>
          <w:sz w:val="32"/>
          <w:szCs w:val="32"/>
          <w:highlight w:val="none"/>
          <w:lang w:val="zh-CN" w:eastAsia="zh-CN" w:bidi="ar-SA"/>
        </w:rPr>
      </w:pPr>
      <w:r>
        <w:rPr>
          <w:rFonts w:hint="default" w:ascii="Times New Roman" w:hAnsi="Times New Roman" w:eastAsia="仿宋_GB2312" w:cs="Times New Roman"/>
          <w:i w:val="0"/>
          <w:iCs w:val="0"/>
          <w:caps w:val="0"/>
          <w:color w:val="333333"/>
          <w:spacing w:val="0"/>
          <w:sz w:val="32"/>
          <w:szCs w:val="32"/>
          <w:highlight w:val="none"/>
          <w:shd w:val="clear" w:fill="FFFFFF"/>
        </w:rPr>
        <w:t> </w:t>
      </w:r>
      <w:r>
        <w:rPr>
          <w:rFonts w:hint="eastAsia" w:ascii="仿宋" w:hAnsi="仿宋" w:eastAsia="仿宋" w:cs="仿宋"/>
          <w:color w:val="auto"/>
          <w:kern w:val="2"/>
          <w:sz w:val="32"/>
          <w:szCs w:val="32"/>
          <w:highlight w:val="none"/>
          <w:lang w:val="zh-CN" w:eastAsia="zh-CN" w:bidi="ar-SA"/>
        </w:rPr>
        <w:t>本单位在今年部门决算公开中反映“</w:t>
      </w:r>
      <w:r>
        <w:rPr>
          <w:rFonts w:hint="eastAsia" w:ascii="仿宋" w:hAnsi="仿宋" w:eastAsia="仿宋" w:cs="仿宋"/>
          <w:color w:val="auto"/>
          <w:kern w:val="2"/>
          <w:sz w:val="32"/>
          <w:szCs w:val="32"/>
          <w:highlight w:val="none"/>
          <w:lang w:val="en-US" w:eastAsia="zh-CN" w:bidi="ar-SA"/>
        </w:rPr>
        <w:t>中小企业发展专项资金（孵化器、众创空间认定备案奖励）”1</w:t>
      </w:r>
      <w:r>
        <w:rPr>
          <w:rFonts w:hint="eastAsia" w:ascii="仿宋" w:hAnsi="仿宋" w:eastAsia="仿宋" w:cs="仿宋"/>
          <w:color w:val="auto"/>
          <w:kern w:val="2"/>
          <w:sz w:val="32"/>
          <w:szCs w:val="32"/>
          <w:highlight w:val="none"/>
          <w:lang w:val="zh-CN" w:eastAsia="zh-CN" w:bidi="ar-SA"/>
        </w:rPr>
        <w:t>个项目绩效自评结果。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i w:val="0"/>
          <w:iCs w:val="0"/>
          <w:color w:val="000000"/>
          <w:kern w:val="0"/>
          <w:sz w:val="32"/>
          <w:szCs w:val="32"/>
          <w:highlight w:val="none"/>
          <w:u w:val="none"/>
          <w:lang w:val="en-US" w:eastAsia="zh-CN" w:bidi="ar"/>
        </w:rPr>
        <w:t>中小企业发展专项资金（孵化器、众创空间认定备案奖励）</w:t>
      </w:r>
      <w:r>
        <w:rPr>
          <w:rFonts w:hint="eastAsia" w:ascii="仿宋" w:hAnsi="仿宋" w:eastAsia="仿宋" w:cs="仿宋"/>
          <w:color w:val="auto"/>
          <w:kern w:val="2"/>
          <w:sz w:val="32"/>
          <w:szCs w:val="32"/>
          <w:highlight w:val="none"/>
          <w:lang w:val="zh-CN" w:eastAsia="zh-CN" w:bidi="ar-SA"/>
        </w:rPr>
        <w:t>项目绩效自评情况：根据年初设定的绩效目标，</w:t>
      </w:r>
      <w:r>
        <w:rPr>
          <w:rFonts w:hint="eastAsia" w:ascii="仿宋" w:hAnsi="仿宋" w:eastAsia="仿宋" w:cs="仿宋"/>
          <w:i w:val="0"/>
          <w:iCs w:val="0"/>
          <w:color w:val="000000"/>
          <w:kern w:val="0"/>
          <w:sz w:val="32"/>
          <w:szCs w:val="32"/>
          <w:highlight w:val="none"/>
          <w:u w:val="none"/>
          <w:lang w:val="en-US" w:eastAsia="zh-CN" w:bidi="ar"/>
        </w:rPr>
        <w:t>中小企业发展专项资金（孵化器、众创空间认定备案奖励）</w:t>
      </w:r>
      <w:r>
        <w:rPr>
          <w:rFonts w:hint="eastAsia" w:ascii="仿宋" w:hAnsi="仿宋" w:eastAsia="仿宋" w:cs="仿宋"/>
          <w:color w:val="auto"/>
          <w:kern w:val="2"/>
          <w:sz w:val="32"/>
          <w:szCs w:val="32"/>
          <w:highlight w:val="none"/>
          <w:lang w:val="zh-CN" w:eastAsia="zh-CN" w:bidi="ar-SA"/>
        </w:rPr>
        <w:t>项目绩效自评得分为</w:t>
      </w:r>
      <w:r>
        <w:rPr>
          <w:rFonts w:hint="eastAsia" w:ascii="仿宋" w:hAnsi="仿宋" w:eastAsia="仿宋" w:cs="仿宋"/>
          <w:color w:val="auto"/>
          <w:kern w:val="2"/>
          <w:sz w:val="32"/>
          <w:szCs w:val="32"/>
          <w:highlight w:val="none"/>
          <w:lang w:val="en-US" w:eastAsia="zh-CN" w:bidi="ar-SA"/>
        </w:rPr>
        <w:t>10</w:t>
      </w:r>
      <w:r>
        <w:rPr>
          <w:rFonts w:hint="eastAsia" w:ascii="仿宋" w:hAnsi="仿宋" w:eastAsia="仿宋" w:cs="仿宋"/>
          <w:color w:val="auto"/>
          <w:kern w:val="2"/>
          <w:sz w:val="32"/>
          <w:szCs w:val="32"/>
          <w:highlight w:val="none"/>
          <w:lang w:val="zh-CN" w:eastAsia="zh-CN" w:bidi="ar-SA"/>
        </w:rPr>
        <w:t>分（绩效自评表附后）。全年预算数为</w:t>
      </w:r>
      <w:r>
        <w:rPr>
          <w:rFonts w:hint="eastAsia" w:ascii="仿宋" w:hAnsi="仿宋" w:eastAsia="仿宋" w:cs="仿宋"/>
          <w:color w:val="auto"/>
          <w:kern w:val="2"/>
          <w:sz w:val="32"/>
          <w:szCs w:val="32"/>
          <w:highlight w:val="none"/>
          <w:lang w:val="en-US" w:eastAsia="zh-CN" w:bidi="ar-SA"/>
        </w:rPr>
        <w:t>227.45</w:t>
      </w:r>
      <w:r>
        <w:rPr>
          <w:rFonts w:hint="eastAsia" w:ascii="仿宋" w:hAnsi="仿宋" w:eastAsia="仿宋" w:cs="仿宋"/>
          <w:color w:val="auto"/>
          <w:kern w:val="2"/>
          <w:sz w:val="32"/>
          <w:szCs w:val="32"/>
          <w:highlight w:val="none"/>
          <w:lang w:val="zh-CN" w:eastAsia="zh-CN" w:bidi="ar-SA"/>
        </w:rPr>
        <w:t>万元，执行数为</w:t>
      </w:r>
      <w:r>
        <w:rPr>
          <w:rFonts w:hint="eastAsia" w:ascii="仿宋" w:hAnsi="仿宋" w:eastAsia="仿宋" w:cs="仿宋"/>
          <w:color w:val="auto"/>
          <w:kern w:val="2"/>
          <w:sz w:val="32"/>
          <w:szCs w:val="32"/>
          <w:highlight w:val="none"/>
          <w:lang w:val="en-US" w:eastAsia="zh-CN" w:bidi="ar-SA"/>
        </w:rPr>
        <w:t>227.45</w:t>
      </w:r>
      <w:r>
        <w:rPr>
          <w:rFonts w:hint="eastAsia" w:ascii="仿宋" w:hAnsi="仿宋" w:eastAsia="仿宋" w:cs="仿宋"/>
          <w:color w:val="auto"/>
          <w:kern w:val="2"/>
          <w:sz w:val="32"/>
          <w:szCs w:val="32"/>
          <w:highlight w:val="none"/>
          <w:lang w:val="zh-CN" w:eastAsia="zh-CN" w:bidi="ar-SA"/>
        </w:rPr>
        <w:t>万元，完成预算的</w:t>
      </w:r>
      <w:r>
        <w:rPr>
          <w:rFonts w:hint="eastAsia" w:ascii="仿宋" w:hAnsi="仿宋" w:eastAsia="仿宋" w:cs="仿宋"/>
          <w:color w:val="auto"/>
          <w:kern w:val="2"/>
          <w:sz w:val="32"/>
          <w:szCs w:val="32"/>
          <w:highlight w:val="none"/>
          <w:lang w:val="en-US" w:eastAsia="zh-CN" w:bidi="ar-SA"/>
        </w:rPr>
        <w:t>100.0</w:t>
      </w:r>
      <w:r>
        <w:rPr>
          <w:rFonts w:hint="eastAsia" w:ascii="仿宋" w:hAnsi="仿宋" w:eastAsia="仿宋" w:cs="仿宋"/>
          <w:color w:val="auto"/>
          <w:kern w:val="2"/>
          <w:sz w:val="32"/>
          <w:szCs w:val="32"/>
          <w:highlight w:val="none"/>
          <w:lang w:val="zh-CN" w:eastAsia="zh-CN" w:bidi="ar-SA"/>
        </w:rPr>
        <w:t>%。项目绩效目标完成情况：</w:t>
      </w:r>
      <w:r>
        <w:rPr>
          <w:rFonts w:hint="eastAsia" w:ascii="仿宋" w:hAnsi="仿宋" w:eastAsia="仿宋" w:cs="仿宋"/>
          <w:color w:val="auto"/>
          <w:kern w:val="2"/>
          <w:sz w:val="32"/>
          <w:szCs w:val="32"/>
          <w:highlight w:val="none"/>
          <w:lang w:val="en-US" w:eastAsia="zh-CN" w:bidi="ar-SA"/>
        </w:rPr>
        <w:t>按要求完成了绩效目标，</w:t>
      </w:r>
      <w:r>
        <w:rPr>
          <w:rFonts w:hint="eastAsia" w:ascii="仿宋" w:hAnsi="仿宋" w:eastAsia="仿宋" w:cs="仿宋"/>
          <w:i w:val="0"/>
          <w:iCs w:val="0"/>
          <w:color w:val="000000"/>
          <w:kern w:val="0"/>
          <w:sz w:val="32"/>
          <w:szCs w:val="32"/>
          <w:highlight w:val="none"/>
          <w:u w:val="none"/>
          <w:lang w:val="en-US" w:eastAsia="zh-CN" w:bidi="ar"/>
        </w:rPr>
        <w:t>支持孵化载体数量，培育科小高企数量18家</w:t>
      </w:r>
      <w:r>
        <w:rPr>
          <w:rFonts w:hint="eastAsia" w:ascii="仿宋" w:hAnsi="仿宋" w:eastAsia="仿宋" w:cs="仿宋"/>
          <w:color w:val="auto"/>
          <w:kern w:val="2"/>
          <w:sz w:val="32"/>
          <w:szCs w:val="32"/>
          <w:highlight w:val="none"/>
          <w:lang w:val="zh-CN" w:eastAsia="zh-CN" w:bidi="ar-SA"/>
        </w:rPr>
        <w:t>，</w:t>
      </w:r>
      <w:r>
        <w:rPr>
          <w:rFonts w:hint="eastAsia" w:ascii="仿宋" w:hAnsi="仿宋" w:eastAsia="仿宋" w:cs="仿宋"/>
          <w:color w:val="auto"/>
          <w:kern w:val="0"/>
          <w:sz w:val="32"/>
          <w:szCs w:val="32"/>
          <w:highlight w:val="none"/>
          <w:lang w:val="en-US" w:eastAsia="zh-CN" w:bidi="ar-SA"/>
        </w:rPr>
        <w:t>未发现问题。</w:t>
      </w:r>
    </w:p>
    <w:tbl>
      <w:tblPr>
        <w:tblStyle w:val="1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7"/>
        <w:gridCol w:w="1381"/>
        <w:gridCol w:w="799"/>
        <w:gridCol w:w="604"/>
        <w:gridCol w:w="799"/>
        <w:gridCol w:w="897"/>
        <w:gridCol w:w="1187"/>
        <w:gridCol w:w="15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4"/>
                <w:szCs w:val="44"/>
                <w:u w:val="none"/>
              </w:rPr>
            </w:pPr>
            <w:r>
              <w:rPr>
                <w:rFonts w:hint="default" w:ascii="方正小标宋_GBK" w:hAnsi="方正小标宋_GBK" w:eastAsia="方正小标宋_GBK" w:cs="方正小标宋_GBK"/>
                <w:i w:val="0"/>
                <w:iCs w:val="0"/>
                <w:color w:val="000000"/>
                <w:kern w:val="0"/>
                <w:sz w:val="44"/>
                <w:szCs w:val="44"/>
                <w:u w:val="none"/>
                <w:lang w:val="en-US" w:eastAsia="zh-CN" w:bidi="ar"/>
              </w:rPr>
              <w:t>区级部门预算项目绩效自评表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gridSpan w:val="8"/>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填报单位：</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高新区科技局</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基本情况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中小企业发展专项资金（孵化器、众创空间认定备案奖励）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实施(主管）单位</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石家庄高新区科技局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二、预算执行情况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预算安排情况（调整后）</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资金到位情况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227.45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227.45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三、目标完成情况</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年度预期目标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具体完成情况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孵化器、众创空间培育科小高企数量不少于6家；通过对孵化载体给予资金支持，为高新区营造良好的创新创业环境。</w:t>
            </w:r>
          </w:p>
        </w:tc>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孵化器、众创空间培育科小高企18家；通过对孵化载体给予资金支持，为高新区营造了良好的创新创业环境。</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年度绩效指标完成情况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支持孵化载体数量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培育科小高企数量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&gt;=6家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20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资金下达时效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&lt;=60</w:t>
            </w:r>
            <w:r>
              <w:rPr>
                <w:rFonts w:hint="eastAsia" w:ascii="宋体" w:hAnsi="宋体" w:eastAsia="宋体" w:cs="宋体"/>
                <w:i w:val="0"/>
                <w:iCs w:val="0"/>
                <w:color w:val="000000"/>
                <w:kern w:val="0"/>
                <w:sz w:val="20"/>
                <w:szCs w:val="20"/>
                <w:u w:val="none"/>
                <w:lang w:val="en-US" w:eastAsia="zh-CN" w:bidi="ar"/>
              </w:rPr>
              <w:t>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25</w:t>
            </w:r>
            <w:r>
              <w:rPr>
                <w:rFonts w:hint="eastAsia" w:ascii="宋体" w:hAnsi="宋体" w:eastAsia="宋体" w:cs="宋体"/>
                <w:i w:val="0"/>
                <w:iCs w:val="0"/>
                <w:color w:val="000000"/>
                <w:kern w:val="0"/>
                <w:sz w:val="20"/>
                <w:szCs w:val="20"/>
                <w:u w:val="none"/>
                <w:lang w:val="en-US" w:eastAsia="zh-CN" w:bidi="ar"/>
              </w:rPr>
              <w:t>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拨付资金所需人力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等线"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0" w:type="auto"/>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营造良好的创新创业环境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良好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效果良好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30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&gt;=95%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存在问题、原因及下一步整改措施</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填报人：</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方肖</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85099753</w:t>
            </w:r>
          </w:p>
        </w:tc>
      </w:tr>
    </w:tbl>
    <w:p>
      <w:pPr>
        <w:numPr>
          <w:ilvl w:val="0"/>
          <w:numId w:val="2"/>
        </w:numPr>
        <w:adjustRightInd w:val="0"/>
        <w:snapToGrid w:val="0"/>
        <w:spacing w:line="580" w:lineRule="exact"/>
        <w:ind w:left="480" w:leftChars="200" w:firstLine="321" w:firstLineChars="100"/>
        <w:rPr>
          <w:rFonts w:hint="eastAsia" w:ascii="楷体" w:hAnsi="楷体" w:eastAsia="楷体" w:cs="楷体"/>
          <w:b/>
          <w:bCs/>
          <w:sz w:val="32"/>
          <w:szCs w:val="32"/>
        </w:rPr>
      </w:pPr>
      <w:r>
        <w:rPr>
          <w:rFonts w:hint="eastAsia" w:ascii="楷体" w:hAnsi="楷体" w:eastAsia="楷体" w:cs="楷体"/>
          <w:b/>
          <w:bCs/>
          <w:sz w:val="32"/>
          <w:szCs w:val="32"/>
        </w:rPr>
        <w:t>部门评价项目绩效评价结果</w:t>
      </w:r>
    </w:p>
    <w:tbl>
      <w:tblPr>
        <w:tblStyle w:val="11"/>
        <w:tblW w:w="844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4"/>
        <w:gridCol w:w="1087"/>
        <w:gridCol w:w="486"/>
        <w:gridCol w:w="330"/>
        <w:gridCol w:w="294"/>
        <w:gridCol w:w="422"/>
        <w:gridCol w:w="348"/>
        <w:gridCol w:w="268"/>
        <w:gridCol w:w="414"/>
        <w:gridCol w:w="302"/>
        <w:gridCol w:w="602"/>
        <w:gridCol w:w="161"/>
        <w:gridCol w:w="1062"/>
        <w:gridCol w:w="95"/>
        <w:gridCol w:w="1521"/>
        <w:gridCol w:w="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540" w:hRule="atLeast"/>
        </w:trPr>
        <w:tc>
          <w:tcPr>
            <w:tcW w:w="8429" w:type="dxa"/>
            <w:gridSpan w:val="1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4"/>
                <w:szCs w:val="44"/>
                <w:u w:val="none"/>
              </w:rPr>
            </w:pPr>
            <w:r>
              <w:rPr>
                <w:rFonts w:hint="default" w:ascii="方正小标宋_GBK" w:hAnsi="方正小标宋_GBK" w:eastAsia="方正小标宋_GBK" w:cs="方正小标宋_GBK"/>
                <w:i w:val="0"/>
                <w:iCs w:val="0"/>
                <w:color w:val="000000"/>
                <w:kern w:val="0"/>
                <w:sz w:val="44"/>
                <w:szCs w:val="44"/>
                <w:u w:val="none"/>
                <w:lang w:val="en-US" w:eastAsia="zh-CN" w:bidi="ar"/>
              </w:rPr>
              <w:t>区级部门预算项目绩效自评表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15" w:hRule="atLeast"/>
        </w:trPr>
        <w:tc>
          <w:tcPr>
            <w:tcW w:w="8429" w:type="dxa"/>
            <w:gridSpan w:val="15"/>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60" w:hRule="atLeast"/>
        </w:trPr>
        <w:tc>
          <w:tcPr>
            <w:tcW w:w="130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填报单位：</w:t>
            </w:r>
          </w:p>
        </w:tc>
        <w:tc>
          <w:tcPr>
            <w:tcW w:w="1483" w:type="dxa"/>
            <w:gridSpan w:val="2"/>
            <w:tcBorders>
              <w:top w:val="nil"/>
              <w:left w:val="nil"/>
              <w:bottom w:val="nil"/>
              <w:right w:val="nil"/>
            </w:tcBorders>
            <w:shd w:val="clear" w:color="auto" w:fill="auto"/>
            <w:noWrap/>
            <w:vAlign w:val="center"/>
          </w:tcPr>
          <w:p>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高新区科技局</w:t>
            </w:r>
          </w:p>
        </w:tc>
        <w:tc>
          <w:tcPr>
            <w:tcW w:w="551"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38"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55"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66"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216"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616"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560" w:hRule="atLeast"/>
        </w:trPr>
        <w:tc>
          <w:tcPr>
            <w:tcW w:w="130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25"/>
                <w:lang w:val="en-US" w:eastAsia="zh-CN" w:bidi="ar"/>
              </w:rPr>
              <w:t>一、</w:t>
            </w:r>
            <w:r>
              <w:rPr>
                <w:rFonts w:ascii="Calibri" w:hAnsi="Calibri" w:eastAsia="宋体" w:cs="Calibri"/>
                <w:i w:val="0"/>
                <w:iCs w:val="0"/>
                <w:color w:val="000000"/>
                <w:kern w:val="0"/>
                <w:sz w:val="20"/>
                <w:szCs w:val="20"/>
                <w:u w:val="none"/>
                <w:lang w:val="en-US" w:eastAsia="zh-CN" w:bidi="ar"/>
              </w:rPr>
              <w:t xml:space="preserve"> </w:t>
            </w:r>
            <w:r>
              <w:rPr>
                <w:rStyle w:val="25"/>
                <w:lang w:val="en-US" w:eastAsia="zh-CN" w:bidi="ar"/>
              </w:rPr>
              <w:t>基本情况</w:t>
            </w: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2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石财教【2023】56号2023年县域科技创新能力跃升市级资金</w:t>
            </w:r>
          </w:p>
        </w:tc>
        <w:tc>
          <w:tcPr>
            <w:tcW w:w="6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实施(主管）单位</w:t>
            </w:r>
          </w:p>
        </w:tc>
        <w:tc>
          <w:tcPr>
            <w:tcW w:w="36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306-石家庄高新技术产业开发区科学技术局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480" w:hRule="atLeast"/>
        </w:trPr>
        <w:tc>
          <w:tcPr>
            <w:tcW w:w="13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二、预算执行情况</w:t>
            </w:r>
          </w:p>
        </w:tc>
        <w:tc>
          <w:tcPr>
            <w:tcW w:w="20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预算安排情况（调整后）</w:t>
            </w:r>
          </w:p>
        </w:tc>
        <w:tc>
          <w:tcPr>
            <w:tcW w:w="13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资金到位情况</w:t>
            </w:r>
          </w:p>
        </w:tc>
        <w:tc>
          <w:tcPr>
            <w:tcW w:w="20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资金执行情况</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420" w:hRule="atLeast"/>
        </w:trPr>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5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7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到位数：</w:t>
            </w:r>
          </w:p>
        </w:tc>
        <w:tc>
          <w:tcPr>
            <w:tcW w:w="6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执行数：</w:t>
            </w:r>
          </w:p>
        </w:tc>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205</w:t>
            </w:r>
          </w:p>
        </w:tc>
        <w:tc>
          <w:tcPr>
            <w:tcW w:w="16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540" w:hRule="atLeast"/>
        </w:trPr>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5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7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6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16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405" w:hRule="atLeast"/>
        </w:trPr>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5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Calibri" w:hAnsi="Calibri" w:eastAsia="等线" w:cs="Calibri"/>
                <w:i w:val="0"/>
                <w:iCs w:val="0"/>
                <w:color w:val="000000"/>
                <w:sz w:val="20"/>
                <w:szCs w:val="20"/>
                <w:u w:val="none"/>
              </w:rPr>
            </w:pPr>
          </w:p>
        </w:tc>
        <w:tc>
          <w:tcPr>
            <w:tcW w:w="7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6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6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500" w:hRule="atLeast"/>
        </w:trPr>
        <w:tc>
          <w:tcPr>
            <w:tcW w:w="1304"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三、目标完成情况</w:t>
            </w:r>
          </w:p>
        </w:tc>
        <w:tc>
          <w:tcPr>
            <w:tcW w:w="2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年度预期目标</w:t>
            </w:r>
          </w:p>
        </w:tc>
        <w:tc>
          <w:tcPr>
            <w:tcW w:w="27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具体完成情况</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500" w:hRule="atLeast"/>
        </w:trPr>
        <w:tc>
          <w:tcPr>
            <w:tcW w:w="130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促进科技创新成果转化与扩散</w:t>
            </w:r>
          </w:p>
        </w:tc>
        <w:tc>
          <w:tcPr>
            <w:tcW w:w="27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促进科技创新成果转化与扩散</w:t>
            </w:r>
          </w:p>
        </w:tc>
        <w:tc>
          <w:tcPr>
            <w:tcW w:w="1616"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500" w:hRule="atLeast"/>
        </w:trPr>
        <w:tc>
          <w:tcPr>
            <w:tcW w:w="130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支持企业科技创新，促进科技创新能力提升</w:t>
            </w:r>
          </w:p>
        </w:tc>
        <w:tc>
          <w:tcPr>
            <w:tcW w:w="27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支持企业科技创新，促进科技创新能力提升</w:t>
            </w:r>
          </w:p>
        </w:tc>
        <w:tc>
          <w:tcPr>
            <w:tcW w:w="161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420" w:hRule="atLeast"/>
        </w:trPr>
        <w:tc>
          <w:tcPr>
            <w:tcW w:w="1304"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25"/>
                <w:lang w:val="en-US" w:eastAsia="zh-CN" w:bidi="ar"/>
              </w:rPr>
              <w:t>四、</w:t>
            </w:r>
            <w:r>
              <w:rPr>
                <w:rFonts w:ascii="Calibri" w:hAnsi="Calibri" w:eastAsia="宋体" w:cs="Calibri"/>
                <w:i w:val="0"/>
                <w:iCs w:val="0"/>
                <w:color w:val="000000"/>
                <w:kern w:val="0"/>
                <w:sz w:val="20"/>
                <w:szCs w:val="20"/>
                <w:u w:val="none"/>
                <w:lang w:val="en-US" w:eastAsia="zh-CN" w:bidi="ar"/>
              </w:rPr>
              <w:t xml:space="preserve"> </w:t>
            </w:r>
            <w:r>
              <w:rPr>
                <w:rStyle w:val="25"/>
                <w:lang w:val="en-US" w:eastAsia="zh-CN" w:bidi="ar"/>
              </w:rPr>
              <w:t>年度绩效指标完成情况</w:t>
            </w: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5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3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预期指标值</w:t>
            </w:r>
          </w:p>
        </w:tc>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660" w:hRule="atLeast"/>
        </w:trPr>
        <w:tc>
          <w:tcPr>
            <w:tcW w:w="130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3"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产出指标（50）</w:t>
            </w:r>
          </w:p>
        </w:tc>
        <w:tc>
          <w:tcPr>
            <w:tcW w:w="5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3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资金拨付率</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270" w:hRule="atLeast"/>
        </w:trPr>
        <w:tc>
          <w:tcPr>
            <w:tcW w:w="130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3"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3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获得2023年县域科技创新能力跃升资金的项目数量</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≥6家</w:t>
            </w:r>
          </w:p>
        </w:tc>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Style w:val="26"/>
                <w:rFonts w:eastAsia="等线"/>
                <w:lang w:val="en-US" w:eastAsia="zh-CN" w:bidi="ar"/>
              </w:rPr>
              <w:t>6</w:t>
            </w:r>
            <w:r>
              <w:rPr>
                <w:rStyle w:val="27"/>
                <w:lang w:val="en-US" w:eastAsia="zh-CN" w:bidi="ar"/>
              </w:rPr>
              <w:t>家</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270" w:hRule="atLeast"/>
        </w:trPr>
        <w:tc>
          <w:tcPr>
            <w:tcW w:w="130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3"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3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资金下达时效</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&lt;=30天</w:t>
            </w:r>
          </w:p>
        </w:tc>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&lt;=30天</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270" w:hRule="atLeast"/>
        </w:trPr>
        <w:tc>
          <w:tcPr>
            <w:tcW w:w="130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3"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3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需要支出资金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&lt;=205万元</w:t>
            </w:r>
          </w:p>
        </w:tc>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Style w:val="26"/>
                <w:rFonts w:eastAsia="等线"/>
                <w:lang w:val="en-US" w:eastAsia="zh-CN" w:bidi="ar"/>
              </w:rPr>
              <w:t>205</w:t>
            </w:r>
            <w:r>
              <w:rPr>
                <w:rStyle w:val="27"/>
                <w:lang w:val="en-US" w:eastAsia="zh-CN" w:bidi="ar"/>
              </w:rPr>
              <w:t>万元</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840" w:hRule="atLeast"/>
        </w:trPr>
        <w:tc>
          <w:tcPr>
            <w:tcW w:w="130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551"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13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270" w:hRule="atLeast"/>
        </w:trPr>
        <w:tc>
          <w:tcPr>
            <w:tcW w:w="130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3" w:type="dxa"/>
            <w:gridSpan w:val="2"/>
            <w:tcBorders>
              <w:top w:val="nil"/>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51"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13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促进科技创新能力提升</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良好</w:t>
            </w:r>
          </w:p>
        </w:tc>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良好</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270" w:hRule="atLeast"/>
        </w:trPr>
        <w:tc>
          <w:tcPr>
            <w:tcW w:w="130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551"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3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&gt;=95%</w:t>
            </w:r>
          </w:p>
        </w:tc>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270" w:hRule="atLeast"/>
        </w:trPr>
        <w:tc>
          <w:tcPr>
            <w:tcW w:w="130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50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780" w:hRule="atLeast"/>
        </w:trPr>
        <w:tc>
          <w:tcPr>
            <w:tcW w:w="130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25"/>
                <w:lang w:val="en-US" w:eastAsia="zh-CN" w:bidi="ar"/>
              </w:rPr>
              <w:t>五、</w:t>
            </w:r>
            <w:r>
              <w:rPr>
                <w:rFonts w:ascii="Calibri" w:hAnsi="Calibri" w:eastAsia="宋体" w:cs="Calibri"/>
                <w:i w:val="0"/>
                <w:iCs w:val="0"/>
                <w:color w:val="000000"/>
                <w:kern w:val="0"/>
                <w:sz w:val="20"/>
                <w:szCs w:val="20"/>
                <w:u w:val="none"/>
                <w:lang w:val="en-US" w:eastAsia="zh-CN" w:bidi="ar"/>
              </w:rPr>
              <w:t xml:space="preserve"> </w:t>
            </w:r>
            <w:r>
              <w:rPr>
                <w:rStyle w:val="25"/>
                <w:lang w:val="en-US" w:eastAsia="zh-CN" w:bidi="ar"/>
              </w:rPr>
              <w:t>存在问题、原因及下一步整改措施</w:t>
            </w:r>
          </w:p>
        </w:tc>
        <w:tc>
          <w:tcPr>
            <w:tcW w:w="7125"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405" w:hRule="atLeast"/>
        </w:trPr>
        <w:tc>
          <w:tcPr>
            <w:tcW w:w="130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填报人：</w:t>
            </w:r>
          </w:p>
        </w:tc>
        <w:tc>
          <w:tcPr>
            <w:tcW w:w="1483"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吕楠楠</w:t>
            </w:r>
          </w:p>
        </w:tc>
        <w:tc>
          <w:tcPr>
            <w:tcW w:w="551"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38"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55"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66"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216"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1616"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85093609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442" w:type="dxa"/>
            <w:gridSpan w:val="1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4"/>
                <w:szCs w:val="44"/>
                <w:u w:val="none"/>
              </w:rPr>
            </w:pPr>
            <w:r>
              <w:rPr>
                <w:rFonts w:hint="default" w:ascii="方正小标宋_GBK" w:hAnsi="方正小标宋_GBK" w:eastAsia="方正小标宋_GBK" w:cs="方正小标宋_GBK"/>
                <w:i w:val="0"/>
                <w:iCs w:val="0"/>
                <w:color w:val="000000"/>
                <w:kern w:val="0"/>
                <w:sz w:val="44"/>
                <w:szCs w:val="44"/>
                <w:u w:val="none"/>
                <w:lang w:val="en-US" w:eastAsia="zh-CN" w:bidi="ar"/>
              </w:rPr>
              <w:t>区级部门预算项目绩效自评表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42" w:type="dxa"/>
            <w:gridSpan w:val="1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2023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391"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填报单位：高新区科技局</w:t>
            </w:r>
          </w:p>
        </w:tc>
        <w:tc>
          <w:tcPr>
            <w:tcW w:w="665"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6"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92"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6"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31"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157"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534"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2391"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基本情况</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2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石财教[2023]55号2022年度科技型中小企业贷款贴息市级补助资金</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实施(主管）单位</w:t>
            </w:r>
          </w:p>
        </w:tc>
        <w:tc>
          <w:tcPr>
            <w:tcW w:w="34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306-石家庄高新技术产业开发区科学技术局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二、预算执行情况</w:t>
            </w:r>
          </w:p>
        </w:tc>
        <w:tc>
          <w:tcPr>
            <w:tcW w:w="13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预算安排情况（调整后）</w:t>
            </w:r>
          </w:p>
        </w:tc>
        <w:tc>
          <w:tcPr>
            <w:tcW w:w="12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资金到位情况</w:t>
            </w:r>
          </w:p>
        </w:tc>
        <w:tc>
          <w:tcPr>
            <w:tcW w:w="18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资金执行情况</w:t>
            </w: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3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980.4</w:t>
            </w:r>
          </w:p>
        </w:tc>
        <w:tc>
          <w:tcPr>
            <w:tcW w:w="5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到位数：</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980.4</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执行数：</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980.4</w:t>
            </w:r>
          </w:p>
        </w:tc>
        <w:tc>
          <w:tcPr>
            <w:tcW w:w="15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980.4</w:t>
            </w:r>
          </w:p>
        </w:tc>
        <w:tc>
          <w:tcPr>
            <w:tcW w:w="5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980.4</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980.4</w:t>
            </w:r>
          </w:p>
        </w:tc>
        <w:tc>
          <w:tcPr>
            <w:tcW w:w="15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23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Calibri" w:hAnsi="Calibri" w:eastAsia="等线" w:cs="Calibri"/>
                <w:i w:val="0"/>
                <w:iCs w:val="0"/>
                <w:color w:val="000000"/>
                <w:sz w:val="20"/>
                <w:szCs w:val="20"/>
                <w:u w:val="none"/>
              </w:rPr>
            </w:pPr>
          </w:p>
        </w:tc>
        <w:tc>
          <w:tcPr>
            <w:tcW w:w="5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5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23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三、目标完成情况</w:t>
            </w:r>
          </w:p>
        </w:tc>
        <w:tc>
          <w:tcPr>
            <w:tcW w:w="194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年度预期目标</w:t>
            </w:r>
          </w:p>
        </w:tc>
        <w:tc>
          <w:tcPr>
            <w:tcW w:w="257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具体完成情况</w:t>
            </w: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3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43"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降低科技型中小企业贷款成本，支持企业发展；提升企业金融服务环境，提高高新区营商环境，提高对外吸引力。</w:t>
            </w:r>
          </w:p>
        </w:tc>
        <w:tc>
          <w:tcPr>
            <w:tcW w:w="2574"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降低了科技型中小企业贷款成本，支持企业发展；提升了企业金融服务环境，提高了高新区营商环境，提高对外吸引力。</w:t>
            </w:r>
          </w:p>
        </w:tc>
        <w:tc>
          <w:tcPr>
            <w:tcW w:w="15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43"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7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3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43"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7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391" w:type="dxa"/>
            <w:gridSpan w:val="2"/>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年度绩效指标完成情况</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2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预期指标值</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391" w:type="dxa"/>
            <w:gridSpan w:val="2"/>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产出指标（50）</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2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r>
              <w:rPr>
                <w:rFonts w:ascii="Calibri" w:hAnsi="Calibri" w:eastAsia="宋体" w:cs="Calibri"/>
                <w:i w:val="0"/>
                <w:iCs w:val="0"/>
                <w:color w:val="000000"/>
                <w:kern w:val="0"/>
                <w:sz w:val="20"/>
                <w:szCs w:val="20"/>
                <w:u w:val="none"/>
                <w:lang w:val="en-US" w:eastAsia="zh-CN" w:bidi="ar"/>
              </w:rPr>
              <w:t xml:space="preserve"> </w:t>
            </w:r>
            <w:r>
              <w:rPr>
                <w:rFonts w:ascii="Arial Unicode MS" w:hAnsi="Arial Unicode MS" w:eastAsia="Arial Unicode MS" w:cs="Arial Unicode MS"/>
                <w:i w:val="0"/>
                <w:iCs w:val="0"/>
                <w:color w:val="000000"/>
                <w:kern w:val="0"/>
                <w:sz w:val="20"/>
                <w:szCs w:val="20"/>
                <w:u w:val="none"/>
                <w:lang w:val="en-US" w:eastAsia="zh-CN" w:bidi="ar"/>
              </w:rPr>
              <w:t>１</w:t>
            </w:r>
            <w:r>
              <w:rPr>
                <w:rFonts w:hint="eastAsia" w:ascii="宋体" w:hAnsi="宋体" w:eastAsia="宋体" w:cs="宋体"/>
                <w:i w:val="0"/>
                <w:iCs w:val="0"/>
                <w:color w:val="000000"/>
                <w:kern w:val="0"/>
                <w:sz w:val="20"/>
                <w:szCs w:val="20"/>
                <w:u w:val="none"/>
                <w:lang w:val="en-US" w:eastAsia="zh-CN" w:bidi="ar"/>
              </w:rPr>
              <w:t>科技型中小企业贴息数量</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91" w:type="dxa"/>
            <w:gridSpan w:val="2"/>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2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拨付资金率</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2391" w:type="dxa"/>
            <w:gridSpan w:val="2"/>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2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拨付资金时间</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2023</w:t>
            </w:r>
            <w:r>
              <w:rPr>
                <w:rFonts w:hint="eastAsia" w:ascii="宋体" w:hAnsi="宋体" w:eastAsia="宋体" w:cs="宋体"/>
                <w:i w:val="0"/>
                <w:iCs w:val="0"/>
                <w:color w:val="000000"/>
                <w:kern w:val="0"/>
                <w:sz w:val="20"/>
                <w:szCs w:val="20"/>
                <w:u w:val="none"/>
                <w:lang w:val="en-US" w:eastAsia="zh-CN" w:bidi="ar"/>
              </w:rPr>
              <w:t>年</w:t>
            </w:r>
            <w:r>
              <w:rPr>
                <w:rFonts w:hint="default" w:ascii="Calibri" w:hAnsi="Calibri" w:eastAsia="等线"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月底前</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2023</w:t>
            </w:r>
            <w:r>
              <w:rPr>
                <w:rFonts w:hint="eastAsia" w:ascii="宋体" w:hAnsi="宋体" w:eastAsia="宋体" w:cs="宋体"/>
                <w:i w:val="0"/>
                <w:iCs w:val="0"/>
                <w:color w:val="000000"/>
                <w:kern w:val="0"/>
                <w:sz w:val="20"/>
                <w:szCs w:val="20"/>
                <w:u w:val="none"/>
                <w:lang w:val="en-US" w:eastAsia="zh-CN" w:bidi="ar"/>
              </w:rPr>
              <w:t>年</w:t>
            </w:r>
            <w:r>
              <w:rPr>
                <w:rFonts w:hint="default" w:ascii="Calibri" w:hAnsi="Calibri" w:eastAsia="等线"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月底前</w:t>
            </w: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91" w:type="dxa"/>
            <w:gridSpan w:val="2"/>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2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预算资金使用率</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391" w:type="dxa"/>
            <w:gridSpan w:val="2"/>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686"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12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91" w:type="dxa"/>
            <w:gridSpan w:val="2"/>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gridSpan w:val="2"/>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效益指标（30）</w:t>
            </w:r>
          </w:p>
        </w:tc>
        <w:tc>
          <w:tcPr>
            <w:tcW w:w="686"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w:t>
            </w:r>
          </w:p>
        </w:tc>
        <w:tc>
          <w:tcPr>
            <w:tcW w:w="12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对企业运营的影响</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显著</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显著</w:t>
            </w: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91" w:type="dxa"/>
            <w:gridSpan w:val="2"/>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gridSpan w:val="2"/>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6"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生态效益指标</w:t>
            </w:r>
          </w:p>
        </w:tc>
        <w:tc>
          <w:tcPr>
            <w:tcW w:w="12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长期对企业发展生态环境的影响</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显著</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显著</w:t>
            </w: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91" w:type="dxa"/>
            <w:gridSpan w:val="2"/>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686"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2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≥95%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95%</w:t>
            </w: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91" w:type="dxa"/>
            <w:gridSpan w:val="2"/>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51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91"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存在问题、原因及下一步整改措施</w:t>
            </w:r>
          </w:p>
        </w:tc>
        <w:tc>
          <w:tcPr>
            <w:tcW w:w="6051"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2391"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填报人：</w:t>
            </w:r>
          </w:p>
        </w:tc>
        <w:tc>
          <w:tcPr>
            <w:tcW w:w="665"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张玉英</w:t>
            </w:r>
          </w:p>
        </w:tc>
        <w:tc>
          <w:tcPr>
            <w:tcW w:w="686"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92"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6"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31"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157"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1534"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86096875</w:t>
            </w:r>
          </w:p>
        </w:tc>
      </w:tr>
    </w:tbl>
    <w:p>
      <w:pPr>
        <w:numPr>
          <w:numId w:val="0"/>
        </w:numPr>
        <w:adjustRightInd w:val="0"/>
        <w:snapToGrid w:val="0"/>
        <w:spacing w:line="580" w:lineRule="exact"/>
        <w:ind w:leftChars="300"/>
        <w:rPr>
          <w:rFonts w:hint="eastAsia" w:ascii="楷体" w:hAnsi="楷体" w:eastAsia="楷体" w:cs="楷体"/>
          <w:b/>
          <w:bCs/>
          <w:sz w:val="32"/>
          <w:szCs w:val="32"/>
        </w:rPr>
      </w:pPr>
    </w:p>
    <w:p>
      <w:pPr>
        <w:adjustRightInd w:val="0"/>
        <w:snapToGrid w:val="0"/>
        <w:spacing w:line="580" w:lineRule="exact"/>
        <w:ind w:firstLine="640" w:firstLineChars="200"/>
        <w:rPr>
          <w:rFonts w:hint="default" w:ascii="Times New Roman" w:hAnsi="Times New Roman" w:eastAsia="楷体_GB2312" w:cs="Times New Roman"/>
          <w:b/>
          <w:bCs/>
          <w:sz w:val="32"/>
          <w:szCs w:val="32"/>
        </w:rPr>
      </w:pPr>
      <w:r>
        <w:rPr>
          <w:rFonts w:hint="default" w:ascii="Times New Roman" w:hAnsi="Times New Roman" w:eastAsia="黑体" w:cs="Times New Roman"/>
          <w:sz w:val="32"/>
          <w:szCs w:val="32"/>
        </w:rPr>
        <w:t>十、其他需要说明的情况</w:t>
      </w:r>
    </w:p>
    <w:p>
      <w:pPr>
        <w:adjustRightInd w:val="0"/>
        <w:snapToGrid w:val="0"/>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w:t>
      </w:r>
      <w:r>
        <w:rPr>
          <w:rFonts w:hint="eastAsia" w:ascii="仿宋" w:hAnsi="仿宋" w:eastAsia="仿宋" w:cs="仿宋"/>
          <w:sz w:val="32"/>
          <w:szCs w:val="32"/>
          <w:lang w:val="en-US" w:eastAsia="zh-CN"/>
        </w:rPr>
        <w:t>部门</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年度未发生政府性基金预算、国有资金经营预算收支及结转结余情况，故政府性基金预算财政拨款收入支出决算表、国有资金经营预算财政拨款支出决算表等表以空表列示。</w:t>
      </w:r>
    </w:p>
    <w:p>
      <w:pPr>
        <w:adjustRightInd w:val="0"/>
        <w:snapToGrid w:val="0"/>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 由于决算公开表格中金额数值应当保留两位小数，公开数据为四舍五入计算结果，个别数据合计项与分项之和存在小数点后差额，特此说明。</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jc w:val="cente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ind w:firstLine="880" w:firstLineChars="200"/>
        <w:jc w:val="cente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第四部分 相关名词解释</w:t>
      </w:r>
    </w:p>
    <w:p>
      <w:pP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br w:type="page"/>
      </w:r>
    </w:p>
    <w:p>
      <w:pPr>
        <w:widowControl/>
        <w:jc w:val="cente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numPr>
          <w:ilvl w:val="0"/>
          <w:numId w:val="0"/>
        </w:numPr>
        <w:spacing w:line="580" w:lineRule="exact"/>
        <w:ind w:firstLine="643" w:firstLineChars="200"/>
        <w:rPr>
          <w:rFonts w:hint="eastAsia" w:ascii="仿宋" w:hAnsi="仿宋" w:eastAsia="仿宋" w:cs="仿宋"/>
          <w:bCs/>
          <w:color w:val="000000"/>
          <w:kern w:val="0"/>
          <w:sz w:val="32"/>
          <w:szCs w:val="32"/>
        </w:rPr>
      </w:pPr>
      <w:bookmarkStart w:id="0" w:name="_GoBack"/>
      <w:r>
        <w:rPr>
          <w:rFonts w:hint="eastAsia" w:ascii="仿宋" w:hAnsi="仿宋" w:eastAsia="仿宋" w:cs="仿宋"/>
          <w:b/>
          <w:bCs/>
          <w:color w:val="000000"/>
          <w:kern w:val="0"/>
          <w:sz w:val="32"/>
          <w:szCs w:val="32"/>
          <w:lang w:val="en-US" w:eastAsia="zh-CN"/>
        </w:rPr>
        <w:t>一、</w:t>
      </w:r>
      <w:r>
        <w:rPr>
          <w:rFonts w:hint="eastAsia" w:ascii="仿宋" w:hAnsi="仿宋" w:eastAsia="仿宋" w:cs="仿宋"/>
          <w:b/>
          <w:bCs/>
          <w:color w:val="000000"/>
          <w:kern w:val="0"/>
          <w:sz w:val="32"/>
          <w:szCs w:val="32"/>
        </w:rPr>
        <w:t>财政拨款收入：</w:t>
      </w:r>
      <w:r>
        <w:rPr>
          <w:rFonts w:hint="eastAsia" w:ascii="仿宋" w:hAnsi="仿宋" w:eastAsia="仿宋" w:cs="仿宋"/>
          <w:bCs/>
          <w:color w:val="000000"/>
          <w:kern w:val="0"/>
          <w:sz w:val="32"/>
          <w:szCs w:val="32"/>
        </w:rPr>
        <w:t>指单位从同级财政部门取得的财政预算资金。</w:t>
      </w: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二、</w:t>
      </w:r>
      <w:r>
        <w:rPr>
          <w:rFonts w:hint="eastAsia" w:ascii="仿宋" w:hAnsi="仿宋" w:eastAsia="仿宋" w:cs="仿宋"/>
          <w:b/>
          <w:bCs/>
          <w:color w:val="000000"/>
          <w:kern w:val="0"/>
          <w:sz w:val="32"/>
          <w:szCs w:val="32"/>
        </w:rPr>
        <w:t>事业收入：</w:t>
      </w:r>
      <w:r>
        <w:rPr>
          <w:rFonts w:hint="eastAsia" w:ascii="仿宋" w:hAnsi="仿宋" w:eastAsia="仿宋" w:cs="仿宋"/>
          <w:bCs/>
          <w:color w:val="000000"/>
          <w:kern w:val="0"/>
          <w:sz w:val="32"/>
          <w:szCs w:val="32"/>
        </w:rPr>
        <w:t>指事业单位开展专业业务活动及辅助活动取得的收入。</w:t>
      </w: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三、</w:t>
      </w:r>
      <w:r>
        <w:rPr>
          <w:rFonts w:hint="eastAsia" w:ascii="仿宋" w:hAnsi="仿宋" w:eastAsia="仿宋" w:cs="仿宋"/>
          <w:b/>
          <w:bCs/>
          <w:color w:val="000000"/>
          <w:kern w:val="0"/>
          <w:sz w:val="32"/>
          <w:szCs w:val="32"/>
        </w:rPr>
        <w:t>经营收入：</w:t>
      </w:r>
      <w:r>
        <w:rPr>
          <w:rFonts w:hint="eastAsia" w:ascii="仿宋" w:hAnsi="仿宋" w:eastAsia="仿宋" w:cs="仿宋"/>
          <w:bCs/>
          <w:color w:val="000000"/>
          <w:kern w:val="0"/>
          <w:sz w:val="32"/>
          <w:szCs w:val="32"/>
        </w:rPr>
        <w:t>指事业单位在专业业务活动及其辅助活动之外开展非独立核算经营活动取得的收入。</w:t>
      </w: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四、</w:t>
      </w:r>
      <w:r>
        <w:rPr>
          <w:rFonts w:hint="eastAsia" w:ascii="仿宋" w:hAnsi="仿宋" w:eastAsia="仿宋" w:cs="仿宋"/>
          <w:b/>
          <w:bCs/>
          <w:color w:val="000000"/>
          <w:kern w:val="0"/>
          <w:sz w:val="32"/>
          <w:szCs w:val="32"/>
        </w:rPr>
        <w:t>其他收入：</w:t>
      </w:r>
      <w:r>
        <w:rPr>
          <w:rFonts w:hint="eastAsia" w:ascii="仿宋" w:hAnsi="仿宋" w:eastAsia="仿宋" w:cs="仿宋"/>
          <w:bCs/>
          <w:color w:val="000000"/>
          <w:kern w:val="0"/>
          <w:sz w:val="32"/>
          <w:szCs w:val="32"/>
        </w:rPr>
        <w:t>指单位取得的除上述收入以外的各项收</w:t>
      </w:r>
    </w:p>
    <w:p>
      <w:pPr>
        <w:spacing w:line="580" w:lineRule="exact"/>
        <w:rPr>
          <w:rFonts w:hint="eastAsia" w:ascii="仿宋" w:hAnsi="仿宋" w:eastAsia="仿宋" w:cs="仿宋"/>
          <w:b/>
          <w:bCs/>
          <w:color w:val="000000"/>
          <w:kern w:val="0"/>
          <w:sz w:val="32"/>
          <w:szCs w:val="32"/>
        </w:rPr>
      </w:pPr>
      <w:r>
        <w:rPr>
          <w:rFonts w:hint="eastAsia" w:ascii="仿宋" w:hAnsi="仿宋" w:eastAsia="仿宋" w:cs="仿宋"/>
          <w:bCs/>
          <w:color w:val="000000"/>
          <w:kern w:val="0"/>
          <w:sz w:val="32"/>
          <w:szCs w:val="32"/>
        </w:rPr>
        <w:t>入。主要是事业单位固定资产出租收入、存款利息收入等。</w:t>
      </w:r>
    </w:p>
    <w:p>
      <w:p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五、</w:t>
      </w:r>
      <w:r>
        <w:rPr>
          <w:rFonts w:hint="eastAsia" w:ascii="仿宋" w:hAnsi="仿宋" w:eastAsia="仿宋" w:cs="仿宋"/>
          <w:b/>
          <w:bCs/>
          <w:color w:val="000000"/>
          <w:kern w:val="0"/>
          <w:sz w:val="32"/>
          <w:szCs w:val="32"/>
        </w:rPr>
        <w:t>使用非财政拨款结余（含专用结余）：</w:t>
      </w:r>
      <w:r>
        <w:rPr>
          <w:rFonts w:hint="eastAsia" w:ascii="仿宋" w:hAnsi="仿宋" w:eastAsia="仿宋" w:cs="仿宋"/>
          <w:bCs/>
          <w:color w:val="000000"/>
          <w:kern w:val="0"/>
          <w:sz w:val="32"/>
          <w:szCs w:val="32"/>
        </w:rPr>
        <w:t>指事业单位按照预算管理要求使用非财政拨款结余弥补收支差额的金额，以及使用专用结余安排支出的金额。</w:t>
      </w: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六、</w:t>
      </w:r>
      <w:r>
        <w:rPr>
          <w:rFonts w:hint="eastAsia" w:ascii="仿宋" w:hAnsi="仿宋" w:eastAsia="仿宋" w:cs="仿宋"/>
          <w:b/>
          <w:bCs/>
          <w:color w:val="000000"/>
          <w:kern w:val="0"/>
          <w:sz w:val="32"/>
          <w:szCs w:val="32"/>
        </w:rPr>
        <w:t>年初结转和结余：</w:t>
      </w:r>
      <w:r>
        <w:rPr>
          <w:rFonts w:hint="eastAsia" w:ascii="仿宋" w:hAnsi="仿宋" w:eastAsia="仿宋" w:cs="仿宋"/>
          <w:bCs/>
          <w:color w:val="000000"/>
          <w:kern w:val="0"/>
          <w:sz w:val="32"/>
          <w:szCs w:val="32"/>
        </w:rPr>
        <w:t>指单位以前年度尚未完成、结转到本年仍按原规定用途继续使用的资金，或项目已完成等产生的结余资金。</w:t>
      </w: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七、</w:t>
      </w:r>
      <w:r>
        <w:rPr>
          <w:rFonts w:hint="eastAsia" w:ascii="仿宋" w:hAnsi="仿宋" w:eastAsia="仿宋" w:cs="仿宋"/>
          <w:b/>
          <w:bCs/>
          <w:color w:val="000000"/>
          <w:kern w:val="0"/>
          <w:sz w:val="32"/>
          <w:szCs w:val="32"/>
        </w:rPr>
        <w:t>结余分配：</w:t>
      </w:r>
      <w:r>
        <w:rPr>
          <w:rFonts w:hint="eastAsia" w:ascii="仿宋" w:hAnsi="仿宋" w:eastAsia="仿宋" w:cs="仿宋"/>
          <w:bCs/>
          <w:color w:val="000000"/>
          <w:kern w:val="0"/>
          <w:sz w:val="32"/>
          <w:szCs w:val="32"/>
        </w:rPr>
        <w:t>指事业单位按照会计制度规定缴纳的所得税、提取的专用结余以及转入非财政拨款结余的金额等。</w:t>
      </w: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八、</w:t>
      </w:r>
      <w:r>
        <w:rPr>
          <w:rFonts w:hint="eastAsia" w:ascii="仿宋" w:hAnsi="仿宋" w:eastAsia="仿宋" w:cs="仿宋"/>
          <w:b/>
          <w:bCs/>
          <w:color w:val="000000"/>
          <w:kern w:val="0"/>
          <w:sz w:val="32"/>
          <w:szCs w:val="32"/>
        </w:rPr>
        <w:t>年末结转和结余：</w:t>
      </w:r>
      <w:r>
        <w:rPr>
          <w:rFonts w:hint="eastAsia" w:ascii="仿宋" w:hAnsi="仿宋" w:eastAsia="仿宋" w:cs="仿宋"/>
          <w:bCs/>
          <w:color w:val="000000"/>
          <w:kern w:val="0"/>
          <w:sz w:val="32"/>
          <w:szCs w:val="32"/>
        </w:rPr>
        <w:t>指单位按有关规定结转到下年或以后年度继续使用的资金，或项目已完成等产生的结余资金。</w:t>
      </w:r>
    </w:p>
    <w:p>
      <w:pPr>
        <w:numPr>
          <w:ilvl w:val="0"/>
          <w:numId w:val="0"/>
        </w:numPr>
        <w:spacing w:line="580" w:lineRule="exact"/>
        <w:ind w:firstLine="643" w:firstLineChars="200"/>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lang w:val="en-US" w:eastAsia="zh-CN"/>
        </w:rPr>
        <w:t>九、</w:t>
      </w:r>
      <w:r>
        <w:rPr>
          <w:rFonts w:hint="eastAsia" w:ascii="仿宋" w:hAnsi="仿宋" w:eastAsia="仿宋" w:cs="仿宋"/>
          <w:b/>
          <w:bCs/>
          <w:color w:val="000000"/>
          <w:kern w:val="0"/>
          <w:sz w:val="32"/>
          <w:szCs w:val="32"/>
        </w:rPr>
        <w:t>基本支出：</w:t>
      </w:r>
      <w:r>
        <w:rPr>
          <w:rFonts w:hint="eastAsia" w:ascii="仿宋" w:hAnsi="仿宋" w:eastAsia="仿宋" w:cs="仿宋"/>
          <w:bCs/>
          <w:color w:val="000000"/>
          <w:kern w:val="0"/>
          <w:sz w:val="32"/>
          <w:szCs w:val="32"/>
        </w:rPr>
        <w:t>指为保障机构正常运转、完成日常工作任务而发生的人员支出和公用支出。</w:t>
      </w:r>
    </w:p>
    <w:p>
      <w:pPr>
        <w:widowControl/>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十、</w:t>
      </w:r>
      <w:r>
        <w:rPr>
          <w:rFonts w:hint="eastAsia" w:ascii="仿宋" w:hAnsi="仿宋" w:eastAsia="仿宋" w:cs="仿宋"/>
          <w:b/>
          <w:bCs/>
          <w:color w:val="000000"/>
          <w:kern w:val="0"/>
          <w:sz w:val="32"/>
          <w:szCs w:val="32"/>
        </w:rPr>
        <w:t>项目支出：</w:t>
      </w:r>
      <w:r>
        <w:rPr>
          <w:rFonts w:hint="eastAsia" w:ascii="仿宋" w:hAnsi="仿宋" w:eastAsia="仿宋" w:cs="仿宋"/>
          <w:color w:val="000000"/>
          <w:kern w:val="0"/>
          <w:sz w:val="32"/>
          <w:szCs w:val="32"/>
        </w:rPr>
        <w:t>指在基本支出之外为完成特定行政任务和事业发展目标所发生的支出。</w:t>
      </w:r>
    </w:p>
    <w:p>
      <w:pPr>
        <w:widowControl/>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十一、</w:t>
      </w:r>
      <w:r>
        <w:rPr>
          <w:rFonts w:hint="eastAsia" w:ascii="仿宋" w:hAnsi="仿宋" w:eastAsia="仿宋" w:cs="仿宋"/>
          <w:b/>
          <w:bCs/>
          <w:color w:val="000000"/>
          <w:kern w:val="0"/>
          <w:sz w:val="32"/>
          <w:szCs w:val="32"/>
        </w:rPr>
        <w:t>经营支出 ：</w:t>
      </w:r>
      <w:r>
        <w:rPr>
          <w:rFonts w:hint="eastAsia" w:ascii="仿宋" w:hAnsi="仿宋" w:eastAsia="仿宋" w:cs="仿宋"/>
          <w:color w:val="000000"/>
          <w:kern w:val="0"/>
          <w:sz w:val="32"/>
          <w:szCs w:val="32"/>
        </w:rPr>
        <w:t>指事业单位在专业业务活动及其辅助活动之外开展非独立核算经营活动发生的支出。</w:t>
      </w:r>
    </w:p>
    <w:p>
      <w:pPr>
        <w:widowControl/>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十二、</w:t>
      </w:r>
      <w:r>
        <w:rPr>
          <w:rFonts w:hint="eastAsia" w:ascii="仿宋" w:hAnsi="仿宋" w:eastAsia="仿宋" w:cs="仿宋"/>
          <w:b/>
          <w:bCs/>
          <w:color w:val="000000"/>
          <w:kern w:val="0"/>
          <w:sz w:val="32"/>
          <w:szCs w:val="32"/>
        </w:rPr>
        <w:t>基本建设支出：</w:t>
      </w:r>
      <w:r>
        <w:rPr>
          <w:rFonts w:hint="eastAsia" w:ascii="仿宋" w:hAnsi="仿宋" w:eastAsia="仿宋" w:cs="仿宋"/>
          <w:color w:val="000000"/>
          <w:kern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pPr>
        <w:widowControl/>
        <w:spacing w:line="560" w:lineRule="exact"/>
        <w:ind w:firstLine="643" w:firstLineChars="200"/>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lang w:val="en-US" w:eastAsia="zh-CN"/>
        </w:rPr>
        <w:t>十三、</w:t>
      </w:r>
      <w:r>
        <w:rPr>
          <w:rFonts w:hint="eastAsia" w:ascii="仿宋" w:hAnsi="仿宋" w:eastAsia="仿宋" w:cs="仿宋"/>
          <w:b/>
          <w:bCs/>
          <w:color w:val="000000"/>
          <w:kern w:val="0"/>
          <w:sz w:val="32"/>
          <w:szCs w:val="32"/>
        </w:rPr>
        <w:t>其他资本性支出：</w:t>
      </w:r>
      <w:r>
        <w:rPr>
          <w:rFonts w:hint="eastAsia" w:ascii="仿宋" w:hAnsi="仿宋" w:eastAsia="仿宋" w:cs="仿宋"/>
          <w:color w:val="000000"/>
          <w:kern w:val="0"/>
          <w:sz w:val="32"/>
          <w:szCs w:val="32"/>
        </w:rPr>
        <w:t>填列由各级非发展与改革部门集中安排的用于购置固定资产、战备性和应急性储备、土地和无形资产，以及购建基础设施、大型修缮和财政支持企业更新改造所发生的支出。</w:t>
      </w:r>
    </w:p>
    <w:p>
      <w:pPr>
        <w:snapToGrid w:val="0"/>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十四、</w:t>
      </w:r>
      <w:r>
        <w:rPr>
          <w:rFonts w:hint="eastAsia" w:ascii="仿宋" w:hAnsi="仿宋" w:eastAsia="仿宋" w:cs="仿宋"/>
          <w:b/>
          <w:bCs/>
          <w:color w:val="000000"/>
          <w:kern w:val="0"/>
          <w:sz w:val="32"/>
          <w:szCs w:val="32"/>
        </w:rPr>
        <w:t>“三公”经费：</w:t>
      </w:r>
      <w:r>
        <w:rPr>
          <w:rFonts w:hint="eastAsia" w:ascii="仿宋" w:hAnsi="仿宋" w:eastAsia="仿宋" w:cs="仿宋"/>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pPr>
        <w:snapToGrid w:val="0"/>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十五、</w:t>
      </w:r>
      <w:r>
        <w:rPr>
          <w:rFonts w:hint="eastAsia" w:ascii="仿宋" w:hAnsi="仿宋" w:eastAsia="仿宋" w:cs="仿宋"/>
          <w:b/>
          <w:bCs/>
          <w:color w:val="000000"/>
          <w:kern w:val="0"/>
          <w:sz w:val="32"/>
          <w:szCs w:val="32"/>
        </w:rPr>
        <w:t>其他交通费用：</w:t>
      </w:r>
      <w:r>
        <w:rPr>
          <w:rFonts w:hint="eastAsia" w:ascii="仿宋" w:hAnsi="仿宋" w:eastAsia="仿宋" w:cs="仿宋"/>
          <w:color w:val="000000"/>
          <w:kern w:val="0"/>
          <w:sz w:val="32"/>
          <w:szCs w:val="32"/>
        </w:rPr>
        <w:t>填列单位除公务用车运行维护费以外的其他交通费用。如公务交通补贴、租车费用、出租车费用，飞机、船舶等燃料费、维修费、保险费等。</w:t>
      </w:r>
    </w:p>
    <w:p>
      <w:pPr>
        <w:widowControl/>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十六、</w:t>
      </w:r>
      <w:r>
        <w:rPr>
          <w:rFonts w:hint="eastAsia" w:ascii="仿宋" w:hAnsi="仿宋" w:eastAsia="仿宋" w:cs="仿宋"/>
          <w:b/>
          <w:bCs/>
          <w:color w:val="000000"/>
          <w:kern w:val="0"/>
          <w:sz w:val="32"/>
          <w:szCs w:val="32"/>
        </w:rPr>
        <w:t>公务用车购置：</w:t>
      </w:r>
      <w:r>
        <w:rPr>
          <w:rFonts w:hint="eastAsia" w:ascii="仿宋" w:hAnsi="仿宋" w:eastAsia="仿宋" w:cs="仿宋"/>
          <w:color w:val="000000"/>
          <w:kern w:val="0"/>
          <w:sz w:val="32"/>
          <w:szCs w:val="32"/>
        </w:rPr>
        <w:t>填列单位公务用车车辆购置支出（含车辆购置税、牌照费）。</w:t>
      </w:r>
    </w:p>
    <w:p>
      <w:pPr>
        <w:widowControl/>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十七、</w:t>
      </w:r>
      <w:r>
        <w:rPr>
          <w:rFonts w:hint="eastAsia" w:ascii="仿宋" w:hAnsi="仿宋" w:eastAsia="仿宋" w:cs="仿宋"/>
          <w:b/>
          <w:bCs/>
          <w:color w:val="000000"/>
          <w:kern w:val="0"/>
          <w:sz w:val="32"/>
          <w:szCs w:val="32"/>
        </w:rPr>
        <w:t>其他交通工具购置：</w:t>
      </w:r>
      <w:r>
        <w:rPr>
          <w:rFonts w:hint="eastAsia" w:ascii="仿宋" w:hAnsi="仿宋" w:eastAsia="仿宋" w:cs="仿宋"/>
          <w:color w:val="000000"/>
          <w:kern w:val="0"/>
          <w:sz w:val="32"/>
          <w:szCs w:val="32"/>
        </w:rPr>
        <w:t>填列单位除公务用车外的其他各类交通工具（如船舶、飞机等）购置支出（含车辆购置税、牌照费）。</w:t>
      </w:r>
    </w:p>
    <w:p>
      <w:pPr>
        <w:widowControl/>
        <w:spacing w:line="560" w:lineRule="exact"/>
        <w:ind w:firstLine="643" w:firstLineChars="200"/>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十八、机关运行经费：</w:t>
      </w:r>
      <w:r>
        <w:rPr>
          <w:rFonts w:hint="eastAsia" w:ascii="仿宋" w:hAnsi="仿宋" w:eastAsia="仿宋" w:cs="仿宋"/>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pPr>
        <w:tabs>
          <w:tab w:val="left" w:pos="235"/>
        </w:tabs>
        <w:ind w:firstLine="643" w:firstLineChars="200"/>
        <w:jc w:val="left"/>
        <w:rPr>
          <w:rFonts w:hint="eastAsia" w:ascii="仿宋" w:hAnsi="仿宋" w:eastAsia="仿宋" w:cs="仿宋"/>
          <w:kern w:val="0"/>
          <w:sz w:val="32"/>
          <w:szCs w:val="32"/>
          <w:lang w:eastAsia="zh-CN"/>
        </w:rPr>
      </w:pPr>
      <w:r>
        <w:rPr>
          <w:rFonts w:hint="eastAsia" w:ascii="仿宋" w:hAnsi="仿宋" w:eastAsia="仿宋" w:cs="仿宋"/>
          <w:b/>
          <w:bCs/>
          <w:color w:val="000000"/>
          <w:kern w:val="0"/>
          <w:sz w:val="32"/>
          <w:szCs w:val="32"/>
        </w:rPr>
        <w:t>十九、经费形式:</w:t>
      </w:r>
      <w:r>
        <w:rPr>
          <w:rFonts w:hint="eastAsia" w:ascii="仿宋" w:hAnsi="仿宋" w:eastAsia="仿宋" w:cs="仿宋"/>
          <w:color w:val="000000"/>
          <w:kern w:val="0"/>
          <w:sz w:val="32"/>
          <w:szCs w:val="32"/>
        </w:rPr>
        <w:t>按照经费来源，</w:t>
      </w:r>
      <w:r>
        <w:rPr>
          <w:rFonts w:hint="eastAsia" w:ascii="仿宋" w:hAnsi="仿宋" w:eastAsia="仿宋" w:cs="仿宋"/>
          <w:kern w:val="0"/>
          <w:sz w:val="32"/>
          <w:szCs w:val="32"/>
        </w:rPr>
        <w:t>可分为财政拨款、财政性资金基本保证、财政性资金定额或定项补助、财政性资金零补助四类</w:t>
      </w:r>
      <w:r>
        <w:rPr>
          <w:rFonts w:hint="eastAsia" w:ascii="仿宋" w:hAnsi="仿宋" w:eastAsia="仿宋" w:cs="仿宋"/>
          <w:kern w:val="0"/>
          <w:sz w:val="32"/>
          <w:szCs w:val="32"/>
          <w:lang w:eastAsia="zh-CN"/>
        </w:rPr>
        <w:t>。</w:t>
      </w:r>
    </w:p>
    <w:p>
      <w:pPr>
        <w:rPr>
          <w:rFonts w:hint="eastAsia" w:ascii="仿宋" w:hAnsi="仿宋" w:eastAsia="仿宋" w:cs="仿宋"/>
          <w:sz w:val="32"/>
          <w:szCs w:val="32"/>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仿宋" w:hAnsi="仿宋" w:eastAsia="仿宋" w:cs="仿宋"/>
          <w:i w:val="0"/>
          <w:iCs w:val="0"/>
          <w:caps w:val="0"/>
          <w:color w:val="333333"/>
          <w:spacing w:val="0"/>
          <w:sz w:val="32"/>
          <w:szCs w:val="32"/>
          <w:highlight w:val="none"/>
          <w:shd w:val="clear" w:fill="FFFFFF"/>
        </w:rPr>
      </w:pPr>
    </w:p>
    <w:p>
      <w:pPr>
        <w:rPr>
          <w:rFonts w:hint="eastAsia" w:ascii="仿宋" w:hAnsi="仿宋" w:eastAsia="仿宋" w:cs="仿宋"/>
          <w:i w:val="0"/>
          <w:iCs w:val="0"/>
          <w:caps w:val="0"/>
          <w:color w:val="333333"/>
          <w:spacing w:val="0"/>
          <w:sz w:val="32"/>
          <w:szCs w:val="32"/>
          <w:highlight w:val="none"/>
          <w:shd w:val="clear" w:fill="FFFFFF"/>
          <w:lang w:val="en-US"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D15CD37-AE65-4E68-9AC7-FA40D776CC0E}"/>
  </w:font>
  <w:font w:name="Arial">
    <w:panose1 w:val="020B0604020202020204"/>
    <w:charset w:val="01"/>
    <w:family w:val="swiss"/>
    <w:pitch w:val="default"/>
    <w:sig w:usb0="E0002EFF" w:usb1="C000785B" w:usb2="00000009" w:usb3="00000000" w:csb0="400001FF" w:csb1="FFFF0000"/>
    <w:embedRegular r:id="rId2" w:fontKey="{1C85ED1A-E3E2-4E5D-B58C-E42CE3D214A2}"/>
  </w:font>
  <w:font w:name="黑体">
    <w:panose1 w:val="02010609060101010101"/>
    <w:charset w:val="86"/>
    <w:family w:val="auto"/>
    <w:pitch w:val="default"/>
    <w:sig w:usb0="800002BF" w:usb1="38CF7CFA" w:usb2="00000016" w:usb3="00000000" w:csb0="00040001" w:csb1="00000000"/>
    <w:embedRegular r:id="rId3" w:fontKey="{8671A5C6-A348-440A-A391-340F41775E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3FA8D148-A412-4606-9FC2-096672C0ACD4}"/>
  </w:font>
  <w:font w:name="仿宋">
    <w:panose1 w:val="02010609060101010101"/>
    <w:charset w:val="86"/>
    <w:family w:val="modern"/>
    <w:pitch w:val="default"/>
    <w:sig w:usb0="800002BF" w:usb1="38CF7CFA" w:usb2="00000016" w:usb3="00000000" w:csb0="00040001" w:csb1="00000000"/>
    <w:embedRegular r:id="rId5" w:fontKey="{FACAF463-03A7-4703-B771-939061663967}"/>
  </w:font>
  <w:font w:name="Calibri Light">
    <w:panose1 w:val="020F0302020204030204"/>
    <w:charset w:val="00"/>
    <w:family w:val="auto"/>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魏碑简体">
    <w:altName w:val="微软雅黑"/>
    <w:panose1 w:val="00000000000000000000"/>
    <w:charset w:val="86"/>
    <w:family w:val="auto"/>
    <w:pitch w:val="default"/>
    <w:sig w:usb0="00000000" w:usb1="00000000" w:usb2="00000010" w:usb3="00000000" w:csb0="00040000" w:csb1="00000000"/>
    <w:embedRegular r:id="rId6" w:fontKey="{CD3F81EE-14A7-4653-BE3C-A10289F8B496}"/>
  </w:font>
  <w:font w:name="思源黑体 CN Heavy">
    <w:altName w:val="黑体"/>
    <w:panose1 w:val="00000000000000000000"/>
    <w:charset w:val="86"/>
    <w:family w:val="swiss"/>
    <w:pitch w:val="default"/>
    <w:sig w:usb0="00000000" w:usb1="00000000" w:usb2="00000016" w:usb3="00000000" w:csb0="00060107" w:csb1="00000000"/>
    <w:embedRegular r:id="rId7" w:fontKey="{7A539B22-86A8-441D-B0E5-95CB7486C371}"/>
  </w:font>
  <w:font w:name="楷体_GB2312">
    <w:altName w:val="楷体"/>
    <w:panose1 w:val="02010609030101010101"/>
    <w:charset w:val="86"/>
    <w:family w:val="auto"/>
    <w:pitch w:val="default"/>
    <w:sig w:usb0="00000000" w:usb1="00000000" w:usb2="00000000" w:usb3="00000000" w:csb0="00040000" w:csb1="00000000"/>
    <w:embedRegular r:id="rId8" w:fontKey="{B4B7BF84-58CE-4125-84DA-0DADBFB13B61}"/>
  </w:font>
  <w:font w:name="仿宋_GB2312">
    <w:panose1 w:val="02010609030101010101"/>
    <w:charset w:val="86"/>
    <w:family w:val="auto"/>
    <w:pitch w:val="default"/>
    <w:sig w:usb0="00000001" w:usb1="080E0000" w:usb2="00000000" w:usb3="00000000" w:csb0="00040000" w:csb1="00000000"/>
    <w:embedRegular r:id="rId9" w:fontKey="{DF2B3718-D92F-4747-AA28-84E07F4A7A7D}"/>
  </w:font>
  <w:font w:name="方正仿宋_GBK">
    <w:altName w:val="微软雅黑"/>
    <w:panose1 w:val="00000000000000000000"/>
    <w:charset w:val="86"/>
    <w:family w:val="script"/>
    <w:pitch w:val="default"/>
    <w:sig w:usb0="00000000" w:usb1="00000000" w:usb2="00000010" w:usb3="00000000" w:csb0="00040000" w:csb1="00000000"/>
    <w:embedRegular r:id="rId10" w:fontKey="{7043CDD6-F24A-4177-84FC-23E177BD06C9}"/>
  </w:font>
  <w:font w:name="ArialUnicodeMS">
    <w:altName w:val="Malgun Gothic"/>
    <w:panose1 w:val="00000000000000000000"/>
    <w:charset w:val="81"/>
    <w:family w:val="auto"/>
    <w:pitch w:val="default"/>
    <w:sig w:usb0="00000000" w:usb1="00000000" w:usb2="00000010" w:usb3="00000000" w:csb0="00080001" w:csb1="00000000"/>
    <w:embedRegular r:id="rId11" w:fontKey="{000231ED-75B4-417C-BD12-F92EDF75D124}"/>
  </w:font>
  <w:font w:name="方正仿宋_GB2312">
    <w:panose1 w:val="02000000000000000000"/>
    <w:charset w:val="86"/>
    <w:family w:val="auto"/>
    <w:pitch w:val="default"/>
    <w:sig w:usb0="A00002BF" w:usb1="184F6CFA" w:usb2="00000012" w:usb3="00000000" w:csb0="00040001" w:csb1="00000000"/>
  </w:font>
  <w:font w:name="DengXian-Regular">
    <w:altName w:val="宋体"/>
    <w:panose1 w:val="00000000000000000000"/>
    <w:charset w:val="86"/>
    <w:family w:val="auto"/>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embedRegular r:id="rId12" w:fontKey="{87ED67F6-DBB1-49D7-A040-D30AC2E6D9E4}"/>
  </w:font>
  <w:font w:name="Malgun Gothic">
    <w:panose1 w:val="020B0503020000020004"/>
    <w:charset w:val="81"/>
    <w:family w:val="auto"/>
    <w:pitch w:val="default"/>
    <w:sig w:usb0="9000002F" w:usb1="29D77CFB" w:usb2="00000012" w:usb3="00000000" w:csb0="00080001" w:csb1="00000000"/>
  </w:font>
  <w:font w:name="方正小标宋_GBK">
    <w:altName w:val="微软雅黑"/>
    <w:panose1 w:val="00000000000000000000"/>
    <w:charset w:val="00"/>
    <w:family w:val="auto"/>
    <w:pitch w:val="default"/>
    <w:sig w:usb0="00000000" w:usb1="00000000" w:usb2="00000000" w:usb3="00000000" w:csb0="00000000" w:csb1="00000000"/>
    <w:embedRegular r:id="rId13" w:fontKey="{1E7B796F-21FF-419C-8A16-85BE43A26EDB}"/>
  </w:font>
  <w:font w:name="等线">
    <w:panose1 w:val="02010600030101010101"/>
    <w:charset w:val="86"/>
    <w:family w:val="auto"/>
    <w:pitch w:val="default"/>
    <w:sig w:usb0="A00002BF" w:usb1="38CF7CFA" w:usb2="00000016" w:usb3="00000000" w:csb0="0004000F" w:csb1="00000000"/>
    <w:embedRegular r:id="rId14" w:fontKey="{2F4C1EA9-64E0-4A65-8876-DBE589FF2DC7}"/>
  </w:font>
  <w:font w:name="Arial Unicode MS">
    <w:altName w:val="Arial"/>
    <w:panose1 w:val="00000000000000000000"/>
    <w:charset w:val="00"/>
    <w:family w:val="auto"/>
    <w:pitch w:val="default"/>
    <w:sig w:usb0="00000000" w:usb1="00000000" w:usb2="00000000" w:usb3="00000000" w:csb0="00000000" w:csb1="00000000"/>
    <w:embedRegular r:id="rId15" w:fontKey="{4BD385F4-4DA7-4DD8-8950-48E84C4F7B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A09E48"/>
    <w:multiLevelType w:val="singleLevel"/>
    <w:tmpl w:val="4CA09E48"/>
    <w:lvl w:ilvl="0" w:tentative="0">
      <w:start w:val="3"/>
      <w:numFmt w:val="chineseCounting"/>
      <w:suff w:val="nothing"/>
      <w:lvlText w:val="（%1）"/>
      <w:lvlJc w:val="left"/>
      <w:rPr>
        <w:rFonts w:hint="eastAsia"/>
      </w:rPr>
    </w:lvl>
  </w:abstractNum>
  <w:abstractNum w:abstractNumId="1">
    <w:nsid w:val="5F16A424"/>
    <w:multiLevelType w:val="multilevel"/>
    <w:tmpl w:val="5F16A424"/>
    <w:lvl w:ilvl="0" w:tentative="0">
      <w:start w:val="1"/>
      <w:numFmt w:val="decimal"/>
      <w:pStyle w:val="2"/>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jQsImhkaWQiOiJhYmY1MDFhMDQ1OWVlNTQ5Zjk1ZjQxY2UzMGM0ZTY5NiIsInVzZXJDb3VudCI6NX0="/>
  </w:docVars>
  <w:rsids>
    <w:rsidRoot w:val="00000000"/>
    <w:rsid w:val="00086151"/>
    <w:rsid w:val="00236F8C"/>
    <w:rsid w:val="008E12CF"/>
    <w:rsid w:val="0096690D"/>
    <w:rsid w:val="00C65689"/>
    <w:rsid w:val="00CC2C8E"/>
    <w:rsid w:val="00F27B04"/>
    <w:rsid w:val="01616D62"/>
    <w:rsid w:val="01900E19"/>
    <w:rsid w:val="01A03C5A"/>
    <w:rsid w:val="01A5267D"/>
    <w:rsid w:val="02363AF1"/>
    <w:rsid w:val="024808A2"/>
    <w:rsid w:val="025C3821"/>
    <w:rsid w:val="02DA3B1B"/>
    <w:rsid w:val="02E57B4D"/>
    <w:rsid w:val="033D3951"/>
    <w:rsid w:val="037B12D4"/>
    <w:rsid w:val="03804D63"/>
    <w:rsid w:val="03FB73B0"/>
    <w:rsid w:val="04BD008C"/>
    <w:rsid w:val="04C55939"/>
    <w:rsid w:val="04DA28BB"/>
    <w:rsid w:val="04F528BE"/>
    <w:rsid w:val="05991C82"/>
    <w:rsid w:val="061416A9"/>
    <w:rsid w:val="06236884"/>
    <w:rsid w:val="067E788A"/>
    <w:rsid w:val="06FC7C2A"/>
    <w:rsid w:val="071E363B"/>
    <w:rsid w:val="07533AFE"/>
    <w:rsid w:val="07B3657A"/>
    <w:rsid w:val="07C857D0"/>
    <w:rsid w:val="08AB5AAF"/>
    <w:rsid w:val="09012C64"/>
    <w:rsid w:val="093B2E99"/>
    <w:rsid w:val="095D7943"/>
    <w:rsid w:val="099E5773"/>
    <w:rsid w:val="09C006C6"/>
    <w:rsid w:val="0A10621F"/>
    <w:rsid w:val="0A464C4F"/>
    <w:rsid w:val="0A6729A3"/>
    <w:rsid w:val="0A694877"/>
    <w:rsid w:val="0AA954BE"/>
    <w:rsid w:val="0AE70639"/>
    <w:rsid w:val="0B4F5E6D"/>
    <w:rsid w:val="0B753AE2"/>
    <w:rsid w:val="0BB67D0A"/>
    <w:rsid w:val="0BC56230"/>
    <w:rsid w:val="0BCF21BD"/>
    <w:rsid w:val="0C4E53E8"/>
    <w:rsid w:val="0C9F7900"/>
    <w:rsid w:val="0CB23317"/>
    <w:rsid w:val="0D101068"/>
    <w:rsid w:val="0D49470D"/>
    <w:rsid w:val="0D7557DF"/>
    <w:rsid w:val="0D853E34"/>
    <w:rsid w:val="0D9C2A57"/>
    <w:rsid w:val="0DFA5D82"/>
    <w:rsid w:val="0E1E52CE"/>
    <w:rsid w:val="0E341BC0"/>
    <w:rsid w:val="0E866524"/>
    <w:rsid w:val="0E9268D3"/>
    <w:rsid w:val="0E957F1F"/>
    <w:rsid w:val="0F0E7284"/>
    <w:rsid w:val="0F28110F"/>
    <w:rsid w:val="0F37083F"/>
    <w:rsid w:val="0F891DB8"/>
    <w:rsid w:val="0FAA3B86"/>
    <w:rsid w:val="10191346"/>
    <w:rsid w:val="10754A6C"/>
    <w:rsid w:val="108B537D"/>
    <w:rsid w:val="10B11DB1"/>
    <w:rsid w:val="10C7485C"/>
    <w:rsid w:val="11177F57"/>
    <w:rsid w:val="11217C97"/>
    <w:rsid w:val="11464C20"/>
    <w:rsid w:val="115E4926"/>
    <w:rsid w:val="118A1FFA"/>
    <w:rsid w:val="11E35B5A"/>
    <w:rsid w:val="11E42DD6"/>
    <w:rsid w:val="125F5A1B"/>
    <w:rsid w:val="126979D6"/>
    <w:rsid w:val="129E45A7"/>
    <w:rsid w:val="13074404"/>
    <w:rsid w:val="136A5C00"/>
    <w:rsid w:val="139120B9"/>
    <w:rsid w:val="13C527AC"/>
    <w:rsid w:val="14711797"/>
    <w:rsid w:val="147B6F17"/>
    <w:rsid w:val="14D42061"/>
    <w:rsid w:val="15081C8B"/>
    <w:rsid w:val="15090D5C"/>
    <w:rsid w:val="15CF053D"/>
    <w:rsid w:val="15E0131A"/>
    <w:rsid w:val="16457D9F"/>
    <w:rsid w:val="17223EFF"/>
    <w:rsid w:val="17B713F6"/>
    <w:rsid w:val="184350A0"/>
    <w:rsid w:val="18541CC2"/>
    <w:rsid w:val="187B3DA8"/>
    <w:rsid w:val="18935485"/>
    <w:rsid w:val="18946C52"/>
    <w:rsid w:val="18A34206"/>
    <w:rsid w:val="18DE3B2C"/>
    <w:rsid w:val="1906685D"/>
    <w:rsid w:val="19111683"/>
    <w:rsid w:val="19353916"/>
    <w:rsid w:val="19B07C1B"/>
    <w:rsid w:val="19C10AF1"/>
    <w:rsid w:val="1A2672DE"/>
    <w:rsid w:val="1AA81D42"/>
    <w:rsid w:val="1AB433D9"/>
    <w:rsid w:val="1B1B11EE"/>
    <w:rsid w:val="1B3719E0"/>
    <w:rsid w:val="1B6261C3"/>
    <w:rsid w:val="1B731730"/>
    <w:rsid w:val="1B882BB5"/>
    <w:rsid w:val="1B906310"/>
    <w:rsid w:val="1B9B33C7"/>
    <w:rsid w:val="1B9D7FEC"/>
    <w:rsid w:val="1BA55461"/>
    <w:rsid w:val="1BE74496"/>
    <w:rsid w:val="1C3D67D1"/>
    <w:rsid w:val="1C40731A"/>
    <w:rsid w:val="1C560392"/>
    <w:rsid w:val="1C581532"/>
    <w:rsid w:val="1C7D181A"/>
    <w:rsid w:val="1CA15E03"/>
    <w:rsid w:val="1CA24F0C"/>
    <w:rsid w:val="1CF8716C"/>
    <w:rsid w:val="1D230EBD"/>
    <w:rsid w:val="1D4B1F5B"/>
    <w:rsid w:val="1D6C5CA0"/>
    <w:rsid w:val="1D725586"/>
    <w:rsid w:val="1D745B4F"/>
    <w:rsid w:val="1D867987"/>
    <w:rsid w:val="1D944010"/>
    <w:rsid w:val="1DA60472"/>
    <w:rsid w:val="1DD70E85"/>
    <w:rsid w:val="1DE6414E"/>
    <w:rsid w:val="1DE74AD7"/>
    <w:rsid w:val="1DF60A19"/>
    <w:rsid w:val="1DFA6713"/>
    <w:rsid w:val="1E050843"/>
    <w:rsid w:val="1E20024F"/>
    <w:rsid w:val="1E2D3FB0"/>
    <w:rsid w:val="1E2E50F1"/>
    <w:rsid w:val="1E2F73C2"/>
    <w:rsid w:val="1E3B4E26"/>
    <w:rsid w:val="1E97477F"/>
    <w:rsid w:val="1EDF707D"/>
    <w:rsid w:val="1F65664C"/>
    <w:rsid w:val="1F79478A"/>
    <w:rsid w:val="1F7C149A"/>
    <w:rsid w:val="1F84140D"/>
    <w:rsid w:val="1F863C54"/>
    <w:rsid w:val="1F9B7FFD"/>
    <w:rsid w:val="1F9C7614"/>
    <w:rsid w:val="1FB810FB"/>
    <w:rsid w:val="1FBE1971"/>
    <w:rsid w:val="2008768D"/>
    <w:rsid w:val="204C2B10"/>
    <w:rsid w:val="207D30AD"/>
    <w:rsid w:val="209064B9"/>
    <w:rsid w:val="20970D81"/>
    <w:rsid w:val="20D165D5"/>
    <w:rsid w:val="210878E6"/>
    <w:rsid w:val="210E1408"/>
    <w:rsid w:val="211069AD"/>
    <w:rsid w:val="21573FAB"/>
    <w:rsid w:val="2172069C"/>
    <w:rsid w:val="21987BC4"/>
    <w:rsid w:val="220451AB"/>
    <w:rsid w:val="22310FB4"/>
    <w:rsid w:val="2237486E"/>
    <w:rsid w:val="223D1378"/>
    <w:rsid w:val="22940650"/>
    <w:rsid w:val="22AD4B1E"/>
    <w:rsid w:val="22D31DF3"/>
    <w:rsid w:val="22FD3CF7"/>
    <w:rsid w:val="2356249E"/>
    <w:rsid w:val="23605570"/>
    <w:rsid w:val="236E713A"/>
    <w:rsid w:val="23700968"/>
    <w:rsid w:val="238761A6"/>
    <w:rsid w:val="23920578"/>
    <w:rsid w:val="23BB6F9A"/>
    <w:rsid w:val="23FC3864"/>
    <w:rsid w:val="247D7230"/>
    <w:rsid w:val="24F25212"/>
    <w:rsid w:val="254B0AC6"/>
    <w:rsid w:val="25571AB6"/>
    <w:rsid w:val="25B40AD6"/>
    <w:rsid w:val="25BE7872"/>
    <w:rsid w:val="25BF702A"/>
    <w:rsid w:val="25FA6065"/>
    <w:rsid w:val="2611374E"/>
    <w:rsid w:val="261F111C"/>
    <w:rsid w:val="26477410"/>
    <w:rsid w:val="264D2D17"/>
    <w:rsid w:val="26D50E55"/>
    <w:rsid w:val="270763D6"/>
    <w:rsid w:val="271A539C"/>
    <w:rsid w:val="274972D4"/>
    <w:rsid w:val="275048F0"/>
    <w:rsid w:val="275C72A5"/>
    <w:rsid w:val="27AA3D97"/>
    <w:rsid w:val="28405AA6"/>
    <w:rsid w:val="289057C5"/>
    <w:rsid w:val="28A67C7A"/>
    <w:rsid w:val="28D1057E"/>
    <w:rsid w:val="28EA3248"/>
    <w:rsid w:val="28F879DA"/>
    <w:rsid w:val="294630F8"/>
    <w:rsid w:val="294B7731"/>
    <w:rsid w:val="296A5FF1"/>
    <w:rsid w:val="29D21FF2"/>
    <w:rsid w:val="2A611B0F"/>
    <w:rsid w:val="2AC1762B"/>
    <w:rsid w:val="2AE845D0"/>
    <w:rsid w:val="2B4975FB"/>
    <w:rsid w:val="2B695031"/>
    <w:rsid w:val="2B735A8F"/>
    <w:rsid w:val="2BA7478D"/>
    <w:rsid w:val="2BB038DB"/>
    <w:rsid w:val="2BB761E0"/>
    <w:rsid w:val="2BB812F9"/>
    <w:rsid w:val="2BE319AF"/>
    <w:rsid w:val="2BE35C27"/>
    <w:rsid w:val="2BFA504B"/>
    <w:rsid w:val="2C681F1F"/>
    <w:rsid w:val="2C8608DC"/>
    <w:rsid w:val="2CA4764A"/>
    <w:rsid w:val="2CC42ECA"/>
    <w:rsid w:val="2CDA4349"/>
    <w:rsid w:val="2D225539"/>
    <w:rsid w:val="2D4618D2"/>
    <w:rsid w:val="2D5F021B"/>
    <w:rsid w:val="2D6E1286"/>
    <w:rsid w:val="2D70583E"/>
    <w:rsid w:val="2D99655D"/>
    <w:rsid w:val="2E1B4BB8"/>
    <w:rsid w:val="2E256CB6"/>
    <w:rsid w:val="2E3224D3"/>
    <w:rsid w:val="2E5F27E4"/>
    <w:rsid w:val="2E9871B6"/>
    <w:rsid w:val="2EBD223E"/>
    <w:rsid w:val="2EC10AD1"/>
    <w:rsid w:val="2ECB6A5A"/>
    <w:rsid w:val="2EFC0112"/>
    <w:rsid w:val="2F2B730D"/>
    <w:rsid w:val="2F42598B"/>
    <w:rsid w:val="2F8169E4"/>
    <w:rsid w:val="2F9F3DC1"/>
    <w:rsid w:val="2FFC7AC2"/>
    <w:rsid w:val="301430AF"/>
    <w:rsid w:val="30630612"/>
    <w:rsid w:val="308E59B0"/>
    <w:rsid w:val="30B10568"/>
    <w:rsid w:val="30E55DD3"/>
    <w:rsid w:val="30E60399"/>
    <w:rsid w:val="31356AA5"/>
    <w:rsid w:val="313E22F0"/>
    <w:rsid w:val="31B0194C"/>
    <w:rsid w:val="31CE17D1"/>
    <w:rsid w:val="320F6F96"/>
    <w:rsid w:val="323E4515"/>
    <w:rsid w:val="3286389B"/>
    <w:rsid w:val="32CF5C94"/>
    <w:rsid w:val="32D337C7"/>
    <w:rsid w:val="32E200EC"/>
    <w:rsid w:val="32E5408B"/>
    <w:rsid w:val="32E9750B"/>
    <w:rsid w:val="32EB0D70"/>
    <w:rsid w:val="332868BB"/>
    <w:rsid w:val="333211F3"/>
    <w:rsid w:val="333E3678"/>
    <w:rsid w:val="33504B41"/>
    <w:rsid w:val="335174BC"/>
    <w:rsid w:val="338B4A07"/>
    <w:rsid w:val="33944811"/>
    <w:rsid w:val="33CE0488"/>
    <w:rsid w:val="34005866"/>
    <w:rsid w:val="34182C85"/>
    <w:rsid w:val="34262463"/>
    <w:rsid w:val="34296F31"/>
    <w:rsid w:val="34340A27"/>
    <w:rsid w:val="346A2989"/>
    <w:rsid w:val="34714663"/>
    <w:rsid w:val="348865E9"/>
    <w:rsid w:val="348F70D5"/>
    <w:rsid w:val="349D2BAD"/>
    <w:rsid w:val="34B25886"/>
    <w:rsid w:val="34B40430"/>
    <w:rsid w:val="35277FF8"/>
    <w:rsid w:val="35776F72"/>
    <w:rsid w:val="35997371"/>
    <w:rsid w:val="360134DF"/>
    <w:rsid w:val="360B1E2F"/>
    <w:rsid w:val="360D500F"/>
    <w:rsid w:val="36330424"/>
    <w:rsid w:val="36990C8E"/>
    <w:rsid w:val="36FE3ABA"/>
    <w:rsid w:val="37072BDE"/>
    <w:rsid w:val="3716321D"/>
    <w:rsid w:val="37252B82"/>
    <w:rsid w:val="37455334"/>
    <w:rsid w:val="376A14D2"/>
    <w:rsid w:val="37731921"/>
    <w:rsid w:val="37E509C0"/>
    <w:rsid w:val="37E96FB8"/>
    <w:rsid w:val="38222D85"/>
    <w:rsid w:val="38803721"/>
    <w:rsid w:val="38925A62"/>
    <w:rsid w:val="389F5F4F"/>
    <w:rsid w:val="38C36BA2"/>
    <w:rsid w:val="38F6595C"/>
    <w:rsid w:val="391702A7"/>
    <w:rsid w:val="39286EB6"/>
    <w:rsid w:val="39601DF4"/>
    <w:rsid w:val="39840D35"/>
    <w:rsid w:val="39A239AC"/>
    <w:rsid w:val="39A97DAF"/>
    <w:rsid w:val="39CD1330"/>
    <w:rsid w:val="39DD1AFF"/>
    <w:rsid w:val="3A2510B9"/>
    <w:rsid w:val="3A2A2EDD"/>
    <w:rsid w:val="3A2B1DFC"/>
    <w:rsid w:val="3AA6422C"/>
    <w:rsid w:val="3AAF46D5"/>
    <w:rsid w:val="3AB900D5"/>
    <w:rsid w:val="3B135A0E"/>
    <w:rsid w:val="3B272BBC"/>
    <w:rsid w:val="3B374FEE"/>
    <w:rsid w:val="3B4410EE"/>
    <w:rsid w:val="3B56159C"/>
    <w:rsid w:val="3B7D732B"/>
    <w:rsid w:val="3BD30423"/>
    <w:rsid w:val="3C3A1750"/>
    <w:rsid w:val="3C6147F2"/>
    <w:rsid w:val="3C6C0B58"/>
    <w:rsid w:val="3CBE41D5"/>
    <w:rsid w:val="3D305D4F"/>
    <w:rsid w:val="3D446B0E"/>
    <w:rsid w:val="3D953A6B"/>
    <w:rsid w:val="3DBB2CD5"/>
    <w:rsid w:val="3DBB5979"/>
    <w:rsid w:val="3E1057AF"/>
    <w:rsid w:val="3E6C0DFA"/>
    <w:rsid w:val="3E740322"/>
    <w:rsid w:val="3E7F4380"/>
    <w:rsid w:val="3E8D171B"/>
    <w:rsid w:val="3E8E5574"/>
    <w:rsid w:val="3EA5630D"/>
    <w:rsid w:val="3EBA731B"/>
    <w:rsid w:val="3EFB5800"/>
    <w:rsid w:val="3F3B4E59"/>
    <w:rsid w:val="3F4D1B74"/>
    <w:rsid w:val="3F6E677C"/>
    <w:rsid w:val="3F712F46"/>
    <w:rsid w:val="3FBC0EF7"/>
    <w:rsid w:val="3FCD2AB9"/>
    <w:rsid w:val="3FD17600"/>
    <w:rsid w:val="4050218A"/>
    <w:rsid w:val="405C7868"/>
    <w:rsid w:val="408B24EB"/>
    <w:rsid w:val="417044B8"/>
    <w:rsid w:val="41A203A0"/>
    <w:rsid w:val="41E83F8C"/>
    <w:rsid w:val="422D1842"/>
    <w:rsid w:val="425B7C31"/>
    <w:rsid w:val="42737A55"/>
    <w:rsid w:val="427D66D0"/>
    <w:rsid w:val="42BC7E02"/>
    <w:rsid w:val="42C82575"/>
    <w:rsid w:val="43022EE1"/>
    <w:rsid w:val="431A5F8F"/>
    <w:rsid w:val="431F247A"/>
    <w:rsid w:val="43335E8F"/>
    <w:rsid w:val="433F2968"/>
    <w:rsid w:val="43676E20"/>
    <w:rsid w:val="43A31040"/>
    <w:rsid w:val="43BF774E"/>
    <w:rsid w:val="43CD062F"/>
    <w:rsid w:val="43E214F9"/>
    <w:rsid w:val="43F06264"/>
    <w:rsid w:val="43FE1568"/>
    <w:rsid w:val="44404C8E"/>
    <w:rsid w:val="447537F1"/>
    <w:rsid w:val="44795B2A"/>
    <w:rsid w:val="44870D07"/>
    <w:rsid w:val="45513D03"/>
    <w:rsid w:val="45541E1C"/>
    <w:rsid w:val="45F657C2"/>
    <w:rsid w:val="460713D2"/>
    <w:rsid w:val="461F0A8B"/>
    <w:rsid w:val="4648721E"/>
    <w:rsid w:val="46663E71"/>
    <w:rsid w:val="466A37AC"/>
    <w:rsid w:val="46CB071B"/>
    <w:rsid w:val="46DE140B"/>
    <w:rsid w:val="46E77334"/>
    <w:rsid w:val="46F22E29"/>
    <w:rsid w:val="46F7142F"/>
    <w:rsid w:val="47107AE3"/>
    <w:rsid w:val="473C62ED"/>
    <w:rsid w:val="47617242"/>
    <w:rsid w:val="478C16C9"/>
    <w:rsid w:val="47AD79CE"/>
    <w:rsid w:val="47BD246B"/>
    <w:rsid w:val="47CB2B0C"/>
    <w:rsid w:val="47E773CE"/>
    <w:rsid w:val="48015FF5"/>
    <w:rsid w:val="484C45A4"/>
    <w:rsid w:val="48692CD0"/>
    <w:rsid w:val="48AE3D01"/>
    <w:rsid w:val="48D9540B"/>
    <w:rsid w:val="49067B2F"/>
    <w:rsid w:val="496008AE"/>
    <w:rsid w:val="49677E31"/>
    <w:rsid w:val="496C2225"/>
    <w:rsid w:val="49AE2880"/>
    <w:rsid w:val="49F42EAF"/>
    <w:rsid w:val="49F96FB8"/>
    <w:rsid w:val="4A074864"/>
    <w:rsid w:val="4A337323"/>
    <w:rsid w:val="4A3679E8"/>
    <w:rsid w:val="4A5B28DC"/>
    <w:rsid w:val="4AA06B93"/>
    <w:rsid w:val="4ADB18EB"/>
    <w:rsid w:val="4AEE5418"/>
    <w:rsid w:val="4B0371D8"/>
    <w:rsid w:val="4B96118E"/>
    <w:rsid w:val="4BAE1B66"/>
    <w:rsid w:val="4BED4708"/>
    <w:rsid w:val="4BF133DC"/>
    <w:rsid w:val="4C507D4A"/>
    <w:rsid w:val="4CDF5563"/>
    <w:rsid w:val="4CFB2214"/>
    <w:rsid w:val="4D1A3672"/>
    <w:rsid w:val="4D2C4D26"/>
    <w:rsid w:val="4D335E0E"/>
    <w:rsid w:val="4D4E4EA3"/>
    <w:rsid w:val="4D9A5B1B"/>
    <w:rsid w:val="4DA55D85"/>
    <w:rsid w:val="4DBB20DB"/>
    <w:rsid w:val="4DDC3F22"/>
    <w:rsid w:val="4E1040C7"/>
    <w:rsid w:val="4E1760BF"/>
    <w:rsid w:val="4E646AEA"/>
    <w:rsid w:val="4EBA03C3"/>
    <w:rsid w:val="4EBC5459"/>
    <w:rsid w:val="4ED94CB0"/>
    <w:rsid w:val="4EEC2ED3"/>
    <w:rsid w:val="4F037DB0"/>
    <w:rsid w:val="4F0B74A3"/>
    <w:rsid w:val="4F0E56EA"/>
    <w:rsid w:val="4F2E11BC"/>
    <w:rsid w:val="4F3C4343"/>
    <w:rsid w:val="4F416688"/>
    <w:rsid w:val="4F5620B0"/>
    <w:rsid w:val="4F6654EE"/>
    <w:rsid w:val="4F7379C6"/>
    <w:rsid w:val="4F872183"/>
    <w:rsid w:val="4F872BDB"/>
    <w:rsid w:val="4FA033E9"/>
    <w:rsid w:val="4FA743DA"/>
    <w:rsid w:val="4FB3565A"/>
    <w:rsid w:val="4FED77BF"/>
    <w:rsid w:val="503D1C79"/>
    <w:rsid w:val="507A6406"/>
    <w:rsid w:val="50853863"/>
    <w:rsid w:val="508A4590"/>
    <w:rsid w:val="509352D9"/>
    <w:rsid w:val="50F1461D"/>
    <w:rsid w:val="50FE5411"/>
    <w:rsid w:val="510B072E"/>
    <w:rsid w:val="511B0BF4"/>
    <w:rsid w:val="51264306"/>
    <w:rsid w:val="516123CE"/>
    <w:rsid w:val="51B177A9"/>
    <w:rsid w:val="51CF0D81"/>
    <w:rsid w:val="51E066EB"/>
    <w:rsid w:val="51E84FDE"/>
    <w:rsid w:val="5267570A"/>
    <w:rsid w:val="52707792"/>
    <w:rsid w:val="52A12CDC"/>
    <w:rsid w:val="52DF0C92"/>
    <w:rsid w:val="52E1159C"/>
    <w:rsid w:val="52E34D6A"/>
    <w:rsid w:val="531E524E"/>
    <w:rsid w:val="534072EB"/>
    <w:rsid w:val="538E2D0B"/>
    <w:rsid w:val="53922782"/>
    <w:rsid w:val="539C1424"/>
    <w:rsid w:val="53A639C0"/>
    <w:rsid w:val="53F00A24"/>
    <w:rsid w:val="53F63DBA"/>
    <w:rsid w:val="5448624E"/>
    <w:rsid w:val="546E2B1A"/>
    <w:rsid w:val="5482555F"/>
    <w:rsid w:val="551452C2"/>
    <w:rsid w:val="55363E67"/>
    <w:rsid w:val="556E6DF7"/>
    <w:rsid w:val="559D47CE"/>
    <w:rsid w:val="55BE1959"/>
    <w:rsid w:val="56232437"/>
    <w:rsid w:val="56541A75"/>
    <w:rsid w:val="568832FC"/>
    <w:rsid w:val="568C4181"/>
    <w:rsid w:val="56AC2FF1"/>
    <w:rsid w:val="570725A9"/>
    <w:rsid w:val="5714693E"/>
    <w:rsid w:val="571D0C9C"/>
    <w:rsid w:val="573A16CE"/>
    <w:rsid w:val="577F71A8"/>
    <w:rsid w:val="579C7F80"/>
    <w:rsid w:val="57B30D7C"/>
    <w:rsid w:val="58166B03"/>
    <w:rsid w:val="583E3C94"/>
    <w:rsid w:val="58721734"/>
    <w:rsid w:val="58900246"/>
    <w:rsid w:val="58977358"/>
    <w:rsid w:val="58D53944"/>
    <w:rsid w:val="58D65478"/>
    <w:rsid w:val="58F52487"/>
    <w:rsid w:val="58F778BC"/>
    <w:rsid w:val="590422E6"/>
    <w:rsid w:val="592257E5"/>
    <w:rsid w:val="59655E33"/>
    <w:rsid w:val="59CF5BD9"/>
    <w:rsid w:val="59E20C3C"/>
    <w:rsid w:val="5A1D5B0A"/>
    <w:rsid w:val="5A3B4B4E"/>
    <w:rsid w:val="5A4804CA"/>
    <w:rsid w:val="5A594C85"/>
    <w:rsid w:val="5A7D649E"/>
    <w:rsid w:val="5AEB1E3C"/>
    <w:rsid w:val="5B2507CA"/>
    <w:rsid w:val="5B2A474A"/>
    <w:rsid w:val="5B830730"/>
    <w:rsid w:val="5B871C49"/>
    <w:rsid w:val="5BBB2DD6"/>
    <w:rsid w:val="5BE263B6"/>
    <w:rsid w:val="5C8E5C5A"/>
    <w:rsid w:val="5C965E61"/>
    <w:rsid w:val="5CA76AD9"/>
    <w:rsid w:val="5D242A11"/>
    <w:rsid w:val="5D9217C2"/>
    <w:rsid w:val="5DAD06BF"/>
    <w:rsid w:val="5DE23CB3"/>
    <w:rsid w:val="5DE97EEC"/>
    <w:rsid w:val="5DF43138"/>
    <w:rsid w:val="5DFA5EB0"/>
    <w:rsid w:val="5E0B583E"/>
    <w:rsid w:val="5E201A7B"/>
    <w:rsid w:val="5EBD0484"/>
    <w:rsid w:val="5F2C5C7C"/>
    <w:rsid w:val="5FC5273F"/>
    <w:rsid w:val="60806DF2"/>
    <w:rsid w:val="60AD15F7"/>
    <w:rsid w:val="61072DA5"/>
    <w:rsid w:val="611C0817"/>
    <w:rsid w:val="61224A52"/>
    <w:rsid w:val="61520CCB"/>
    <w:rsid w:val="61851A29"/>
    <w:rsid w:val="622D1522"/>
    <w:rsid w:val="622E0574"/>
    <w:rsid w:val="62683B6B"/>
    <w:rsid w:val="62AC5944"/>
    <w:rsid w:val="632731DA"/>
    <w:rsid w:val="637279B4"/>
    <w:rsid w:val="63817D2B"/>
    <w:rsid w:val="63BD1FA9"/>
    <w:rsid w:val="63D27965"/>
    <w:rsid w:val="63FF063D"/>
    <w:rsid w:val="64095516"/>
    <w:rsid w:val="641A2468"/>
    <w:rsid w:val="64372F20"/>
    <w:rsid w:val="64DC72D7"/>
    <w:rsid w:val="653619A6"/>
    <w:rsid w:val="65610A02"/>
    <w:rsid w:val="65A11EA3"/>
    <w:rsid w:val="65AC3D66"/>
    <w:rsid w:val="65BB5334"/>
    <w:rsid w:val="663E1DBA"/>
    <w:rsid w:val="665D0213"/>
    <w:rsid w:val="669E59F1"/>
    <w:rsid w:val="66A2024B"/>
    <w:rsid w:val="66EA4BA0"/>
    <w:rsid w:val="6704732B"/>
    <w:rsid w:val="670F6731"/>
    <w:rsid w:val="67280F62"/>
    <w:rsid w:val="67585CB0"/>
    <w:rsid w:val="67770F0C"/>
    <w:rsid w:val="67B03535"/>
    <w:rsid w:val="6801775B"/>
    <w:rsid w:val="68174F69"/>
    <w:rsid w:val="682C436A"/>
    <w:rsid w:val="68382778"/>
    <w:rsid w:val="68391F41"/>
    <w:rsid w:val="68436B8C"/>
    <w:rsid w:val="68797358"/>
    <w:rsid w:val="6884624F"/>
    <w:rsid w:val="68A519DF"/>
    <w:rsid w:val="68C4160B"/>
    <w:rsid w:val="68C41C30"/>
    <w:rsid w:val="68CF3BA4"/>
    <w:rsid w:val="69257FA7"/>
    <w:rsid w:val="693711B0"/>
    <w:rsid w:val="693F26C7"/>
    <w:rsid w:val="696527E2"/>
    <w:rsid w:val="697E12B2"/>
    <w:rsid w:val="69C8706D"/>
    <w:rsid w:val="6A0147CA"/>
    <w:rsid w:val="6A0E3FB4"/>
    <w:rsid w:val="6A292754"/>
    <w:rsid w:val="6A5E3B28"/>
    <w:rsid w:val="6A6B1EBE"/>
    <w:rsid w:val="6A8F43F7"/>
    <w:rsid w:val="6ABF79B7"/>
    <w:rsid w:val="6AD625F3"/>
    <w:rsid w:val="6B5F25EA"/>
    <w:rsid w:val="6B750BA9"/>
    <w:rsid w:val="6BB93285"/>
    <w:rsid w:val="6C0C698C"/>
    <w:rsid w:val="6C222401"/>
    <w:rsid w:val="6C56267F"/>
    <w:rsid w:val="6C826EF9"/>
    <w:rsid w:val="6CAE4C93"/>
    <w:rsid w:val="6D0B1869"/>
    <w:rsid w:val="6D65402D"/>
    <w:rsid w:val="6D683822"/>
    <w:rsid w:val="6D8D136C"/>
    <w:rsid w:val="6DBF2759"/>
    <w:rsid w:val="6DC96F36"/>
    <w:rsid w:val="6DFA3EBF"/>
    <w:rsid w:val="6E3E63D2"/>
    <w:rsid w:val="6E5F7BE6"/>
    <w:rsid w:val="6E6918C6"/>
    <w:rsid w:val="6E8E495B"/>
    <w:rsid w:val="6EEB4AC4"/>
    <w:rsid w:val="6F212DD6"/>
    <w:rsid w:val="6F3B5912"/>
    <w:rsid w:val="6F3D39F1"/>
    <w:rsid w:val="6FA01279"/>
    <w:rsid w:val="6FA14A81"/>
    <w:rsid w:val="6FA3261F"/>
    <w:rsid w:val="6FBA5815"/>
    <w:rsid w:val="700D6539"/>
    <w:rsid w:val="704203E3"/>
    <w:rsid w:val="7058046B"/>
    <w:rsid w:val="707F2079"/>
    <w:rsid w:val="70922734"/>
    <w:rsid w:val="70CE6DC7"/>
    <w:rsid w:val="710B3646"/>
    <w:rsid w:val="71156C43"/>
    <w:rsid w:val="711759F2"/>
    <w:rsid w:val="713C4ED8"/>
    <w:rsid w:val="71407642"/>
    <w:rsid w:val="71641210"/>
    <w:rsid w:val="71D95B7C"/>
    <w:rsid w:val="71EA6A50"/>
    <w:rsid w:val="71EC42C1"/>
    <w:rsid w:val="71FE31A8"/>
    <w:rsid w:val="721F6113"/>
    <w:rsid w:val="7233782C"/>
    <w:rsid w:val="73177841"/>
    <w:rsid w:val="733774FE"/>
    <w:rsid w:val="73617E1B"/>
    <w:rsid w:val="736D7653"/>
    <w:rsid w:val="738035CB"/>
    <w:rsid w:val="7396335C"/>
    <w:rsid w:val="73F46595"/>
    <w:rsid w:val="74283FA2"/>
    <w:rsid w:val="742C135B"/>
    <w:rsid w:val="74463733"/>
    <w:rsid w:val="748A2F40"/>
    <w:rsid w:val="74F85778"/>
    <w:rsid w:val="75272439"/>
    <w:rsid w:val="758F1E9B"/>
    <w:rsid w:val="75CE266B"/>
    <w:rsid w:val="76120141"/>
    <w:rsid w:val="76C23B43"/>
    <w:rsid w:val="76FD6F97"/>
    <w:rsid w:val="770218E8"/>
    <w:rsid w:val="77C875A5"/>
    <w:rsid w:val="784654D3"/>
    <w:rsid w:val="78A27DF6"/>
    <w:rsid w:val="78F461E9"/>
    <w:rsid w:val="79285B3A"/>
    <w:rsid w:val="79625CA9"/>
    <w:rsid w:val="79A91196"/>
    <w:rsid w:val="7A0B32D3"/>
    <w:rsid w:val="7AC13CD3"/>
    <w:rsid w:val="7AE10264"/>
    <w:rsid w:val="7B086EDB"/>
    <w:rsid w:val="7B4A207F"/>
    <w:rsid w:val="7B936F45"/>
    <w:rsid w:val="7BA47419"/>
    <w:rsid w:val="7BB10D45"/>
    <w:rsid w:val="7BB44151"/>
    <w:rsid w:val="7BEC320B"/>
    <w:rsid w:val="7BF82951"/>
    <w:rsid w:val="7C3307AB"/>
    <w:rsid w:val="7C656A39"/>
    <w:rsid w:val="7C6E21F1"/>
    <w:rsid w:val="7CB93996"/>
    <w:rsid w:val="7CBE0F99"/>
    <w:rsid w:val="7D4E45F1"/>
    <w:rsid w:val="7D733448"/>
    <w:rsid w:val="7DFB6D82"/>
    <w:rsid w:val="7E1D71D1"/>
    <w:rsid w:val="7E246254"/>
    <w:rsid w:val="7E6D090F"/>
    <w:rsid w:val="7ECC66B2"/>
    <w:rsid w:val="7EF015E4"/>
    <w:rsid w:val="7F087006"/>
    <w:rsid w:val="7F833169"/>
    <w:rsid w:val="7FA837EF"/>
    <w:rsid w:val="7FC36955"/>
    <w:rsid w:val="7FE903A0"/>
    <w:rsid w:val="7FF97946"/>
    <w:rsid w:val="7FFE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0"/>
      <w:sz w:val="24"/>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3">
    <w:name w:val="heading 2"/>
    <w:basedOn w:val="1"/>
    <w:next w:val="1"/>
    <w:link w:val="15"/>
    <w:semiHidden/>
    <w:unhideWhenUsed/>
    <w:qFormat/>
    <w:uiPriority w:val="9"/>
    <w:pPr>
      <w:widowControl w:val="0"/>
      <w:numPr>
        <w:ilvl w:val="1"/>
        <w:numId w:val="1"/>
      </w:numPr>
      <w:spacing w:line="416" w:lineRule="auto"/>
      <w:ind w:left="567" w:hanging="567"/>
      <w:outlineLvl w:val="1"/>
    </w:pPr>
    <w:rPr>
      <w:rFonts w:ascii="Calibri Light" w:hAnsi="Calibri Light" w:eastAsia="宋体" w:cs="Times New Roman"/>
      <w:b/>
      <w:bCs/>
      <w:sz w:val="28"/>
      <w:szCs w:val="32"/>
    </w:rPr>
  </w:style>
  <w:style w:type="paragraph" w:styleId="4">
    <w:name w:val="heading 3"/>
    <w:basedOn w:val="1"/>
    <w:next w:val="1"/>
    <w:semiHidden/>
    <w:unhideWhenUsed/>
    <w:qFormat/>
    <w:uiPriority w:val="9"/>
    <w:pPr>
      <w:keepNext/>
      <w:keepLines/>
      <w:numPr>
        <w:ilvl w:val="2"/>
        <w:numId w:val="1"/>
      </w:numPr>
      <w:spacing w:before="50" w:beforeLines="50" w:after="50" w:afterLines="50" w:line="416" w:lineRule="auto"/>
      <w:outlineLvl w:val="2"/>
    </w:pPr>
    <w:rPr>
      <w:rFonts w:ascii="宋体" w:hAnsi="宋体" w:eastAsia="宋体" w:cs="宋体"/>
      <w:b/>
      <w:bCs/>
      <w:sz w:val="32"/>
    </w:rPr>
  </w:style>
  <w:style w:type="paragraph" w:styleId="5">
    <w:name w:val="heading 4"/>
    <w:basedOn w:val="1"/>
    <w:next w:val="1"/>
    <w:semiHidden/>
    <w:unhideWhenUsed/>
    <w:qFormat/>
    <w:uiPriority w:val="9"/>
    <w:pPr>
      <w:keepNext/>
      <w:keepLines/>
      <w:numPr>
        <w:ilvl w:val="3"/>
        <w:numId w:val="1"/>
      </w:numPr>
      <w:spacing w:before="120" w:after="120"/>
      <w:outlineLvl w:val="3"/>
    </w:pPr>
    <w:rPr>
      <w:rFonts w:ascii="Calibri Light" w:hAnsi="Calibri Light" w:eastAsia="宋体" w:cs="Times New Roman"/>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alloon Text"/>
    <w:basedOn w:val="1"/>
    <w:link w:val="24"/>
    <w:unhideWhenUsed/>
    <w:qFormat/>
    <w:uiPriority w:val="99"/>
    <w:rPr>
      <w:rFonts w:cstheme="minorBidi"/>
      <w:kern w:val="2"/>
      <w:sz w:val="18"/>
      <w:szCs w:val="18"/>
    </w:rPr>
  </w:style>
  <w:style w:type="paragraph" w:styleId="8">
    <w:name w:val="footer"/>
    <w:basedOn w:val="1"/>
    <w:link w:val="16"/>
    <w:qFormat/>
    <w:uiPriority w:val="99"/>
    <w:pPr>
      <w:tabs>
        <w:tab w:val="center" w:pos="4153"/>
        <w:tab w:val="right" w:pos="8306"/>
      </w:tabs>
      <w:snapToGrid w:val="0"/>
      <w:jc w:val="left"/>
    </w:pPr>
    <w:rPr>
      <w:rFonts w:cstheme="minorBidi"/>
      <w:kern w:val="2"/>
      <w:sz w:val="18"/>
      <w:szCs w:val="18"/>
    </w:rPr>
  </w:style>
  <w:style w:type="paragraph" w:styleId="9">
    <w:name w:val="header"/>
    <w:basedOn w:val="1"/>
    <w:link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cstheme="minorBidi"/>
      <w:kern w:val="2"/>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customStyle="1" w:styleId="15">
    <w:name w:val="标题 2 Char"/>
    <w:link w:val="3"/>
    <w:qFormat/>
    <w:uiPriority w:val="0"/>
    <w:rPr>
      <w:rFonts w:ascii="Calibri Light" w:hAnsi="Calibri Light" w:eastAsia="宋体" w:cs="Times New Roman"/>
      <w:b/>
      <w:bCs/>
      <w:sz w:val="28"/>
      <w:szCs w:val="32"/>
    </w:rPr>
  </w:style>
  <w:style w:type="character" w:customStyle="1" w:styleId="16">
    <w:name w:val="页脚 Char"/>
    <w:basedOn w:val="13"/>
    <w:link w:val="8"/>
    <w:qFormat/>
    <w:uiPriority w:val="99"/>
    <w:rPr>
      <w:rFonts w:asciiTheme="minorHAnsi" w:hAnsiTheme="minorHAnsi" w:eastAsiaTheme="minorEastAsia" w:cstheme="minorBidi"/>
      <w:sz w:val="18"/>
      <w:szCs w:val="18"/>
      <w:lang w:val="en-US" w:eastAsia="zh-CN" w:bidi="ar-SA"/>
    </w:rPr>
  </w:style>
  <w:style w:type="character" w:customStyle="1" w:styleId="17">
    <w:name w:val="页眉 Char"/>
    <w:basedOn w:val="13"/>
    <w:link w:val="9"/>
    <w:qFormat/>
    <w:uiPriority w:val="0"/>
    <w:rPr>
      <w:rFonts w:asciiTheme="minorHAnsi" w:hAnsiTheme="minorHAnsi" w:eastAsiaTheme="minorEastAsia" w:cstheme="minorBidi"/>
      <w:sz w:val="18"/>
      <w:szCs w:val="18"/>
      <w:lang w:val="en-US" w:eastAsia="zh-CN" w:bidi="ar-SA"/>
    </w:rPr>
  </w:style>
  <w:style w:type="character" w:customStyle="1" w:styleId="18">
    <w:name w:val="font11"/>
    <w:basedOn w:val="13"/>
    <w:qFormat/>
    <w:uiPriority w:val="0"/>
    <w:rPr>
      <w:rFonts w:hint="eastAsia" w:ascii="宋体" w:hAnsi="宋体" w:eastAsia="宋体" w:cs="宋体"/>
      <w:color w:val="000000"/>
      <w:sz w:val="20"/>
      <w:szCs w:val="20"/>
      <w:u w:val="none"/>
      <w:lang w:val="en-US" w:eastAsia="zh-CN" w:bidi="ar-SA"/>
    </w:rPr>
  </w:style>
  <w:style w:type="character" w:customStyle="1" w:styleId="19">
    <w:name w:val="font01"/>
    <w:basedOn w:val="13"/>
    <w:qFormat/>
    <w:uiPriority w:val="0"/>
    <w:rPr>
      <w:rFonts w:hint="eastAsia" w:ascii="宋体" w:hAnsi="宋体" w:eastAsia="宋体" w:cs="宋体"/>
      <w:color w:val="000000"/>
      <w:sz w:val="22"/>
      <w:szCs w:val="22"/>
      <w:u w:val="none"/>
      <w:lang w:val="en-US" w:eastAsia="zh-CN" w:bidi="ar-SA"/>
    </w:rPr>
  </w:style>
  <w:style w:type="character" w:customStyle="1" w:styleId="20">
    <w:name w:val="font41"/>
    <w:basedOn w:val="13"/>
    <w:qFormat/>
    <w:uiPriority w:val="0"/>
    <w:rPr>
      <w:rFonts w:hint="eastAsia" w:ascii="宋体" w:hAnsi="宋体" w:eastAsia="宋体" w:cs="宋体"/>
      <w:color w:val="000000"/>
      <w:sz w:val="24"/>
      <w:szCs w:val="24"/>
      <w:u w:val="none"/>
      <w:lang w:val="en-US" w:eastAsia="zh-CN" w:bidi="ar-SA"/>
    </w:rPr>
  </w:style>
  <w:style w:type="character" w:customStyle="1" w:styleId="21">
    <w:name w:val="font3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2">
    <w:name w:val="font9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3">
    <w:name w:val="font51"/>
    <w:basedOn w:val="13"/>
    <w:qFormat/>
    <w:uiPriority w:val="0"/>
    <w:rPr>
      <w:rFonts w:hint="eastAsia" w:ascii="宋体" w:hAnsi="宋体" w:eastAsia="宋体" w:cs="宋体"/>
      <w:color w:val="000000"/>
      <w:sz w:val="24"/>
      <w:szCs w:val="24"/>
      <w:u w:val="none"/>
      <w:lang w:val="en-US" w:eastAsia="zh-CN" w:bidi="ar-SA"/>
    </w:rPr>
  </w:style>
  <w:style w:type="character" w:customStyle="1" w:styleId="24">
    <w:name w:val="批注框文本 Char"/>
    <w:basedOn w:val="13"/>
    <w:link w:val="7"/>
    <w:semiHidden/>
    <w:qFormat/>
    <w:uiPriority w:val="99"/>
    <w:rPr>
      <w:rFonts w:asciiTheme="minorHAnsi" w:hAnsiTheme="minorHAnsi" w:eastAsiaTheme="minorEastAsia" w:cstheme="minorBidi"/>
      <w:sz w:val="18"/>
      <w:szCs w:val="18"/>
      <w:lang w:val="en-US" w:eastAsia="zh-CN" w:bidi="ar-SA"/>
    </w:rPr>
  </w:style>
  <w:style w:type="character" w:customStyle="1" w:styleId="25">
    <w:name w:val="font71"/>
    <w:basedOn w:val="13"/>
    <w:uiPriority w:val="0"/>
    <w:rPr>
      <w:rFonts w:hint="eastAsia" w:ascii="宋体" w:hAnsi="宋体" w:eastAsia="宋体" w:cs="宋体"/>
      <w:color w:val="000000"/>
      <w:sz w:val="20"/>
      <w:szCs w:val="20"/>
      <w:u w:val="none"/>
    </w:rPr>
  </w:style>
  <w:style w:type="character" w:customStyle="1" w:styleId="26">
    <w:name w:val="font21"/>
    <w:basedOn w:val="13"/>
    <w:uiPriority w:val="0"/>
    <w:rPr>
      <w:rFonts w:hint="default" w:ascii="Calibri" w:hAnsi="Calibri" w:cs="Calibri"/>
      <w:color w:val="000000"/>
      <w:sz w:val="20"/>
      <w:szCs w:val="20"/>
      <w:u w:val="none"/>
    </w:rPr>
  </w:style>
  <w:style w:type="character" w:customStyle="1" w:styleId="27">
    <w:name w:val="font81"/>
    <w:basedOn w:val="13"/>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chart" Target="charts/chart4.xml"/><Relationship Id="rId21" Type="http://schemas.openxmlformats.org/officeDocument/2006/relationships/chart" Target="charts/chart3.xml"/><Relationship Id="rId20" Type="http://schemas.openxmlformats.org/officeDocument/2006/relationships/chart" Target="charts/chart2.xml"/><Relationship Id="rId2" Type="http://schemas.openxmlformats.org/officeDocument/2006/relationships/settings" Target="settings.xml"/><Relationship Id="rId19" Type="http://schemas.openxmlformats.org/officeDocument/2006/relationships/chart" Target="charts/chart1.xml"/><Relationship Id="rId18" Type="http://schemas.openxmlformats.org/officeDocument/2006/relationships/image" Target="media/image6.svg"/><Relationship Id="rId17" Type="http://schemas.openxmlformats.org/officeDocument/2006/relationships/image" Target="media/image5.png"/><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39640;&#26032;&#31185;&#25216;&#23616;zy\&#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39640;&#26032;&#31185;&#25216;&#23616;zy\&#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39640;&#26032;&#31185;&#25216;&#23616;zy\&#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D:\&#39640;&#26032;&#31185;&#25216;&#23616;zy\&#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'[新建 XLS 工作表.xls]Sheet1'!$A$2</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工作表.xls]Sheet1'!$B$1:$C$1</c:f>
              <c:strCache>
                <c:ptCount val="2"/>
                <c:pt idx="0">
                  <c:v>2022年</c:v>
                </c:pt>
                <c:pt idx="1">
                  <c:v>2023年</c:v>
                </c:pt>
              </c:strCache>
            </c:strRef>
          </c:cat>
          <c:val>
            <c:numRef>
              <c:f>'[新建 XLS 工作表.xls]Sheet1'!$B$2:$C$2</c:f>
              <c:numCache>
                <c:formatCode>General</c:formatCode>
                <c:ptCount val="2"/>
                <c:pt idx="0">
                  <c:v>22623.52</c:v>
                </c:pt>
                <c:pt idx="1">
                  <c:v>33391.44</c:v>
                </c:pt>
              </c:numCache>
            </c:numRef>
          </c:val>
        </c:ser>
        <c:dLbls>
          <c:showLegendKey val="0"/>
          <c:showVal val="1"/>
          <c:showCatName val="0"/>
          <c:showSerName val="0"/>
          <c:showPercent val="0"/>
          <c:showBubbleSize val="0"/>
        </c:dLbls>
        <c:gapWidth val="219"/>
        <c:overlap val="-27"/>
        <c:axId val="958675556"/>
        <c:axId val="565018100"/>
      </c:barChart>
      <c:catAx>
        <c:axId val="9586755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5018100"/>
        <c:crosses val="autoZero"/>
        <c:auto val="1"/>
        <c:lblAlgn val="ctr"/>
        <c:lblOffset val="100"/>
        <c:noMultiLvlLbl val="0"/>
      </c:catAx>
      <c:valAx>
        <c:axId val="5650181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6755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744406498741611"/>
                  <c:y val="0.010498371968089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466666666666667"/>
                  <c:y val="0.0055555555555555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工作表.xls]Sheet2'!$B$4:$F$4</c:f>
              <c:strCache>
                <c:ptCount val="5"/>
                <c:pt idx="0">
                  <c:v>基本支出</c:v>
                </c:pt>
                <c:pt idx="1">
                  <c:v>项目支出</c:v>
                </c:pt>
                <c:pt idx="2">
                  <c:v>上缴上级支出</c:v>
                </c:pt>
                <c:pt idx="3">
                  <c:v>经营支出</c:v>
                </c:pt>
                <c:pt idx="4">
                  <c:v>对附属单位补助支出</c:v>
                </c:pt>
              </c:strCache>
            </c:strRef>
          </c:cat>
          <c:val>
            <c:numRef>
              <c:f>'[新建 XLS 工作表.xls]Sheet2'!$B$5:$F$5</c:f>
              <c:numCache>
                <c:formatCode>0.00%</c:formatCode>
                <c:ptCount val="5"/>
                <c:pt idx="0">
                  <c:v>0.0184</c:v>
                </c:pt>
                <c:pt idx="1">
                  <c:v>0.9816</c:v>
                </c:pt>
                <c:pt idx="2" c:formatCode="0%">
                  <c:v>0</c:v>
                </c:pt>
                <c:pt idx="3" c:formatCode="0%">
                  <c:v>0</c:v>
                </c:pt>
                <c:pt idx="4" c:formatCode="0%">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768055555555556"/>
          <c:y val="0.9159722222222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'[新建 XLS 工作表.xls]Sheet3'!$B$2</c:f>
              <c:strCache>
                <c:ptCount val="1"/>
                <c:pt idx="0">
                  <c:v>2022年度</c:v>
                </c:pt>
              </c:strCache>
            </c:strRef>
          </c:tx>
          <c:spPr>
            <a:solidFill>
              <a:schemeClr val="accent1"/>
            </a:solidFill>
            <a:ln>
              <a:noFill/>
            </a:ln>
            <a:effectLst/>
          </c:spPr>
          <c:invertIfNegative val="0"/>
          <c:dLbls>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工作表.xls]Sheet3'!$A$3:$A$5</c:f>
              <c:strCache>
                <c:ptCount val="3"/>
                <c:pt idx="0">
                  <c:v>财政拨款收入</c:v>
                </c:pt>
                <c:pt idx="2">
                  <c:v>财政拨款支出</c:v>
                </c:pt>
              </c:strCache>
            </c:strRef>
          </c:cat>
          <c:val>
            <c:numRef>
              <c:f>'[新建 XLS 工作表.xls]Sheet3'!$B$3:$B$5</c:f>
              <c:numCache>
                <c:formatCode>General</c:formatCode>
                <c:ptCount val="3"/>
                <c:pt idx="0">
                  <c:v>18623.52</c:v>
                </c:pt>
                <c:pt idx="1">
                  <c:v>0</c:v>
                </c:pt>
                <c:pt idx="2">
                  <c:v>18623.52</c:v>
                </c:pt>
              </c:numCache>
            </c:numRef>
          </c:val>
        </c:ser>
        <c:ser>
          <c:idx val="1"/>
          <c:order val="1"/>
          <c:tx>
            <c:strRef>
              <c:f>'[新建 XLS 工作表.xls]Sheet3'!$C$2</c:f>
              <c:strCache>
                <c:ptCount val="1"/>
                <c:pt idx="0">
                  <c:v>2023年度</c:v>
                </c:pt>
              </c:strCache>
            </c:strRef>
          </c:tx>
          <c:spPr>
            <a:solidFill>
              <a:schemeClr val="accent2"/>
            </a:solidFill>
            <a:ln>
              <a:noFill/>
            </a:ln>
            <a:effectLst/>
          </c:spPr>
          <c:invertIfNegative val="0"/>
          <c:dLbls>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工作表.xls]Sheet3'!$A$3:$A$5</c:f>
              <c:strCache>
                <c:ptCount val="3"/>
                <c:pt idx="0">
                  <c:v>财政拨款收入</c:v>
                </c:pt>
                <c:pt idx="2">
                  <c:v>财政拨款支出</c:v>
                </c:pt>
              </c:strCache>
            </c:strRef>
          </c:cat>
          <c:val>
            <c:numRef>
              <c:f>'[新建 XLS 工作表.xls]Sheet3'!$C$3:$C$5</c:f>
              <c:numCache>
                <c:formatCode>General</c:formatCode>
                <c:ptCount val="3"/>
                <c:pt idx="0">
                  <c:v>29391.44</c:v>
                </c:pt>
                <c:pt idx="1">
                  <c:v>0</c:v>
                </c:pt>
                <c:pt idx="2">
                  <c:v>33391.44</c:v>
                </c:pt>
              </c:numCache>
            </c:numRef>
          </c:val>
        </c:ser>
        <c:dLbls>
          <c:showLegendKey val="0"/>
          <c:showVal val="1"/>
          <c:showCatName val="0"/>
          <c:showSerName val="0"/>
          <c:showPercent val="0"/>
          <c:showBubbleSize val="0"/>
        </c:dLbls>
        <c:gapWidth val="219"/>
        <c:overlap val="-27"/>
        <c:axId val="639733916"/>
        <c:axId val="314790094"/>
      </c:barChart>
      <c:catAx>
        <c:axId val="6397339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4790094"/>
        <c:crosses val="autoZero"/>
        <c:auto val="1"/>
        <c:lblAlgn val="ctr"/>
        <c:lblOffset val="100"/>
        <c:noMultiLvlLbl val="0"/>
      </c:catAx>
      <c:valAx>
        <c:axId val="31479009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97339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09079640533"/>
          <c:y val="0.00752068187515668"/>
          <c:w val="0.85426092345832"/>
          <c:h val="0.710554023564803"/>
        </c:manualLayout>
      </c:layout>
      <c:barChart>
        <c:barDir val="col"/>
        <c:grouping val="clustered"/>
        <c:varyColors val="0"/>
        <c:ser>
          <c:idx val="0"/>
          <c:order val="0"/>
          <c:tx>
            <c:strRef>
              <c:f>'[新建 XLS 工作表.xls]Sheet4'!$B$3</c:f>
              <c:strCache>
                <c:ptCount val="1"/>
                <c:pt idx="0">
                  <c:v>预算数</c:v>
                </c:pt>
              </c:strCache>
            </c:strRef>
          </c:tx>
          <c:spPr>
            <a:solidFill>
              <a:schemeClr val="accent1"/>
            </a:solidFill>
            <a:ln>
              <a:noFill/>
            </a:ln>
            <a:effectLst/>
          </c:spPr>
          <c:invertIfNegative val="0"/>
          <c:dLbls>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工作表.xls]Sheet4'!$A$4:$A$6</c:f>
              <c:strCache>
                <c:ptCount val="3"/>
                <c:pt idx="0">
                  <c:v>财政拨款收入</c:v>
                </c:pt>
                <c:pt idx="2">
                  <c:v>财政拨款支出</c:v>
                </c:pt>
              </c:strCache>
            </c:strRef>
          </c:cat>
          <c:val>
            <c:numRef>
              <c:f>'[新建 XLS 工作表.xls]Sheet4'!$B$4:$B$6</c:f>
              <c:numCache>
                <c:formatCode>General</c:formatCode>
                <c:ptCount val="3"/>
                <c:pt idx="0">
                  <c:v>37221.8</c:v>
                </c:pt>
                <c:pt idx="1">
                  <c:v>0</c:v>
                </c:pt>
                <c:pt idx="2">
                  <c:v>37221.8</c:v>
                </c:pt>
              </c:numCache>
            </c:numRef>
          </c:val>
        </c:ser>
        <c:ser>
          <c:idx val="1"/>
          <c:order val="1"/>
          <c:tx>
            <c:strRef>
              <c:f>'[新建 XLS 工作表.xls]Sheet4'!$C$3</c:f>
              <c:strCache>
                <c:ptCount val="1"/>
                <c:pt idx="0">
                  <c:v>决算数</c:v>
                </c:pt>
              </c:strCache>
            </c:strRef>
          </c:tx>
          <c:spPr>
            <a:solidFill>
              <a:schemeClr val="accent2"/>
            </a:solidFill>
            <a:ln>
              <a:noFill/>
            </a:ln>
            <a:effectLst/>
          </c:spPr>
          <c:invertIfNegative val="0"/>
          <c:dLbls>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工作表.xls]Sheet4'!$A$4:$A$6</c:f>
              <c:strCache>
                <c:ptCount val="3"/>
                <c:pt idx="0">
                  <c:v>财政拨款收入</c:v>
                </c:pt>
                <c:pt idx="2">
                  <c:v>财政拨款支出</c:v>
                </c:pt>
              </c:strCache>
            </c:strRef>
          </c:cat>
          <c:val>
            <c:numRef>
              <c:f>'[新建 XLS 工作表.xls]Sheet4'!$C$4:$C$6</c:f>
              <c:numCache>
                <c:formatCode>General</c:formatCode>
                <c:ptCount val="3"/>
                <c:pt idx="0">
                  <c:v>29391.44</c:v>
                </c:pt>
                <c:pt idx="1">
                  <c:v>0</c:v>
                </c:pt>
                <c:pt idx="2">
                  <c:v>33391.44</c:v>
                </c:pt>
              </c:numCache>
            </c:numRef>
          </c:val>
        </c:ser>
        <c:dLbls>
          <c:showLegendKey val="0"/>
          <c:showVal val="1"/>
          <c:showCatName val="0"/>
          <c:showSerName val="0"/>
          <c:showPercent val="0"/>
          <c:showBubbleSize val="0"/>
        </c:dLbls>
        <c:gapWidth val="219"/>
        <c:overlap val="-27"/>
        <c:axId val="482912389"/>
        <c:axId val="297571158"/>
      </c:barChart>
      <c:catAx>
        <c:axId val="48291238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7571158"/>
        <c:crosses val="autoZero"/>
        <c:auto val="1"/>
        <c:lblAlgn val="ctr"/>
        <c:lblOffset val="100"/>
        <c:noMultiLvlLbl val="0"/>
      </c:catAx>
      <c:valAx>
        <c:axId val="2975711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291238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37</Pages>
  <Words>9730</Words>
  <Characters>12655</Characters>
  <Lines>86</Lines>
  <Paragraphs>24</Paragraphs>
  <TotalTime>1</TotalTime>
  <ScaleCrop>false</ScaleCrop>
  <LinksUpToDate>false</LinksUpToDate>
  <CharactersWithSpaces>13272</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2023-08-04T07:55:00Z</dcterms:created>
  <dc:creator>王明新TIAD</dc:creator>
  <cp:lastModifiedBy>赵媛（科技局）</cp:lastModifiedBy>
  <cp:lastPrinted>2023-08-04T01:00:00Z</cp:lastPrinted>
  <dcterms:modified xsi:type="dcterms:W3CDTF">2024-09-19T06:39:50Z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A48231EA49FB46DAABBB4170ABB7FF26</vt:lpwstr>
  </property>
  <property fmtid="{D5CDD505-2E9C-101B-9397-08002B2CF9AE}" pid="4" name="KSOTemplateUUID">
    <vt:lpwstr>v1.0_mb_S7ajbG3IpAnL1wSthNCxfw==</vt:lpwstr>
  </property>
</Properties>
</file>