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D433A">
      <w:pPr>
        <w:jc w:val="center"/>
        <w:rPr>
          <w:rFonts w:hint="eastAsia"/>
          <w:sz w:val="36"/>
          <w:szCs w:val="44"/>
          <w:lang w:val="en-US" w:eastAsia="zh-CN"/>
        </w:rPr>
      </w:pPr>
      <w:r>
        <w:rPr>
          <w:rFonts w:hint="eastAsia"/>
          <w:sz w:val="36"/>
          <w:szCs w:val="44"/>
        </w:rPr>
        <w:t>石家庄东华金龙化工有限公司甘氨酸亚铁扩能改造项目</w:t>
      </w:r>
      <w:r>
        <w:rPr>
          <w:rFonts w:hint="eastAsia"/>
          <w:sz w:val="36"/>
          <w:szCs w:val="44"/>
          <w:lang w:val="en-US" w:eastAsia="zh-CN"/>
        </w:rPr>
        <w:t>基本情况</w:t>
      </w:r>
    </w:p>
    <w:p w14:paraId="3E142505">
      <w:pPr>
        <w:rPr>
          <w:rFonts w:hint="eastAsia"/>
          <w:lang w:val="en-US" w:eastAsia="zh-CN"/>
        </w:rPr>
      </w:pPr>
    </w:p>
    <w:p w14:paraId="7F968C95">
      <w:pPr>
        <w:keepNext w:val="0"/>
        <w:keepLines w:val="0"/>
        <w:widowControl w:val="0"/>
        <w:kinsoku/>
        <w:autoSpaceDE/>
        <w:autoSpaceDN/>
        <w:bidi w:val="0"/>
        <w:adjustRightInd/>
        <w:snapToGrid/>
        <w:spacing w:beforeLines="0" w:beforeAutospacing="0" w:afterLines="0" w:afterAutospacing="0" w:line="360" w:lineRule="auto"/>
        <w:ind w:firstLine="422" w:firstLineChars="200"/>
        <w:jc w:val="both"/>
        <w:outlineLvl w:val="1"/>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（一）项目由来</w:t>
      </w:r>
    </w:p>
    <w:p w14:paraId="74CD1200">
      <w:pPr>
        <w:keepNext w:val="0"/>
        <w:keepLines w:val="0"/>
        <w:widowControl w:val="0"/>
        <w:kinsoku/>
        <w:autoSpaceDE/>
        <w:autoSpaceDN/>
        <w:bidi w:val="0"/>
        <w:adjustRightInd/>
        <w:snapToGrid/>
        <w:spacing w:beforeLines="0" w:beforeAutospacing="0" w:afterLines="0" w:afterAutospacing="0" w:line="360" w:lineRule="auto"/>
        <w:ind w:firstLine="420" w:firstLineChars="200"/>
        <w:jc w:val="both"/>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石家庄东华金龙化工有限公司位于</w:t>
      </w:r>
      <w:r>
        <w:rPr>
          <w:rFonts w:hint="eastAsia" w:cs="Times New Roman"/>
          <w:b w:val="0"/>
          <w:bCs/>
          <w:color w:val="000000" w:themeColor="text1"/>
          <w:kern w:val="2"/>
          <w:sz w:val="21"/>
          <w:szCs w:val="21"/>
          <w:highlight w:val="none"/>
          <w:lang w:val="en-US" w:eastAsia="zh-CN" w:bidi="ar-SA"/>
          <w14:textFill>
            <w14:solidFill>
              <w14:schemeClr w14:val="tx1"/>
            </w14:solidFill>
          </w14:textFill>
        </w:rPr>
        <w:t>石家庄循环化工园</w:t>
      </w:r>
      <w:bookmarkStart w:id="1" w:name="_GoBack"/>
      <w:bookmarkEnd w:id="1"/>
      <w:r>
        <w:rPr>
          <w:rFonts w:hint="eastAsia" w:cs="Times New Roman"/>
          <w:b w:val="0"/>
          <w:bCs/>
          <w:color w:val="000000" w:themeColor="text1"/>
          <w:kern w:val="2"/>
          <w:sz w:val="21"/>
          <w:szCs w:val="21"/>
          <w:highlight w:val="none"/>
          <w:lang w:val="en-US" w:eastAsia="zh-CN" w:bidi="ar-SA"/>
          <w14:textFill>
            <w14:solidFill>
              <w14:schemeClr w14:val="tx1"/>
            </w14:solidFill>
          </w14:textFill>
        </w:rPr>
        <w:t>区</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化工中路100号，占地216669.9m</w:t>
      </w:r>
      <w:r>
        <w:rPr>
          <w:rFonts w:hint="default" w:ascii="Times New Roman" w:hAnsi="Times New Roman" w:eastAsia="宋体" w:cs="Times New Roman"/>
          <w:b w:val="0"/>
          <w:bCs/>
          <w:color w:val="000000" w:themeColor="text1"/>
          <w:kern w:val="2"/>
          <w:sz w:val="21"/>
          <w:szCs w:val="21"/>
          <w:highlight w:val="none"/>
          <w:vertAlign w:val="superscript"/>
          <w:lang w:val="en-US" w:eastAsia="zh-CN" w:bidi="ar-SA"/>
          <w14:textFill>
            <w14:solidFill>
              <w14:schemeClr w14:val="tx1"/>
            </w14:solidFill>
          </w14:textFill>
        </w:rPr>
        <w:t>2</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始建于2000年，于2008年底从石家庄东二环整体搬迁入化工园区，2010年被国家认定为高新技术企业。</w:t>
      </w:r>
      <w:r>
        <w:rPr>
          <w:rFonts w:hint="eastAsia" w:cs="Times New Roman"/>
          <w:color w:val="000000" w:themeColor="text1"/>
          <w:spacing w:val="0"/>
          <w:w w:val="100"/>
          <w:position w:val="0"/>
          <w:sz w:val="21"/>
          <w:szCs w:val="21"/>
          <w:highlight w:val="none"/>
          <w:lang w:eastAsia="zh-CN"/>
          <w14:textFill>
            <w14:solidFill>
              <w14:schemeClr w14:val="tx1"/>
            </w14:solidFill>
          </w14:textFill>
        </w:rPr>
        <w:t>目前企业拥有员工近千余名，是全球氨基乙酸行业的龙头企业。公司现有</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主要</w:t>
      </w:r>
      <w:r>
        <w:rPr>
          <w:rFonts w:hint="eastAsia" w:cs="Times New Roman"/>
          <w:b w:val="0"/>
          <w:bCs/>
          <w:color w:val="000000" w:themeColor="text1"/>
          <w:kern w:val="2"/>
          <w:sz w:val="21"/>
          <w:szCs w:val="21"/>
          <w:highlight w:val="none"/>
          <w:lang w:val="en-US" w:eastAsia="zh-CN" w:bidi="ar-SA"/>
          <w14:textFill>
            <w14:solidFill>
              <w14:schemeClr w14:val="tx1"/>
            </w14:solidFill>
          </w14:textFill>
        </w:rPr>
        <w:t>产品及实际产能情况：</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工业氨基乙酸</w:t>
      </w:r>
      <w:r>
        <w:rPr>
          <w:rFonts w:hint="eastAsia" w:cs="Times New Roman"/>
          <w:b w:val="0"/>
          <w:bCs/>
          <w:color w:val="000000" w:themeColor="text1"/>
          <w:kern w:val="2"/>
          <w:sz w:val="21"/>
          <w:szCs w:val="21"/>
          <w:highlight w:val="none"/>
          <w:lang w:val="en-US" w:eastAsia="zh-CN" w:bidi="ar-SA"/>
          <w14:textFill>
            <w14:solidFill>
              <w14:schemeClr w14:val="tx1"/>
            </w14:solidFill>
          </w14:textFill>
        </w:rPr>
        <w:t>10</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万吨/年、精</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制</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氨基乙酸1万吨/年、</w:t>
      </w:r>
      <w:r>
        <w:rPr>
          <w:rFonts w:hint="eastAsia" w:cs="Times New Roman"/>
          <w:b w:val="0"/>
          <w:bCs/>
          <w:color w:val="000000" w:themeColor="text1"/>
          <w:kern w:val="2"/>
          <w:sz w:val="21"/>
          <w:szCs w:val="21"/>
          <w:highlight w:val="none"/>
          <w:lang w:val="en-US" w:eastAsia="zh-CN" w:bidi="ar-SA"/>
          <w14:textFill>
            <w14:solidFill>
              <w14:schemeClr w14:val="tx1"/>
            </w14:solidFill>
          </w14:textFill>
        </w:rPr>
        <w:t>ZAO靶材200t/a、</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海因2500吨/年</w:t>
      </w:r>
      <w:r>
        <w:rPr>
          <w:rFonts w:hint="eastAsia" w:cs="Times New Roman"/>
          <w:b w:val="0"/>
          <w:bCs/>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甘氨酸</w:t>
      </w:r>
      <w:r>
        <w:rPr>
          <w:rFonts w:hint="eastAsia" w:cs="Times New Roman"/>
          <w:b w:val="0"/>
          <w:bCs/>
          <w:color w:val="000000" w:themeColor="text1"/>
          <w:kern w:val="2"/>
          <w:sz w:val="21"/>
          <w:szCs w:val="21"/>
          <w:highlight w:val="none"/>
          <w:lang w:val="en-US" w:eastAsia="zh-CN" w:bidi="ar-SA"/>
          <w14:textFill>
            <w14:solidFill>
              <w14:schemeClr w14:val="tx1"/>
            </w14:solidFill>
          </w14:textFill>
        </w:rPr>
        <w:t>亚</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铁50</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吨/年</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甘氨酸钙</w:t>
      </w:r>
      <w:r>
        <w:rPr>
          <w:rFonts w:hint="eastAsia" w:cs="Times New Roman"/>
          <w:b w:val="0"/>
          <w:bCs/>
          <w:color w:val="000000" w:themeColor="text1"/>
          <w:kern w:val="2"/>
          <w:sz w:val="21"/>
          <w:szCs w:val="21"/>
          <w:highlight w:val="none"/>
          <w:lang w:val="en-US" w:eastAsia="zh-CN" w:bidi="ar-SA"/>
          <w14:textFill>
            <w14:solidFill>
              <w14:schemeClr w14:val="tx1"/>
            </w14:solidFill>
          </w14:textFill>
        </w:rPr>
        <w:t>（镁、锌）100</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吨/年、甘氨酸</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铜</w:t>
      </w:r>
      <w:r>
        <w:rPr>
          <w:rFonts w:hint="eastAsia" w:cs="Times New Roman"/>
          <w:b w:val="0"/>
          <w:bCs/>
          <w:color w:val="000000" w:themeColor="text1"/>
          <w:kern w:val="2"/>
          <w:sz w:val="21"/>
          <w:szCs w:val="21"/>
          <w:highlight w:val="none"/>
          <w:lang w:val="en-US" w:eastAsia="zh-CN" w:bidi="ar-SA"/>
          <w14:textFill>
            <w14:solidFill>
              <w14:schemeClr w14:val="tx1"/>
            </w14:solidFill>
          </w14:textFill>
        </w:rPr>
        <w:t>50</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吨/年、甘氨酸</w:t>
      </w:r>
      <w:r>
        <w:rPr>
          <w:rFonts w:hint="eastAsia" w:cs="Times New Roman"/>
          <w:b w:val="0"/>
          <w:bCs/>
          <w:color w:val="000000" w:themeColor="text1"/>
          <w:kern w:val="2"/>
          <w:sz w:val="21"/>
          <w:szCs w:val="21"/>
          <w:highlight w:val="none"/>
          <w:lang w:val="en-US" w:eastAsia="zh-CN" w:bidi="ar-SA"/>
          <w14:textFill>
            <w14:solidFill>
              <w14:schemeClr w14:val="tx1"/>
            </w14:solidFill>
          </w14:textFill>
        </w:rPr>
        <w:t>钠碳酸盐100</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吨/年</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、氨基乙酸钠4000t/a、甘氨酸镁 3000t/a或甘氨酸锌1800t/a</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等</w:t>
      </w:r>
      <w:r>
        <w:rPr>
          <w:rFonts w:hint="eastAsia" w:cs="Times New Roman"/>
          <w:b w:val="0"/>
          <w:bCs/>
          <w:color w:val="000000" w:themeColor="text1"/>
          <w:kern w:val="2"/>
          <w:sz w:val="21"/>
          <w:szCs w:val="21"/>
          <w:highlight w:val="none"/>
          <w:lang w:val="en-US" w:eastAsia="zh-CN" w:bidi="ar-SA"/>
          <w14:textFill>
            <w14:solidFill>
              <w14:schemeClr w14:val="tx1"/>
            </w14:solidFill>
          </w14:textFill>
        </w:rPr>
        <w:t>。</w:t>
      </w:r>
    </w:p>
    <w:p w14:paraId="27C771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1"/>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该公司各项目环保手续齐全</w:t>
      </w:r>
      <w:r>
        <w:rPr>
          <w:rFonts w:hint="eastAsia" w:cs="Times New Roman"/>
          <w:color w:val="000000" w:themeColor="text1"/>
          <w:spacing w:val="0"/>
          <w:w w:val="100"/>
          <w:position w:val="0"/>
          <w:sz w:val="21"/>
          <w:szCs w:val="21"/>
          <w:highlight w:val="none"/>
          <w:lang w:eastAsia="zh-CN"/>
          <w14:textFill>
            <w14:solidFill>
              <w14:schemeClr w14:val="tx1"/>
            </w14:solidFill>
          </w14:textFill>
        </w:rPr>
        <w:t>（详见“现有环保手续”章节）</w:t>
      </w: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，并</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取得了</w:t>
      </w: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排污许可证</w:t>
      </w:r>
      <w:r>
        <w:rPr>
          <w:rFonts w:hint="default" w:ascii="Times New Roman" w:hAnsi="Times New Roman" w:eastAsia="宋体" w:cs="Times New Roman"/>
          <w:color w:val="000000" w:themeColor="text1"/>
          <w:spacing w:val="0"/>
          <w:w w:val="100"/>
          <w:position w:val="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91130193104681023N001Z</w:t>
      </w:r>
      <w:r>
        <w:rPr>
          <w:rFonts w:hint="default" w:ascii="Times New Roman" w:hAnsi="Times New Roman" w:eastAsia="宋体" w:cs="Times New Roman"/>
          <w:color w:val="000000" w:themeColor="text1"/>
          <w:spacing w:val="0"/>
          <w:w w:val="100"/>
          <w:position w:val="0"/>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1"/>
          <w:szCs w:val="21"/>
          <w:highlight w:val="none"/>
          <w14:textFill>
            <w14:solidFill>
              <w14:schemeClr w14:val="tx1"/>
            </w14:solidFill>
          </w14:textFill>
        </w:rPr>
        <w:t>。</w:t>
      </w:r>
    </w:p>
    <w:p w14:paraId="6BB7954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东华金龙作为中国最大工业级甘氨酸生产企业，销量占国内市场的50%，食品级甘氨酸和甘氨酸微量元素螯合物作为公司近些年研发的产品，大多经外贸公司出口到部分欧美国家。</w:t>
      </w:r>
      <w:r>
        <w:rPr>
          <w:rFonts w:hint="default"/>
          <w:color w:val="000000" w:themeColor="text1"/>
          <w:sz w:val="21"/>
          <w:szCs w:val="21"/>
          <w:highlight w:val="none"/>
          <w14:textFill>
            <w14:solidFill>
              <w14:schemeClr w14:val="tx1"/>
            </w14:solidFill>
          </w14:textFill>
        </w:rPr>
        <w:t>甘氨酸亚铁作为一种重要的微量元素补充剂，在食品添加剂等领域有着广泛的应用。随着</w:t>
      </w:r>
      <w:r>
        <w:rPr>
          <w:rFonts w:hint="eastAsia"/>
          <w:color w:val="000000" w:themeColor="text1"/>
          <w:sz w:val="21"/>
          <w:szCs w:val="21"/>
          <w:highlight w:val="none"/>
          <w:lang w:val="en-US" w:eastAsia="zh-CN"/>
          <w14:textFill>
            <w14:solidFill>
              <w14:schemeClr w14:val="tx1"/>
            </w14:solidFill>
          </w14:textFill>
        </w:rPr>
        <w:t>国民健康意识提升</w:t>
      </w:r>
      <w:r>
        <w:rPr>
          <w:rFonts w:hint="default"/>
          <w:color w:val="000000" w:themeColor="text1"/>
          <w:sz w:val="21"/>
          <w:szCs w:val="21"/>
          <w:highlight w:val="none"/>
          <w14:textFill>
            <w14:solidFill>
              <w14:schemeClr w14:val="tx1"/>
            </w14:solidFill>
          </w14:textFill>
        </w:rPr>
        <w:t>以及农业现代化进程的加快，甘氨酸亚铁的需求量呈现出稳步增长的趋势。2023年，中国甘氨酸亚铁市场规模达到了约15.6亿元人民币，同比增长了8.7%。食品添加剂领域则占到了25%，作为营养强化剂添加到各类食品中。在进出口方面，2023年中国甘氨酸亚铁出口量为1.2万吨，同比增长了10.5%，主要出口至东南亚、欧洲和南美洲等地:进口量为0.3万吨，同比下降了5.6%,这表明国内生产能力已经能够满足大部分市场需求，并且部分产品还具有一定的</w:t>
      </w:r>
      <w:r>
        <w:rPr>
          <w:rFonts w:hint="eastAsia"/>
          <w:color w:val="000000" w:themeColor="text1"/>
          <w:sz w:val="21"/>
          <w:szCs w:val="21"/>
          <w:highlight w:val="none"/>
          <w:lang w:val="en-US" w:eastAsia="zh-CN"/>
          <w14:textFill>
            <w14:solidFill>
              <w14:schemeClr w14:val="tx1"/>
            </w14:solidFill>
          </w14:textFill>
        </w:rPr>
        <w:t>国际</w:t>
      </w:r>
      <w:r>
        <w:rPr>
          <w:rFonts w:hint="default"/>
          <w:color w:val="000000" w:themeColor="text1"/>
          <w:sz w:val="21"/>
          <w:szCs w:val="21"/>
          <w:highlight w:val="none"/>
          <w14:textFill>
            <w14:solidFill>
              <w14:schemeClr w14:val="tx1"/>
            </w14:solidFill>
          </w14:textFill>
        </w:rPr>
        <w:t>展望</w:t>
      </w:r>
      <w:r>
        <w:rPr>
          <w:rFonts w:hint="eastAsia"/>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在居民健康需求提升及政策支持下，甘氨酸亚铁市场空间将进一步扩大，行业整体向高质量、高品质方向发展。</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因此</w:t>
      </w:r>
      <w:r>
        <w:rPr>
          <w:rFonts w:hint="default" w:ascii="Times New Roman" w:hAnsi="Times New Roman" w:eastAsia="宋体" w:cs="Times New Roman"/>
          <w:color w:val="000000" w:themeColor="text1"/>
          <w:sz w:val="21"/>
          <w:szCs w:val="21"/>
          <w:highlight w:val="none"/>
          <w14:textFill>
            <w14:solidFill>
              <w14:schemeClr w14:val="tx1"/>
            </w14:solidFill>
          </w14:textFill>
        </w:rPr>
        <w:t>，公司</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决定投资</w:t>
      </w:r>
      <w:r>
        <w:rPr>
          <w:rFonts w:hint="eastAsia"/>
          <w:color w:val="000000" w:themeColor="text1"/>
          <w:kern w:val="0"/>
          <w:sz w:val="21"/>
          <w:szCs w:val="21"/>
          <w:highlight w:val="none"/>
          <w:lang w:eastAsia="zh-CN"/>
          <w14:textFill>
            <w14:solidFill>
              <w14:schemeClr w14:val="tx1"/>
            </w14:solidFill>
          </w14:textFill>
        </w:rPr>
        <w:t>548.44</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万元，在现有厂房</w:t>
      </w:r>
      <w:r>
        <w:rPr>
          <w:rFonts w:hint="default" w:ascii="Times New Roman" w:hAnsi="Times New Roman" w:eastAsia="宋体" w:cs="Times New Roman"/>
          <w:color w:val="000000" w:themeColor="text1"/>
          <w:sz w:val="21"/>
          <w:szCs w:val="21"/>
          <w:highlight w:val="none"/>
          <w14:textFill>
            <w14:solidFill>
              <w14:schemeClr w14:val="tx1"/>
            </w14:solidFill>
          </w14:textFill>
        </w:rPr>
        <w:t>甘氨酸螯合物一车间</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内</w:t>
      </w:r>
      <w:r>
        <w:rPr>
          <w:rFonts w:hint="default" w:ascii="Times New Roman" w:hAnsi="Times New Roman" w:eastAsia="宋体" w:cs="Times New Roman"/>
          <w:color w:val="000000" w:themeColor="text1"/>
          <w:sz w:val="21"/>
          <w:szCs w:val="21"/>
          <w:highlight w:val="none"/>
          <w14:textFill>
            <w14:solidFill>
              <w14:schemeClr w14:val="tx1"/>
            </w14:solidFill>
          </w14:textFill>
        </w:rPr>
        <w:t>实施甘氨酸亚铁扩能改造项目。</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目前，本项目已在石家庄高新技术产业开发区行政审批局备案，备案编号：石高审循化投资备字〔2026〕29 号，</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本</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项目</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改扩建完成</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后年产甘氨酸</w:t>
      </w:r>
      <w:r>
        <w:rPr>
          <w:rFonts w:hint="eastAsia" w:cs="Times New Roman"/>
          <w:b w:val="0"/>
          <w:bCs/>
          <w:color w:val="000000" w:themeColor="text1"/>
          <w:kern w:val="2"/>
          <w:sz w:val="21"/>
          <w:szCs w:val="21"/>
          <w:highlight w:val="none"/>
          <w:lang w:val="en-US" w:eastAsia="zh-CN" w:bidi="ar-SA"/>
          <w14:textFill>
            <w14:solidFill>
              <w14:schemeClr w14:val="tx1"/>
            </w14:solidFill>
          </w14:textFill>
        </w:rPr>
        <w:t>亚铁</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300吨。</w:t>
      </w:r>
    </w:p>
    <w:p w14:paraId="2AA763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根据《中华人民共和国环境保护法》和《中华人民共和国环境影响评价法》，本项目应进行环境影响评价工作。根据</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《国民经济行业分类》GB/T 4754-2017</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本项目属于“C1495食品及饲料添加剂制造；食品用营养强化剂”；根据</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《建设项目环境保护分类管理名录》（2021年版），本项目属于</w:t>
      </w:r>
      <w:r>
        <w:rPr>
          <w:rFonts w:hint="eastAsia" w:cs="Times New Roman"/>
          <w:b w:val="0"/>
          <w:bCs/>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十一、食品制造业14；24其他食品制造149；无发酵工艺的食品及饲料添加剂制造</w:t>
      </w:r>
      <w:r>
        <w:rPr>
          <w:rFonts w:hint="eastAsia" w:cs="Times New Roman"/>
          <w:b w:val="0"/>
          <w:bCs/>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，应编制环境影响评价报告表。</w:t>
      </w:r>
    </w:p>
    <w:p w14:paraId="070ACABB">
      <w:pPr>
        <w:keepNext w:val="0"/>
        <w:keepLines w:val="0"/>
        <w:widowControl w:val="0"/>
        <w:kinsoku/>
        <w:autoSpaceDE/>
        <w:autoSpaceDN/>
        <w:bidi w:val="0"/>
        <w:adjustRightInd/>
        <w:snapToGrid/>
        <w:spacing w:beforeLines="0" w:beforeAutospacing="0" w:afterLines="0" w:afterAutospacing="0" w:line="360" w:lineRule="auto"/>
        <w:ind w:firstLine="422" w:firstLineChars="200"/>
        <w:jc w:val="both"/>
        <w:outlineLvl w:val="1"/>
        <w:rPr>
          <w:rFonts w:hint="eastAsia"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（二）项目概况</w:t>
      </w:r>
    </w:p>
    <w:p w14:paraId="54E17AB0">
      <w:pPr>
        <w:keepNext w:val="0"/>
        <w:keepLines w:val="0"/>
        <w:widowControl w:val="0"/>
        <w:kinsoku/>
        <w:autoSpaceDE/>
        <w:autoSpaceDN/>
        <w:bidi w:val="0"/>
        <w:adjustRightInd/>
        <w:snapToGrid/>
        <w:spacing w:beforeLines="0" w:beforeAutospacing="0" w:afterLines="0" w:afterAutospacing="0" w:line="360" w:lineRule="auto"/>
        <w:ind w:firstLine="420" w:firstLineChars="200"/>
        <w:jc w:val="both"/>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（1）项目名称：</w:t>
      </w:r>
      <w:r>
        <w:rPr>
          <w:rFonts w:hint="eastAsia" w:cs="Times New Roman"/>
          <w:b w:val="0"/>
          <w:bCs/>
          <w:color w:val="000000" w:themeColor="text1"/>
          <w:kern w:val="2"/>
          <w:sz w:val="21"/>
          <w:szCs w:val="21"/>
          <w:highlight w:val="none"/>
          <w:lang w:val="en-US" w:eastAsia="zh-CN" w:bidi="ar-SA"/>
          <w14:textFill>
            <w14:solidFill>
              <w14:schemeClr w14:val="tx1"/>
            </w14:solidFill>
          </w14:textFill>
        </w:rPr>
        <w:t>石家庄东华金龙化工有限公司甘氨酸亚铁扩能改造项目</w:t>
      </w:r>
    </w:p>
    <w:p w14:paraId="33BF2B7D">
      <w:pPr>
        <w:keepNext w:val="0"/>
        <w:keepLines w:val="0"/>
        <w:widowControl w:val="0"/>
        <w:kinsoku/>
        <w:autoSpaceDE/>
        <w:autoSpaceDN/>
        <w:bidi w:val="0"/>
        <w:adjustRightInd/>
        <w:snapToGrid/>
        <w:spacing w:beforeLines="0" w:beforeAutospacing="0" w:afterLines="0" w:afterAutospacing="0" w:line="360" w:lineRule="auto"/>
        <w:ind w:firstLine="420" w:firstLineChars="200"/>
        <w:jc w:val="both"/>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（2）建设单位：石家庄东华金龙化工有限公司</w:t>
      </w:r>
    </w:p>
    <w:p w14:paraId="2580CA8C">
      <w:pPr>
        <w:keepNext w:val="0"/>
        <w:keepLines w:val="0"/>
        <w:widowControl w:val="0"/>
        <w:kinsoku/>
        <w:autoSpaceDE/>
        <w:autoSpaceDN/>
        <w:bidi w:val="0"/>
        <w:adjustRightInd/>
        <w:snapToGrid/>
        <w:spacing w:beforeLines="0" w:beforeAutospacing="0" w:afterLines="0" w:afterAutospacing="0" w:line="360" w:lineRule="auto"/>
        <w:ind w:firstLine="420" w:firstLineChars="200"/>
        <w:jc w:val="both"/>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（3）建设性质：</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改</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扩建</w:t>
      </w:r>
    </w:p>
    <w:p w14:paraId="29FF71CA">
      <w:pPr>
        <w:keepNext w:val="0"/>
        <w:keepLines w:val="0"/>
        <w:widowControl w:val="0"/>
        <w:kinsoku/>
        <w:autoSpaceDE/>
        <w:autoSpaceDN/>
        <w:bidi w:val="0"/>
        <w:adjustRightInd/>
        <w:snapToGrid/>
        <w:spacing w:beforeLines="0" w:beforeAutospacing="0" w:afterLines="0" w:afterAutospacing="0" w:line="360" w:lineRule="auto"/>
        <w:ind w:firstLine="420" w:firstLineChars="200"/>
        <w:jc w:val="both"/>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（4）项目投资：项目总投资</w:t>
      </w:r>
      <w:r>
        <w:rPr>
          <w:rFonts w:hint="eastAsia"/>
          <w:color w:val="000000" w:themeColor="text1"/>
          <w:kern w:val="0"/>
          <w:sz w:val="21"/>
          <w:szCs w:val="21"/>
          <w:highlight w:val="none"/>
          <w:lang w:eastAsia="zh-CN"/>
          <w14:textFill>
            <w14:solidFill>
              <w14:schemeClr w14:val="tx1"/>
            </w14:solidFill>
          </w14:textFill>
        </w:rPr>
        <w:t>548.44</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万元，其中环保投资</w:t>
      </w:r>
      <w:r>
        <w:rPr>
          <w:rFonts w:hint="eastAsia" w:cs="Times New Roman"/>
          <w:b w:val="0"/>
          <w:bCs/>
          <w:color w:val="000000" w:themeColor="text1"/>
          <w:kern w:val="2"/>
          <w:sz w:val="21"/>
          <w:szCs w:val="21"/>
          <w:highlight w:val="none"/>
          <w:lang w:val="en-US" w:eastAsia="zh-CN" w:bidi="ar-SA"/>
          <w14:textFill>
            <w14:solidFill>
              <w14:schemeClr w14:val="tx1"/>
            </w14:solidFill>
          </w14:textFill>
        </w:rPr>
        <w:t>10</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万元，占总投资的</w:t>
      </w:r>
      <w:r>
        <w:rPr>
          <w:rFonts w:hint="eastAsia" w:cs="Times New Roman"/>
          <w:b w:val="0"/>
          <w:bCs/>
          <w:color w:val="000000" w:themeColor="text1"/>
          <w:kern w:val="2"/>
          <w:sz w:val="21"/>
          <w:szCs w:val="21"/>
          <w:highlight w:val="none"/>
          <w:lang w:val="en-US" w:eastAsia="zh-CN" w:bidi="ar-SA"/>
          <w14:textFill>
            <w14:solidFill>
              <w14:schemeClr w14:val="tx1"/>
            </w14:solidFill>
          </w14:textFill>
        </w:rPr>
        <w:t>1.82</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p>
    <w:p w14:paraId="0428C240">
      <w:pPr>
        <w:keepNext w:val="0"/>
        <w:keepLines w:val="0"/>
        <w:widowControl w:val="0"/>
        <w:kinsoku/>
        <w:autoSpaceDE/>
        <w:autoSpaceDN/>
        <w:bidi w:val="0"/>
        <w:adjustRightInd/>
        <w:snapToGrid/>
        <w:spacing w:beforeLines="0" w:beforeAutospacing="0" w:afterLines="0" w:afterAutospacing="0" w:line="360" w:lineRule="auto"/>
        <w:ind w:firstLine="420" w:firstLineChars="200"/>
        <w:jc w:val="both"/>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（5）建设地点：本项目位于石家庄高新区化工中路100号，石家庄东华金龙化工有限公司厂区内。</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本项目</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厂址中心地理坐标为北纬</w:t>
      </w: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37</w:t>
      </w: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度</w:t>
      </w:r>
      <w:r>
        <w:rPr>
          <w:rFonts w:hint="eastAsia" w:cs="Times New Roman"/>
          <w:color w:val="000000" w:themeColor="text1"/>
          <w:sz w:val="21"/>
          <w:szCs w:val="21"/>
          <w:highlight w:val="none"/>
          <w:u w:val="none"/>
          <w:lang w:val="en-US" w:eastAsia="zh-CN"/>
          <w14:textFill>
            <w14:solidFill>
              <w14:schemeClr w14:val="tx1"/>
            </w14:solidFill>
          </w14:textFill>
        </w:rPr>
        <w:t>57</w:t>
      </w: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分</w:t>
      </w:r>
      <w:r>
        <w:rPr>
          <w:rFonts w:hint="eastAsia" w:cs="Times New Roman"/>
          <w:color w:val="000000" w:themeColor="text1"/>
          <w:sz w:val="21"/>
          <w:szCs w:val="21"/>
          <w:highlight w:val="none"/>
          <w:u w:val="none"/>
          <w:lang w:val="en-US" w:eastAsia="zh-CN"/>
          <w14:textFill>
            <w14:solidFill>
              <w14:schemeClr w14:val="tx1"/>
            </w14:solidFill>
          </w14:textFill>
        </w:rPr>
        <w:t>46.889</w:t>
      </w: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秒</w:t>
      </w:r>
      <w:r>
        <w:rPr>
          <w:rFonts w:hint="eastAsia" w:ascii="Times New Roman" w:hAnsi="Times New Roman" w:eastAsia="宋体" w:cs="Times New Roman"/>
          <w:color w:val="000000" w:themeColor="text1"/>
          <w:sz w:val="21"/>
          <w:szCs w:val="21"/>
          <w:highlight w:val="none"/>
          <w:u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东经11</w:t>
      </w:r>
      <w:r>
        <w:rPr>
          <w:rFonts w:hint="eastAsia" w:cs="Times New Roman"/>
          <w:color w:val="000000" w:themeColor="text1"/>
          <w:sz w:val="21"/>
          <w:szCs w:val="21"/>
          <w:highlight w:val="none"/>
          <w:u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度</w:t>
      </w:r>
      <w:r>
        <w:rPr>
          <w:rFonts w:hint="eastAsia" w:cs="Times New Roman"/>
          <w:color w:val="000000" w:themeColor="text1"/>
          <w:sz w:val="21"/>
          <w:szCs w:val="21"/>
          <w:highlight w:val="none"/>
          <w:u w:val="none"/>
          <w:lang w:val="en-US" w:eastAsia="zh-CN"/>
          <w14:textFill>
            <w14:solidFill>
              <w14:schemeClr w14:val="tx1"/>
            </w14:solidFill>
          </w14:textFill>
        </w:rPr>
        <w:t>40</w:t>
      </w: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分</w:t>
      </w:r>
      <w:r>
        <w:rPr>
          <w:rFonts w:hint="eastAsia" w:cs="Times New Roman"/>
          <w:color w:val="000000" w:themeColor="text1"/>
          <w:sz w:val="21"/>
          <w:szCs w:val="21"/>
          <w:highlight w:val="none"/>
          <w:u w:val="none"/>
          <w:lang w:val="en-US" w:eastAsia="zh-CN"/>
          <w14:textFill>
            <w14:solidFill>
              <w14:schemeClr w14:val="tx1"/>
            </w14:solidFill>
          </w14:textFill>
        </w:rPr>
        <w:t>21.967</w:t>
      </w:r>
      <w:r>
        <w:rPr>
          <w:rFonts w:hint="default" w:ascii="Times New Roman" w:hAnsi="Times New Roman" w:eastAsia="宋体" w:cs="Times New Roman"/>
          <w:color w:val="000000" w:themeColor="text1"/>
          <w:sz w:val="21"/>
          <w:szCs w:val="21"/>
          <w:highlight w:val="none"/>
          <w:u w:val="none"/>
          <w14:textFill>
            <w14:solidFill>
              <w14:schemeClr w14:val="tx1"/>
            </w14:solidFill>
          </w14:textFill>
        </w:rPr>
        <w:t>秒</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厂界</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西南侧为东汇化工园区供水有限公司、河北省电力公司220kV石化变电站，</w:t>
      </w:r>
      <w:r>
        <w:rPr>
          <w:rFonts w:hint="eastAsia" w:cs="Times New Roman"/>
          <w:b w:val="0"/>
          <w:bCs/>
          <w:color w:val="000000" w:themeColor="text1"/>
          <w:kern w:val="2"/>
          <w:sz w:val="21"/>
          <w:szCs w:val="21"/>
          <w:highlight w:val="none"/>
          <w:lang w:val="en-US" w:eastAsia="zh-CN" w:bidi="ar-SA"/>
          <w14:textFill>
            <w14:solidFill>
              <w14:schemeClr w14:val="tx1"/>
            </w14:solidFill>
          </w14:textFill>
        </w:rPr>
        <w:t>西侧</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隔石炼中</w:t>
      </w:r>
      <w:r>
        <w:rPr>
          <w:rFonts w:hint="eastAsia" w:cs="Times New Roman"/>
          <w:b w:val="0"/>
          <w:bCs/>
          <w:color w:val="000000" w:themeColor="text1"/>
          <w:kern w:val="2"/>
          <w:sz w:val="21"/>
          <w:szCs w:val="21"/>
          <w:highlight w:val="none"/>
          <w:lang w:val="en-US" w:eastAsia="zh-CN" w:bidi="ar-SA"/>
          <w14:textFill>
            <w14:solidFill>
              <w14:schemeClr w14:val="tx1"/>
            </w14:solidFill>
          </w14:textFill>
        </w:rPr>
        <w:t>街</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自北向南依次为河北旭隆化工有限公司、</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河北协同化学</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有限公司、石家庄白龙化工股份有限公司；南侧为规划的化工南路</w:t>
      </w:r>
      <w:r>
        <w:rPr>
          <w:rFonts w:hint="eastAsia" w:cs="Times New Roman"/>
          <w:b w:val="0"/>
          <w:bCs/>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目前为空地</w:t>
      </w:r>
      <w:r>
        <w:rPr>
          <w:rFonts w:hint="eastAsia" w:cs="Times New Roman"/>
          <w:b w:val="0"/>
          <w:bCs/>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空地；东侧为河北威远生物化工有限公司；北临化工中路、北侧隔道路为河北八维化工有限公司；东北侧为晋控金石化工集团有限公司石家庄循环化工园区分公司。项目厂界外500m范围内无环境保护目标。项目地理位置图见附图1，项目与周边关系示意图见附图2。</w:t>
      </w:r>
    </w:p>
    <w:p w14:paraId="032077F7">
      <w:pP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（6）</w:t>
      </w:r>
      <w:bookmarkStart w:id="0" w:name="OLE_LINK6"/>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建设内容及规模</w:t>
      </w:r>
      <w:bookmarkEnd w:id="0"/>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对甘氨酸螯合物一车间进行扩能改造，改造完成后甘氨酸亚铁产能由原来50吨/年增加至300吨/年。拆除原有喷雾干燥系统、加热系统、粉碎机、冷凝器、布袋除尘器、离心机、水计量罐、风机、水吸收塔、酸吸收塔、水循环泵、酸循环泵等共计13台（套），新增反应釜、离心机、喷雾干燥系统成套、加热系统成套、料液槽、料液泵、粉碎设备成套、风机、尾气处理系统成套，除尘风机等生产及配套设备约17台（套）。</w:t>
      </w:r>
    </w:p>
    <w:p w14:paraId="50ADA7DB">
      <w:pPr>
        <w:keepNext w:val="0"/>
        <w:keepLines w:val="0"/>
        <w:widowControl w:val="0"/>
        <w:kinsoku/>
        <w:autoSpaceDE/>
        <w:autoSpaceDN/>
        <w:adjustRightInd/>
        <w:snapToGrid/>
        <w:spacing w:beforeLines="0" w:beforeAutospacing="0" w:afterLines="0" w:afterAutospacing="0" w:line="360" w:lineRule="auto"/>
        <w:ind w:firstLine="420" w:firstLineChars="200"/>
        <w:jc w:val="both"/>
        <w:outlineLvl w:val="1"/>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本项目工程内容及组成见</w:t>
      </w: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表2-1，本项目使用构建筑物依托已有厂房，仅进行厂房内设备、设施安装</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p>
    <w:p w14:paraId="30D67E7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baseline"/>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表 2-</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 项目工程组成及内容一览表</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18"/>
        <w:gridCol w:w="5203"/>
        <w:gridCol w:w="986"/>
      </w:tblGrid>
      <w:tr w14:paraId="4C40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tcBorders>
              <w:tl2br w:val="nil"/>
              <w:tr2bl w:val="nil"/>
            </w:tcBorders>
            <w:noWrap w:val="0"/>
            <w:vAlign w:val="center"/>
          </w:tcPr>
          <w:p w14:paraId="0BFB0DE3">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工程分类</w:t>
            </w:r>
          </w:p>
        </w:tc>
        <w:tc>
          <w:tcPr>
            <w:tcW w:w="949" w:type="pct"/>
            <w:tcBorders>
              <w:tl2br w:val="nil"/>
              <w:tr2bl w:val="nil"/>
            </w:tcBorders>
            <w:noWrap w:val="0"/>
            <w:vAlign w:val="center"/>
          </w:tcPr>
          <w:p w14:paraId="2129DBBA">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名称</w:t>
            </w:r>
          </w:p>
        </w:tc>
        <w:tc>
          <w:tcPr>
            <w:tcW w:w="3052" w:type="pct"/>
            <w:tcBorders>
              <w:tl2br w:val="nil"/>
              <w:tr2bl w:val="nil"/>
            </w:tcBorders>
            <w:noWrap w:val="0"/>
            <w:vAlign w:val="center"/>
          </w:tcPr>
          <w:p w14:paraId="6F56F7EC">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建设内容</w:t>
            </w:r>
          </w:p>
        </w:tc>
        <w:tc>
          <w:tcPr>
            <w:tcW w:w="578" w:type="pct"/>
            <w:tcBorders>
              <w:tl2br w:val="nil"/>
              <w:tr2bl w:val="nil"/>
            </w:tcBorders>
            <w:noWrap w:val="0"/>
            <w:vAlign w:val="center"/>
          </w:tcPr>
          <w:p w14:paraId="1C629965">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备注</w:t>
            </w:r>
          </w:p>
        </w:tc>
      </w:tr>
      <w:tr w14:paraId="4A28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tcBorders>
              <w:tl2br w:val="nil"/>
              <w:tr2bl w:val="nil"/>
            </w:tcBorders>
            <w:noWrap w:val="0"/>
            <w:vAlign w:val="center"/>
          </w:tcPr>
          <w:p w14:paraId="0C26E7CA">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主体工程</w:t>
            </w:r>
          </w:p>
        </w:tc>
        <w:tc>
          <w:tcPr>
            <w:tcW w:w="949" w:type="pct"/>
            <w:tcBorders>
              <w:tl2br w:val="nil"/>
              <w:tr2bl w:val="nil"/>
            </w:tcBorders>
            <w:noWrap w:val="0"/>
            <w:vAlign w:val="center"/>
          </w:tcPr>
          <w:p w14:paraId="513DA06C">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甘氨酸螯合物一车间</w:t>
            </w:r>
          </w:p>
        </w:tc>
        <w:tc>
          <w:tcPr>
            <w:tcW w:w="3052" w:type="pct"/>
            <w:tcBorders>
              <w:tl2br w:val="nil"/>
              <w:tr2bl w:val="nil"/>
            </w:tcBorders>
            <w:noWrap w:val="0"/>
            <w:vAlign w:val="center"/>
          </w:tcPr>
          <w:p w14:paraId="7E164CEC">
            <w:pPr>
              <w:pStyle w:val="7"/>
              <w:keepNext w:val="0"/>
              <w:keepLines w:val="0"/>
              <w:pageBreakBefore w:val="0"/>
              <w:widowControl w:val="0"/>
              <w:kinsoku/>
              <w:wordWrap/>
              <w:overflowPunct/>
              <w:topLinePunct w:val="0"/>
              <w:autoSpaceDE/>
              <w:autoSpaceDN/>
              <w:bidi w:val="0"/>
              <w:adjustRightInd/>
              <w:snapToGrid w:val="0"/>
              <w:spacing w:beforeLines="0" w:line="240" w:lineRule="auto"/>
              <w:ind w:left="0" w:leftChars="0" w:firstLine="0" w:firstLineChars="0"/>
              <w:jc w:val="both"/>
              <w:textAlignment w:val="auto"/>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一车间楼高约8 m，共1.5层（局部二层设置），总建筑面积1560</w:t>
            </w: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bidi="ar-SA"/>
                <w14:textFill>
                  <w14:solidFill>
                    <w14:schemeClr w14:val="tx1"/>
                  </w14:solidFill>
                </w14:textFill>
              </w:rPr>
              <w:t>2</w:t>
            </w:r>
            <w:r>
              <w:rPr>
                <w:rFonts w:hint="eastAsia"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t>，总占地面积1040</w:t>
            </w: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bidi="ar-SA"/>
                <w14:textFill>
                  <w14:solidFill>
                    <w14:schemeClr w14:val="tx1"/>
                  </w14:solidFill>
                </w14:textFill>
              </w:rPr>
              <w:t>2</w:t>
            </w:r>
            <w:r>
              <w:rPr>
                <w:rFonts w:hint="eastAsia"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t>，利用公司现有甘氨酸螯合物一车间进行建设。将厂区内原甘氨酸螯合物一车间产能增加，设备调整。</w:t>
            </w:r>
          </w:p>
        </w:tc>
        <w:tc>
          <w:tcPr>
            <w:tcW w:w="578" w:type="pct"/>
            <w:tcBorders>
              <w:tl2br w:val="nil"/>
              <w:tr2bl w:val="nil"/>
            </w:tcBorders>
            <w:noWrap w:val="0"/>
            <w:vAlign w:val="center"/>
          </w:tcPr>
          <w:p w14:paraId="7C6644A8">
            <w:pPr>
              <w:pStyle w:val="7"/>
              <w:keepNext w:val="0"/>
              <w:keepLines w:val="0"/>
              <w:pageBreakBefore w:val="0"/>
              <w:widowControl w:val="0"/>
              <w:kinsoku/>
              <w:wordWrap/>
              <w:overflowPunct/>
              <w:topLinePunct w:val="0"/>
              <w:autoSpaceDE/>
              <w:autoSpaceDN/>
              <w:bidi w:val="0"/>
              <w:adjustRightInd/>
              <w:spacing w:beforeLines="0" w:line="240" w:lineRule="auto"/>
              <w:ind w:left="0" w:leftChars="0" w:firstLine="0" w:firstLineChars="0"/>
              <w:jc w:val="center"/>
              <w:textAlignment w:val="auto"/>
              <w:rPr>
                <w:rFonts w:hint="default" w:asci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厂房</w:t>
            </w:r>
            <w:r>
              <w:rPr>
                <w:rFonts w:hint="eastAsia"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t>依托</w:t>
            </w: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，设备新增</w:t>
            </w:r>
          </w:p>
        </w:tc>
      </w:tr>
      <w:tr w14:paraId="6110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restart"/>
            <w:tcBorders>
              <w:tl2br w:val="nil"/>
              <w:tr2bl w:val="nil"/>
            </w:tcBorders>
            <w:noWrap w:val="0"/>
            <w:vAlign w:val="center"/>
          </w:tcPr>
          <w:p w14:paraId="7F9F9C81">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公</w:t>
            </w:r>
            <w:r>
              <w:rPr>
                <w:rFonts w:hint="eastAsia"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t>用</w:t>
            </w: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工程</w:t>
            </w:r>
          </w:p>
        </w:tc>
        <w:tc>
          <w:tcPr>
            <w:tcW w:w="949" w:type="pct"/>
            <w:tcBorders>
              <w:tl2br w:val="nil"/>
              <w:tr2bl w:val="nil"/>
            </w:tcBorders>
            <w:noWrap w:val="0"/>
            <w:vAlign w:val="center"/>
          </w:tcPr>
          <w:p w14:paraId="6822528A">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供水</w:t>
            </w:r>
          </w:p>
        </w:tc>
        <w:tc>
          <w:tcPr>
            <w:tcW w:w="3052" w:type="pct"/>
            <w:tcBorders>
              <w:tl2br w:val="nil"/>
              <w:tr2bl w:val="nil"/>
            </w:tcBorders>
            <w:noWrap w:val="0"/>
            <w:vAlign w:val="center"/>
          </w:tcPr>
          <w:p w14:paraId="46FB1DE4">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由</w:t>
            </w: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石家庄循环化工园区</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统一供给</w:t>
            </w:r>
          </w:p>
        </w:tc>
        <w:tc>
          <w:tcPr>
            <w:tcW w:w="578" w:type="pct"/>
            <w:tcBorders>
              <w:tl2br w:val="nil"/>
              <w:tr2bl w:val="nil"/>
            </w:tcBorders>
            <w:noWrap w:val="0"/>
            <w:vAlign w:val="center"/>
          </w:tcPr>
          <w:p w14:paraId="47BE6DDC">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依托</w:t>
            </w:r>
          </w:p>
        </w:tc>
      </w:tr>
      <w:tr w14:paraId="5EF8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continue"/>
            <w:tcBorders>
              <w:tl2br w:val="nil"/>
              <w:tr2bl w:val="nil"/>
            </w:tcBorders>
            <w:noWrap w:val="0"/>
            <w:vAlign w:val="center"/>
          </w:tcPr>
          <w:p w14:paraId="37166223">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tcBorders>
              <w:tl2br w:val="nil"/>
              <w:tr2bl w:val="nil"/>
            </w:tcBorders>
            <w:noWrap w:val="0"/>
            <w:vAlign w:val="center"/>
          </w:tcPr>
          <w:p w14:paraId="22D423B3">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供电</w:t>
            </w:r>
          </w:p>
        </w:tc>
        <w:tc>
          <w:tcPr>
            <w:tcW w:w="3052" w:type="pct"/>
            <w:tcBorders>
              <w:tl2br w:val="nil"/>
              <w:tr2bl w:val="nil"/>
            </w:tcBorders>
            <w:noWrap w:val="0"/>
            <w:vAlign w:val="center"/>
          </w:tcPr>
          <w:p w14:paraId="0D0015A1">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厂内设置6台变压器，并配置相应高压开关柜、低压配电屏及电容器补偿设施</w:t>
            </w:r>
          </w:p>
        </w:tc>
        <w:tc>
          <w:tcPr>
            <w:tcW w:w="578" w:type="pct"/>
            <w:tcBorders>
              <w:tl2br w:val="nil"/>
              <w:tr2bl w:val="nil"/>
            </w:tcBorders>
            <w:noWrap w:val="0"/>
            <w:vAlign w:val="center"/>
          </w:tcPr>
          <w:p w14:paraId="1DB6A835">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依托</w:t>
            </w:r>
          </w:p>
        </w:tc>
      </w:tr>
      <w:tr w14:paraId="4B58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continue"/>
            <w:tcBorders>
              <w:tl2br w:val="nil"/>
              <w:tr2bl w:val="nil"/>
            </w:tcBorders>
            <w:noWrap w:val="0"/>
            <w:vAlign w:val="center"/>
          </w:tcPr>
          <w:p w14:paraId="27D4EAE8">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tcBorders>
              <w:tl2br w:val="nil"/>
              <w:tr2bl w:val="nil"/>
            </w:tcBorders>
            <w:noWrap w:val="0"/>
            <w:vAlign w:val="center"/>
          </w:tcPr>
          <w:p w14:paraId="03180E87">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供热</w:t>
            </w:r>
          </w:p>
        </w:tc>
        <w:tc>
          <w:tcPr>
            <w:tcW w:w="3052" w:type="pct"/>
            <w:tcBorders>
              <w:tl2br w:val="nil"/>
              <w:tr2bl w:val="nil"/>
            </w:tcBorders>
            <w:noWrap w:val="0"/>
            <w:vAlign w:val="center"/>
          </w:tcPr>
          <w:p w14:paraId="3F450232">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both"/>
              <w:textAlignment w:val="auto"/>
              <w:rPr>
                <w:rFonts w:hint="eastAsia"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蒸汽由园区供热企业河北旭隆化工有限公司和晋煤金石化工集团有限公司提供</w:t>
            </w:r>
          </w:p>
        </w:tc>
        <w:tc>
          <w:tcPr>
            <w:tcW w:w="578" w:type="pct"/>
            <w:tcBorders>
              <w:tl2br w:val="nil"/>
              <w:tr2bl w:val="nil"/>
            </w:tcBorders>
            <w:noWrap w:val="0"/>
            <w:vAlign w:val="center"/>
          </w:tcPr>
          <w:p w14:paraId="282984BF">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依托</w:t>
            </w:r>
          </w:p>
        </w:tc>
      </w:tr>
      <w:tr w14:paraId="5769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continue"/>
            <w:tcBorders>
              <w:tl2br w:val="nil"/>
              <w:tr2bl w:val="nil"/>
            </w:tcBorders>
            <w:noWrap w:val="0"/>
            <w:vAlign w:val="center"/>
          </w:tcPr>
          <w:p w14:paraId="63C2AA70">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tcBorders>
              <w:tl2br w:val="nil"/>
              <w:tr2bl w:val="nil"/>
            </w:tcBorders>
            <w:noWrap w:val="0"/>
            <w:vAlign w:val="center"/>
          </w:tcPr>
          <w:p w14:paraId="65C424BD">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软水制备</w:t>
            </w:r>
          </w:p>
        </w:tc>
        <w:tc>
          <w:tcPr>
            <w:tcW w:w="3052" w:type="pct"/>
            <w:tcBorders>
              <w:tl2br w:val="nil"/>
              <w:tr2bl w:val="nil"/>
            </w:tcBorders>
            <w:noWrap w:val="0"/>
            <w:vAlign w:val="center"/>
          </w:tcPr>
          <w:p w14:paraId="1296F646">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反渗透处理装置1套，处理能力4t/h</w:t>
            </w:r>
          </w:p>
        </w:tc>
        <w:tc>
          <w:tcPr>
            <w:tcW w:w="578" w:type="pct"/>
            <w:tcBorders>
              <w:tl2br w:val="nil"/>
              <w:tr2bl w:val="nil"/>
            </w:tcBorders>
            <w:noWrap w:val="0"/>
            <w:vAlign w:val="center"/>
          </w:tcPr>
          <w:p w14:paraId="3B3F2B88">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依托</w:t>
            </w:r>
          </w:p>
        </w:tc>
      </w:tr>
      <w:tr w14:paraId="2699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continue"/>
            <w:tcBorders>
              <w:tl2br w:val="nil"/>
              <w:tr2bl w:val="nil"/>
            </w:tcBorders>
            <w:noWrap w:val="0"/>
            <w:vAlign w:val="center"/>
          </w:tcPr>
          <w:p w14:paraId="07B90B47">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tcBorders>
              <w:tl2br w:val="nil"/>
              <w:tr2bl w:val="nil"/>
            </w:tcBorders>
            <w:noWrap w:val="0"/>
            <w:vAlign w:val="center"/>
          </w:tcPr>
          <w:p w14:paraId="10FAD6D0">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循环水系统</w:t>
            </w:r>
          </w:p>
        </w:tc>
        <w:tc>
          <w:tcPr>
            <w:tcW w:w="3052" w:type="pct"/>
            <w:tcBorders>
              <w:tl2br w:val="nil"/>
              <w:tr2bl w:val="nil"/>
            </w:tcBorders>
            <w:noWrap w:val="0"/>
            <w:vAlign w:val="center"/>
          </w:tcPr>
          <w:p w14:paraId="5064E1DD">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凉水塔1座，处理能力5</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00m</w:t>
            </w:r>
            <w:r>
              <w:rPr>
                <w:rFonts w:hint="eastAsia" w:cs="Times New Roman"/>
                <w:color w:val="000000" w:themeColor="text1"/>
                <w:spacing w:val="0"/>
                <w:w w:val="100"/>
                <w:position w:val="0"/>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/h</w:t>
            </w:r>
          </w:p>
        </w:tc>
        <w:tc>
          <w:tcPr>
            <w:tcW w:w="578" w:type="pct"/>
            <w:tcBorders>
              <w:tl2br w:val="nil"/>
              <w:tr2bl w:val="nil"/>
            </w:tcBorders>
            <w:noWrap w:val="0"/>
            <w:vAlign w:val="center"/>
          </w:tcPr>
          <w:p w14:paraId="2ED6E13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依托</w:t>
            </w:r>
          </w:p>
        </w:tc>
      </w:tr>
      <w:tr w14:paraId="13D8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continue"/>
            <w:tcBorders>
              <w:tl2br w:val="nil"/>
              <w:tr2bl w:val="nil"/>
            </w:tcBorders>
            <w:noWrap w:val="0"/>
            <w:vAlign w:val="center"/>
          </w:tcPr>
          <w:p w14:paraId="12D3E555">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tcBorders>
              <w:tl2br w:val="nil"/>
              <w:tr2bl w:val="nil"/>
            </w:tcBorders>
            <w:noWrap w:val="0"/>
            <w:vAlign w:val="center"/>
          </w:tcPr>
          <w:p w14:paraId="215A3AE1">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低温水系统</w:t>
            </w:r>
          </w:p>
        </w:tc>
        <w:tc>
          <w:tcPr>
            <w:tcW w:w="3052" w:type="pct"/>
            <w:tcBorders>
              <w:tl2br w:val="nil"/>
              <w:tr2bl w:val="nil"/>
            </w:tcBorders>
            <w:noWrap w:val="0"/>
            <w:vAlign w:val="center"/>
          </w:tcPr>
          <w:p w14:paraId="48744B2E">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center"/>
              <w:textAlignment w:val="auto"/>
              <w:rPr>
                <w:rFonts w:hint="eastAsia" w:cs="Times New Roman"/>
                <w:color w:val="000000" w:themeColor="text1"/>
                <w:spacing w:val="0"/>
                <w:w w:val="100"/>
                <w:position w:val="0"/>
                <w:sz w:val="21"/>
                <w:szCs w:val="21"/>
                <w:highlight w:val="no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现有-15℃冷冻机组7台，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其中氢氟碳化物机组3台，</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以R32为制冷剂，</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每台制冷量950Kw，液氨制冷剂4台，每台制冷量460Kw</w:t>
            </w:r>
          </w:p>
        </w:tc>
        <w:tc>
          <w:tcPr>
            <w:tcW w:w="578" w:type="pct"/>
            <w:tcBorders>
              <w:tl2br w:val="nil"/>
              <w:tr2bl w:val="nil"/>
            </w:tcBorders>
            <w:noWrap w:val="0"/>
            <w:vAlign w:val="center"/>
          </w:tcPr>
          <w:p w14:paraId="49A2BA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000000" w:themeColor="text1"/>
                <w:sz w:val="21"/>
                <w:szCs w:val="21"/>
                <w:highlight w:val="none"/>
                <w:vertAlign w:val="baseline"/>
                <w:lang w:val="en-US" w:eastAsia="zh-CN" w:bidi="ar-SA"/>
                <w14:textFill>
                  <w14:solidFill>
                    <w14:schemeClr w14:val="tx1"/>
                  </w14:solidFill>
                </w14:textFill>
              </w:rPr>
            </w:pPr>
            <w:r>
              <w:rPr>
                <w:rFonts w:hint="eastAsia" w:cs="Times New Roman"/>
                <w:color w:val="000000" w:themeColor="text1"/>
                <w:sz w:val="21"/>
                <w:szCs w:val="21"/>
                <w:highlight w:val="none"/>
                <w:vertAlign w:val="baseline"/>
                <w:lang w:val="en-US" w:eastAsia="zh-CN" w:bidi="ar-SA"/>
                <w14:textFill>
                  <w14:solidFill>
                    <w14:schemeClr w14:val="tx1"/>
                  </w14:solidFill>
                </w14:textFill>
              </w:rPr>
              <w:t>依托</w:t>
            </w:r>
          </w:p>
        </w:tc>
      </w:tr>
      <w:tr w14:paraId="3EC2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restart"/>
            <w:tcBorders>
              <w:tl2br w:val="nil"/>
              <w:tr2bl w:val="nil"/>
            </w:tcBorders>
            <w:noWrap w:val="0"/>
            <w:vAlign w:val="center"/>
          </w:tcPr>
          <w:p w14:paraId="11BC2048">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环保工程</w:t>
            </w:r>
          </w:p>
        </w:tc>
        <w:tc>
          <w:tcPr>
            <w:tcW w:w="949" w:type="pct"/>
            <w:tcBorders>
              <w:tl2br w:val="nil"/>
              <w:tr2bl w:val="nil"/>
            </w:tcBorders>
            <w:noWrap w:val="0"/>
            <w:vAlign w:val="center"/>
          </w:tcPr>
          <w:p w14:paraId="7AE77764">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废气</w:t>
            </w:r>
          </w:p>
        </w:tc>
        <w:tc>
          <w:tcPr>
            <w:tcW w:w="3052" w:type="pct"/>
            <w:tcBorders>
              <w:tl2br w:val="nil"/>
              <w:tr2bl w:val="nil"/>
            </w:tcBorders>
            <w:noWrap w:val="0"/>
            <w:vAlign w:val="center"/>
          </w:tcPr>
          <w:p w14:paraId="40D70D41">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both"/>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甘氨酸螯合物一车间</w:t>
            </w: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投料、粉碎及包装工序废气经</w:t>
            </w:r>
            <w:r>
              <w:rPr>
                <w:rFonts w:hint="eastAsia"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集气罩+软帘</w:t>
            </w: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收集+布袋除尘器处理，喷雾干燥工序废气经密闭管道收集后+水洗塔+酸洗塔处理，两路废气分别处理达标后一并通过一根25m高排气筒（DA028）排放；污水处理站废气依托现有，采用</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各污水处理池上方已加装玻璃钢罩进行收集，废气经管线引至现有</w:t>
            </w: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“水吸收+恒温多级生物滤池”</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装置处理后经1根15m排气筒</w:t>
            </w: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（DA010）</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排放。</w:t>
            </w:r>
          </w:p>
        </w:tc>
        <w:tc>
          <w:tcPr>
            <w:tcW w:w="578" w:type="pct"/>
            <w:tcBorders>
              <w:tl2br w:val="nil"/>
              <w:tr2bl w:val="nil"/>
            </w:tcBorders>
            <w:noWrap w:val="0"/>
            <w:vAlign w:val="center"/>
          </w:tcPr>
          <w:p w14:paraId="3A59A25B">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新增（淘汰现有）</w:t>
            </w:r>
          </w:p>
        </w:tc>
      </w:tr>
      <w:tr w14:paraId="7599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continue"/>
            <w:tcBorders>
              <w:tl2br w:val="nil"/>
              <w:tr2bl w:val="nil"/>
            </w:tcBorders>
            <w:noWrap w:val="0"/>
            <w:vAlign w:val="center"/>
          </w:tcPr>
          <w:p w14:paraId="3BADB3A4">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tcBorders>
              <w:tl2br w:val="nil"/>
              <w:tr2bl w:val="nil"/>
            </w:tcBorders>
            <w:noWrap w:val="0"/>
            <w:vAlign w:val="center"/>
          </w:tcPr>
          <w:p w14:paraId="50251008">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废水</w:t>
            </w:r>
          </w:p>
        </w:tc>
        <w:tc>
          <w:tcPr>
            <w:tcW w:w="3052" w:type="pct"/>
            <w:tcBorders>
              <w:tl2br w:val="nil"/>
              <w:tr2bl w:val="nil"/>
            </w:tcBorders>
            <w:noWrap w:val="0"/>
            <w:vAlign w:val="center"/>
          </w:tcPr>
          <w:p w14:paraId="3133D541">
            <w:pPr>
              <w:pStyle w:val="7"/>
              <w:keepNext w:val="0"/>
              <w:keepLines w:val="0"/>
              <w:pageBreakBefore w:val="0"/>
              <w:widowControl w:val="0"/>
              <w:kinsoku/>
              <w:wordWrap/>
              <w:overflowPunct/>
              <w:topLinePunct w:val="0"/>
              <w:autoSpaceDE/>
              <w:autoSpaceDN/>
              <w:bidi w:val="0"/>
              <w:adjustRightInd/>
              <w:spacing w:beforeLines="0" w:line="240" w:lineRule="auto"/>
              <w:ind w:left="0" w:leftChars="0" w:firstLine="0"/>
              <w:jc w:val="both"/>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cs="Times New Roman"/>
                <w:color w:val="000000" w:themeColor="text1"/>
                <w:spacing w:val="0"/>
                <w:w w:val="100"/>
                <w:position w:val="0"/>
                <w:sz w:val="21"/>
                <w:szCs w:val="21"/>
                <w:highlight w:val="none"/>
                <w:lang w:val="en-US" w:eastAsia="zh-CN"/>
                <w14:textFill>
                  <w14:solidFill>
                    <w14:schemeClr w14:val="tx1"/>
                  </w14:solidFill>
                </w14:textFill>
              </w:rPr>
              <w:t>本项目生产废水</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送厂综合污水处理站处理。厂综合污水站污水处理能力为1600m³/d，污水处理工艺为</w:t>
            </w:r>
            <w:r>
              <w:rPr>
                <w:rFonts w:hint="eastAsia" w:ascii="Times New Roman" w:hAnsi="Times New Roman" w:cs="Times New Roman"/>
                <w:color w:val="000000" w:themeColor="text1"/>
                <w:spacing w:val="0"/>
                <w:w w:val="100"/>
                <w:position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调节池＋初沉池+水解酸化池＋水解酸化池沉淀池+好氧池+一级沉淀池+二级水解酸化池+二级接触氧化池+二级沉淀沉池+混凝气浮</w:t>
            </w:r>
            <w:r>
              <w:rPr>
                <w:rFonts w:hint="eastAsia" w:ascii="Times New Roman" w:hAnsi="Times New Roman" w:cs="Times New Roman"/>
                <w:color w:val="000000" w:themeColor="text1"/>
                <w:spacing w:val="0"/>
                <w:w w:val="100"/>
                <w:position w:val="0"/>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，达标后经管网排入</w:t>
            </w:r>
            <w:r>
              <w:rPr>
                <w:rFonts w:hint="eastAsia" w:ascii="Times New Roman" w:hAnsi="Times New Roman" w:cs="Times New Roman"/>
                <w:color w:val="000000" w:themeColor="text1"/>
                <w:spacing w:val="0"/>
                <w:w w:val="100"/>
                <w:position w:val="0"/>
                <w:sz w:val="21"/>
                <w:szCs w:val="21"/>
                <w:highlight w:val="none"/>
                <w:lang w:val="en-US" w:eastAsia="zh-CN"/>
                <w14:textFill>
                  <w14:solidFill>
                    <w14:schemeClr w14:val="tx1"/>
                  </w14:solidFill>
                </w14:textFill>
              </w:rPr>
              <w:t>石家庄高新区循化环境水务有限公司（良村南污水处理厂）；</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排水水质满足《污水综合排放标准》（GB8978-1996）表4三级标准和</w:t>
            </w:r>
            <w:r>
              <w:rPr>
                <w:rFonts w:hint="eastAsia" w:ascii="Times New Roman" w:hAnsi="Times New Roman" w:cs="Times New Roman"/>
                <w:color w:val="000000" w:themeColor="text1"/>
                <w:spacing w:val="0"/>
                <w:w w:val="100"/>
                <w:position w:val="0"/>
                <w:sz w:val="21"/>
                <w:szCs w:val="21"/>
                <w:highlight w:val="none"/>
                <w:lang w:val="en-US" w:eastAsia="zh-CN"/>
                <w14:textFill>
                  <w14:solidFill>
                    <w14:schemeClr w14:val="tx1"/>
                  </w14:solidFill>
                </w14:textFill>
              </w:rPr>
              <w:t>石家庄高新区循化环境水务有限公司（良村南污水处理厂）</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进水水质要求</w:t>
            </w:r>
            <w:r>
              <w:rPr>
                <w:rFonts w:hint="eastAsia" w:ascii="Times New Roman" w:hAnsi="Times New Roman" w:cs="Times New Roman"/>
                <w:color w:val="000000" w:themeColor="text1"/>
                <w:spacing w:val="0"/>
                <w:w w:val="100"/>
                <w:position w:val="0"/>
                <w:sz w:val="21"/>
                <w:szCs w:val="21"/>
                <w:highlight w:val="none"/>
                <w:lang w:val="en-US" w:eastAsia="zh-CN"/>
                <w14:textFill>
                  <w14:solidFill>
                    <w14:schemeClr w14:val="tx1"/>
                  </w14:solidFill>
                </w14:textFill>
              </w:rPr>
              <w:t>。</w:t>
            </w:r>
          </w:p>
        </w:tc>
        <w:tc>
          <w:tcPr>
            <w:tcW w:w="578" w:type="pct"/>
            <w:tcBorders>
              <w:tl2br w:val="nil"/>
              <w:tr2bl w:val="nil"/>
            </w:tcBorders>
            <w:noWrap w:val="0"/>
            <w:vAlign w:val="center"/>
          </w:tcPr>
          <w:p w14:paraId="07C66289">
            <w:pPr>
              <w:pStyle w:val="7"/>
              <w:keepNext w:val="0"/>
              <w:keepLines w:val="0"/>
              <w:pageBreakBefore w:val="0"/>
              <w:widowControl w:val="0"/>
              <w:kinsoku/>
              <w:wordWrap/>
              <w:overflowPunct/>
              <w:topLinePunct w:val="0"/>
              <w:autoSpaceDE/>
              <w:autoSpaceDN/>
              <w:bidi w:val="0"/>
              <w:adjustRightInd/>
              <w:spacing w:beforeLines="0" w:line="240" w:lineRule="auto"/>
              <w:ind w:left="0" w:leftChars="0" w:firstLine="0"/>
              <w:jc w:val="center"/>
              <w:textAlignment w:val="auto"/>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废水依托厂综合污水处理站处理</w:t>
            </w:r>
          </w:p>
        </w:tc>
      </w:tr>
      <w:tr w14:paraId="6086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continue"/>
            <w:tcBorders>
              <w:tl2br w:val="nil"/>
              <w:tr2bl w:val="nil"/>
            </w:tcBorders>
            <w:noWrap w:val="0"/>
            <w:vAlign w:val="center"/>
          </w:tcPr>
          <w:p w14:paraId="4AD711B6">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tcBorders>
              <w:tl2br w:val="nil"/>
              <w:tr2bl w:val="nil"/>
            </w:tcBorders>
            <w:noWrap w:val="0"/>
            <w:vAlign w:val="center"/>
          </w:tcPr>
          <w:p w14:paraId="6206487C">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噪声</w:t>
            </w:r>
          </w:p>
        </w:tc>
        <w:tc>
          <w:tcPr>
            <w:tcW w:w="3052" w:type="pct"/>
            <w:tcBorders>
              <w:tl2br w:val="nil"/>
              <w:tr2bl w:val="nil"/>
            </w:tcBorders>
            <w:noWrap w:val="0"/>
            <w:vAlign w:val="center"/>
          </w:tcPr>
          <w:p w14:paraId="6E178EDC">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both"/>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选用低噪声设备、基础减振、厂房隔声、距离衰减等措施降噪</w:t>
            </w:r>
          </w:p>
        </w:tc>
        <w:tc>
          <w:tcPr>
            <w:tcW w:w="578" w:type="pct"/>
            <w:tcBorders>
              <w:tl2br w:val="nil"/>
              <w:tr2bl w:val="nil"/>
            </w:tcBorders>
            <w:noWrap w:val="0"/>
            <w:vAlign w:val="center"/>
          </w:tcPr>
          <w:p w14:paraId="7F66E457">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新增</w:t>
            </w:r>
          </w:p>
        </w:tc>
      </w:tr>
      <w:tr w14:paraId="158C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419" w:type="pct"/>
            <w:vMerge w:val="continue"/>
            <w:tcBorders>
              <w:tl2br w:val="nil"/>
              <w:tr2bl w:val="nil"/>
            </w:tcBorders>
            <w:noWrap w:val="0"/>
            <w:vAlign w:val="center"/>
          </w:tcPr>
          <w:p w14:paraId="42476E1E">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vMerge w:val="restart"/>
            <w:tcBorders>
              <w:tl2br w:val="nil"/>
              <w:tr2bl w:val="nil"/>
            </w:tcBorders>
            <w:noWrap w:val="0"/>
            <w:vAlign w:val="center"/>
          </w:tcPr>
          <w:p w14:paraId="3E417406">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固废</w:t>
            </w:r>
          </w:p>
        </w:tc>
        <w:tc>
          <w:tcPr>
            <w:tcW w:w="3052" w:type="pct"/>
            <w:tcBorders>
              <w:tl2br w:val="nil"/>
              <w:tr2bl w:val="nil"/>
            </w:tcBorders>
            <w:noWrap w:val="0"/>
            <w:vAlign w:val="center"/>
          </w:tcPr>
          <w:p w14:paraId="6D9BF5D0">
            <w:pPr>
              <w:keepNext w:val="0"/>
              <w:keepLines w:val="0"/>
              <w:pageBreakBefore w:val="0"/>
              <w:widowControl w:val="0"/>
              <w:suppressLineNumbers w:val="0"/>
              <w:shd w:val="clear"/>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both"/>
              <w:textAlignment w:val="auto"/>
              <w:rPr>
                <w:rFonts w:hint="eastAsia" w:cs="Times New Roman"/>
                <w:color w:val="000000" w:themeColor="text1"/>
                <w:spacing w:val="0"/>
                <w:w w:val="100"/>
                <w:position w:val="0"/>
                <w:sz w:val="21"/>
                <w:szCs w:val="21"/>
                <w:highlight w:val="none"/>
                <w:lang w:val="en-US" w:eastAsia="zh-CN"/>
                <w14:textFill>
                  <w14:solidFill>
                    <w14:schemeClr w14:val="tx1"/>
                  </w14:solidFill>
                </w14:textFill>
              </w:rPr>
            </w:pP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一般固体废物：</w:t>
            </w:r>
            <w:r>
              <w:rPr>
                <w:rFonts w:hint="eastAsia" w:cs="Times New Roman"/>
                <w:b w:val="0"/>
                <w:bCs w:val="0"/>
                <w:color w:val="000000" w:themeColor="text1"/>
                <w:kern w:val="0"/>
                <w:sz w:val="21"/>
                <w:szCs w:val="21"/>
                <w:highlight w:val="none"/>
                <w:vertAlign w:val="baseline"/>
                <w:lang w:val="en-US" w:eastAsia="zh-CN" w:bidi="ar-SA"/>
                <w14:textFill>
                  <w14:solidFill>
                    <w14:schemeClr w14:val="tx1"/>
                  </w14:solidFill>
                </w14:textFill>
              </w:rPr>
              <w:t>废包装袋，集中收集后，定期外售；废反渗透膜、废布袋，集中收集后由厂家统一回收利用；</w:t>
            </w: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除尘灰回用于生产。污泥交由有利用能力单位处置后综合利用。</w:t>
            </w:r>
          </w:p>
          <w:p w14:paraId="45FB3ADC">
            <w:pPr>
              <w:pStyle w:val="3"/>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危险废物：</w:t>
            </w:r>
            <w:r>
              <w:rPr>
                <w:rFonts w:hint="eastAsia"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废润滑油</w:t>
            </w: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、废润滑油桶</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危废间暂存，定期送有资质单位处置。</w:t>
            </w:r>
          </w:p>
        </w:tc>
        <w:tc>
          <w:tcPr>
            <w:tcW w:w="578" w:type="pct"/>
            <w:tcBorders>
              <w:tl2br w:val="nil"/>
              <w:tr2bl w:val="nil"/>
            </w:tcBorders>
            <w:noWrap w:val="0"/>
            <w:vAlign w:val="center"/>
          </w:tcPr>
          <w:p w14:paraId="6A3C5DB3">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新增</w:t>
            </w:r>
          </w:p>
        </w:tc>
      </w:tr>
      <w:tr w14:paraId="48AE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continue"/>
            <w:tcBorders>
              <w:tl2br w:val="nil"/>
              <w:tr2bl w:val="nil"/>
            </w:tcBorders>
            <w:noWrap w:val="0"/>
            <w:vAlign w:val="center"/>
          </w:tcPr>
          <w:p w14:paraId="302A8010">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vMerge w:val="continue"/>
            <w:tcBorders>
              <w:tl2br w:val="nil"/>
              <w:tr2bl w:val="nil"/>
            </w:tcBorders>
            <w:noWrap w:val="0"/>
            <w:vAlign w:val="center"/>
          </w:tcPr>
          <w:p w14:paraId="2DEE8A74">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3052" w:type="pct"/>
            <w:tcBorders>
              <w:tl2br w:val="nil"/>
              <w:tr2bl w:val="nil"/>
            </w:tcBorders>
            <w:noWrap w:val="0"/>
            <w:vAlign w:val="center"/>
          </w:tcPr>
          <w:p w14:paraId="5F21EC28">
            <w:pPr>
              <w:keepNext w:val="0"/>
              <w:keepLines w:val="0"/>
              <w:pageBreakBefore w:val="0"/>
              <w:widowControl w:val="0"/>
              <w:suppressLineNumbers w:val="0"/>
              <w:shd w:val="clear"/>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both"/>
              <w:textAlignment w:val="auto"/>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危废暂存间：位于厂内中部，建筑面积216m</w:t>
            </w:r>
            <w:r>
              <w:rPr>
                <w:rFonts w:hint="eastAsia" w:cs="Times New Roman"/>
                <w:color w:val="000000" w:themeColor="text1"/>
                <w:spacing w:val="0"/>
                <w:w w:val="100"/>
                <w:position w:val="0"/>
                <w:sz w:val="21"/>
                <w:szCs w:val="21"/>
                <w:highlight w:val="none"/>
                <w:vertAlign w:val="superscript"/>
                <w:lang w:val="en-US" w:eastAsia="zh-CN"/>
                <w14:textFill>
                  <w14:solidFill>
                    <w14:schemeClr w14:val="tx1"/>
                  </w14:solidFill>
                </w14:textFill>
              </w:rPr>
              <w:t>2</w:t>
            </w:r>
          </w:p>
        </w:tc>
        <w:tc>
          <w:tcPr>
            <w:tcW w:w="578" w:type="pct"/>
            <w:tcBorders>
              <w:tl2br w:val="nil"/>
              <w:tr2bl w:val="nil"/>
            </w:tcBorders>
            <w:noWrap w:val="0"/>
            <w:vAlign w:val="center"/>
          </w:tcPr>
          <w:p w14:paraId="177A746A">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依托</w:t>
            </w:r>
          </w:p>
        </w:tc>
      </w:tr>
      <w:tr w14:paraId="29EA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9" w:type="pct"/>
            <w:vMerge w:val="continue"/>
            <w:tcBorders>
              <w:tl2br w:val="nil"/>
              <w:tr2bl w:val="nil"/>
            </w:tcBorders>
            <w:noWrap w:val="0"/>
            <w:vAlign w:val="center"/>
          </w:tcPr>
          <w:p w14:paraId="0A2D35D2">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49" w:type="pct"/>
            <w:tcBorders>
              <w:tl2br w:val="nil"/>
              <w:tr2bl w:val="nil"/>
            </w:tcBorders>
            <w:noWrap w:val="0"/>
            <w:vAlign w:val="center"/>
          </w:tcPr>
          <w:p w14:paraId="00A61B1A">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t>风险</w:t>
            </w:r>
          </w:p>
        </w:tc>
        <w:tc>
          <w:tcPr>
            <w:tcW w:w="3052" w:type="pct"/>
            <w:tcBorders>
              <w:tl2br w:val="nil"/>
              <w:tr2bl w:val="nil"/>
            </w:tcBorders>
            <w:noWrap w:val="0"/>
            <w:vAlign w:val="center"/>
          </w:tcPr>
          <w:p w14:paraId="1D711945">
            <w:pPr>
              <w:keepNext w:val="0"/>
              <w:keepLines w:val="0"/>
              <w:pageBreakBefore w:val="0"/>
              <w:widowControl w:val="0"/>
              <w:suppressLineNumbers w:val="0"/>
              <w:shd w:val="clear"/>
              <w:kinsoku/>
              <w:wordWrap/>
              <w:overflowPunct/>
              <w:topLinePunct w:val="0"/>
              <w:autoSpaceDE/>
              <w:autoSpaceDN/>
              <w:bidi w:val="0"/>
              <w:adjustRightInd/>
              <w:snapToGrid w:val="0"/>
              <w:spacing w:beforeAutospacing="0" w:after="0" w:afterAutospacing="0" w:line="240" w:lineRule="auto"/>
              <w:ind w:left="0" w:leftChars="0" w:right="0" w:rightChars="0" w:firstLine="0" w:firstLineChars="0"/>
              <w:jc w:val="both"/>
              <w:textAlignment w:val="auto"/>
              <w:rPr>
                <w:rFonts w:hint="eastAsia" w:cs="Times New Roman"/>
                <w:color w:val="000000" w:themeColor="text1"/>
                <w:spacing w:val="0"/>
                <w:w w:val="10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现有工程有容积800m³事故水池1座，容积500m³初期雨水池（兼</w:t>
            </w:r>
            <w:r>
              <w:rPr>
                <w:rFonts w:hint="eastAsia"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消防废水</w:t>
            </w:r>
            <w:r>
              <w:rPr>
                <w:rFonts w:hint="default" w:ascii="Times New Roman" w:hAnsi="Times New Roman" w:eastAsia="宋体" w:cs="Times New Roman"/>
                <w:color w:val="000000" w:themeColor="text1"/>
                <w:spacing w:val="0"/>
                <w:w w:val="100"/>
                <w:position w:val="0"/>
                <w:sz w:val="21"/>
                <w:szCs w:val="21"/>
                <w:highlight w:val="none"/>
                <w:lang w:val="en-US" w:eastAsia="zh-CN"/>
                <w14:textFill>
                  <w14:solidFill>
                    <w14:schemeClr w14:val="tx1"/>
                  </w14:solidFill>
                </w14:textFill>
              </w:rPr>
              <w:t>池）1座</w:t>
            </w:r>
          </w:p>
        </w:tc>
        <w:tc>
          <w:tcPr>
            <w:tcW w:w="578" w:type="pct"/>
            <w:tcBorders>
              <w:tl2br w:val="nil"/>
              <w:tr2bl w:val="nil"/>
            </w:tcBorders>
            <w:noWrap w:val="0"/>
            <w:vAlign w:val="center"/>
          </w:tcPr>
          <w:p w14:paraId="2A463CE5">
            <w:pPr>
              <w:pStyle w:val="7"/>
              <w:keepNext w:val="0"/>
              <w:keepLines w:val="0"/>
              <w:pageBreakBefore w:val="0"/>
              <w:widowControl w:val="0"/>
              <w:numPr>
                <w:ilvl w:val="0"/>
                <w:numId w:val="0"/>
              </w:numPr>
              <w:kinsoku/>
              <w:wordWrap/>
              <w:overflowPunct/>
              <w:topLinePunct w:val="0"/>
              <w:autoSpaceDE/>
              <w:autoSpaceDN/>
              <w:bidi w:val="0"/>
              <w:adjustRightInd/>
              <w:snapToGrid/>
              <w:spacing w:beforeLines="0" w:line="240" w:lineRule="auto"/>
              <w:ind w:left="0" w:leftChars="0" w:firstLine="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依托</w:t>
            </w:r>
          </w:p>
        </w:tc>
      </w:tr>
    </w:tbl>
    <w:p w14:paraId="128B56AD">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2" w:firstLineChars="200"/>
        <w:jc w:val="both"/>
        <w:textAlignment w:val="auto"/>
        <w:outlineLvl w:val="1"/>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w:t>
      </w:r>
      <w:r>
        <w:rPr>
          <w:rFonts w:hint="eastAsia" w:cs="Times New Roman"/>
          <w:b/>
          <w:bCs w:val="0"/>
          <w:color w:val="000000" w:themeColor="text1"/>
          <w:kern w:val="2"/>
          <w:sz w:val="21"/>
          <w:szCs w:val="21"/>
          <w:highlight w:val="none"/>
          <w:lang w:val="en-US" w:eastAsia="zh-CN" w:bidi="ar-SA"/>
          <w14:textFill>
            <w14:solidFill>
              <w14:schemeClr w14:val="tx1"/>
            </w14:solidFill>
          </w14:textFill>
        </w:rPr>
        <w:t>三</w:t>
      </w:r>
      <w:r>
        <w:rPr>
          <w:rFonts w:hint="eastAsia"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）主要产品及产能</w:t>
      </w:r>
    </w:p>
    <w:p w14:paraId="09D42829">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both"/>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w:t>
      </w:r>
      <w:r>
        <w:rPr>
          <w:rFonts w:hint="eastAsia" w:cs="Times New Roman"/>
          <w:color w:val="000000" w:themeColor="text1"/>
          <w:sz w:val="21"/>
          <w:szCs w:val="21"/>
          <w:highlight w:val="none"/>
          <w:lang w:eastAsia="zh-CN"/>
          <w14:textFill>
            <w14:solidFill>
              <w14:schemeClr w14:val="tx1"/>
            </w14:solidFill>
          </w14:textFill>
        </w:rPr>
        <w:t>生产甘氨酸亚铁。</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项目</w:t>
      </w:r>
      <w:r>
        <w:rPr>
          <w:rFonts w:hint="eastAsia" w:cs="Times New Roman"/>
          <w:color w:val="000000" w:themeColor="text1"/>
          <w:sz w:val="21"/>
          <w:szCs w:val="21"/>
          <w:highlight w:val="none"/>
          <w:lang w:val="en-US" w:eastAsia="zh-CN"/>
          <w14:textFill>
            <w14:solidFill>
              <w14:schemeClr w14:val="tx1"/>
            </w14:solidFill>
          </w14:textFill>
        </w:rPr>
        <w:t>技改</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完成后，具体产品明细见下表2-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cs="Times New Roman"/>
          <w:color w:val="000000" w:themeColor="text1"/>
          <w:sz w:val="21"/>
          <w:szCs w:val="21"/>
          <w:highlight w:val="none"/>
          <w:lang w:val="en-US" w:eastAsia="zh-CN"/>
          <w14:textFill>
            <w14:solidFill>
              <w14:schemeClr w14:val="tx1"/>
            </w14:solidFill>
          </w14:textFill>
        </w:rPr>
        <w:t>、2-3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7F73CDEA">
      <w:pPr>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jc w:val="center"/>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表 2-</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 本项目主要</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产品明细一览表</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673"/>
        <w:gridCol w:w="2393"/>
        <w:gridCol w:w="2393"/>
        <w:gridCol w:w="1352"/>
      </w:tblGrid>
      <w:tr w14:paraId="5D3AA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7" w:type="pct"/>
            <w:tcBorders>
              <w:tl2br w:val="nil"/>
              <w:tr2bl w:val="nil"/>
            </w:tcBorders>
            <w:noWrap w:val="0"/>
            <w:vAlign w:val="center"/>
          </w:tcPr>
          <w:p w14:paraId="79F053BD">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序号</w:t>
            </w:r>
          </w:p>
        </w:tc>
        <w:tc>
          <w:tcPr>
            <w:tcW w:w="981" w:type="pct"/>
            <w:tcBorders>
              <w:tl2br w:val="nil"/>
              <w:tr2bl w:val="nil"/>
            </w:tcBorders>
            <w:noWrap w:val="0"/>
            <w:vAlign w:val="center"/>
          </w:tcPr>
          <w:p w14:paraId="4515AAD3">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产品</w:t>
            </w: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名称</w:t>
            </w:r>
          </w:p>
        </w:tc>
        <w:tc>
          <w:tcPr>
            <w:tcW w:w="1403" w:type="pct"/>
            <w:tcBorders>
              <w:tl2br w:val="nil"/>
              <w:tr2bl w:val="nil"/>
            </w:tcBorders>
            <w:noWrap w:val="0"/>
            <w:vAlign w:val="center"/>
          </w:tcPr>
          <w:p w14:paraId="1D57466D">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产品规格</w:t>
            </w:r>
          </w:p>
        </w:tc>
        <w:tc>
          <w:tcPr>
            <w:tcW w:w="1403" w:type="pct"/>
            <w:tcBorders>
              <w:tl2br w:val="nil"/>
              <w:tr2bl w:val="nil"/>
            </w:tcBorders>
            <w:noWrap w:val="0"/>
            <w:vAlign w:val="center"/>
          </w:tcPr>
          <w:p w14:paraId="54D29DCA">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生产规模</w:t>
            </w:r>
            <w:r>
              <w:rPr>
                <w:rFonts w:hint="eastAsia" w:ascii="Times New Roman" w:cs="Times New Roman"/>
                <w:color w:val="000000" w:themeColor="text1"/>
                <w:kern w:val="0"/>
                <w:sz w:val="21"/>
                <w:szCs w:val="21"/>
                <w:highlight w:val="none"/>
                <w:lang w:val="en-US" w:eastAsia="zh-CN" w:bidi="ar-SA"/>
                <w14:textFill>
                  <w14:solidFill>
                    <w14:schemeClr w14:val="tx1"/>
                  </w14:solidFill>
                </w14:textFill>
              </w:rPr>
              <w:t>（t/a）</w:t>
            </w:r>
          </w:p>
        </w:tc>
        <w:tc>
          <w:tcPr>
            <w:tcW w:w="793" w:type="pct"/>
            <w:tcBorders>
              <w:tl2br w:val="nil"/>
              <w:tr2bl w:val="nil"/>
            </w:tcBorders>
            <w:noWrap w:val="0"/>
            <w:vAlign w:val="center"/>
          </w:tcPr>
          <w:p w14:paraId="2CA5D463">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cs="Times New Roman"/>
                <w:color w:val="000000" w:themeColor="text1"/>
                <w:kern w:val="0"/>
                <w:sz w:val="21"/>
                <w:szCs w:val="21"/>
                <w:highlight w:val="none"/>
                <w:lang w:val="en-US" w:eastAsia="zh-CN" w:bidi="ar-SA"/>
                <w14:textFill>
                  <w14:solidFill>
                    <w14:schemeClr w14:val="tx1"/>
                  </w14:solidFill>
                </w14:textFill>
              </w:rPr>
              <w:t>备注</w:t>
            </w:r>
          </w:p>
        </w:tc>
      </w:tr>
      <w:tr w14:paraId="19C8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7" w:type="pct"/>
            <w:vMerge w:val="restart"/>
            <w:tcBorders>
              <w:tl2br w:val="nil"/>
              <w:tr2bl w:val="nil"/>
            </w:tcBorders>
            <w:noWrap w:val="0"/>
            <w:vAlign w:val="center"/>
          </w:tcPr>
          <w:p w14:paraId="70128FA8">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snapToGrid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1</w:t>
            </w:r>
          </w:p>
        </w:tc>
        <w:tc>
          <w:tcPr>
            <w:tcW w:w="981" w:type="pct"/>
            <w:vMerge w:val="restart"/>
            <w:tcBorders>
              <w:tl2br w:val="nil"/>
              <w:tr2bl w:val="nil"/>
            </w:tcBorders>
            <w:noWrap w:val="0"/>
            <w:vAlign w:val="center"/>
          </w:tcPr>
          <w:p w14:paraId="00A65EB2">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甘氨酸亚铁</w:t>
            </w:r>
          </w:p>
        </w:tc>
        <w:tc>
          <w:tcPr>
            <w:tcW w:w="1403" w:type="pct"/>
            <w:tcBorders>
              <w:tl2br w:val="nil"/>
              <w:tr2bl w:val="nil"/>
            </w:tcBorders>
            <w:noWrap w:val="0"/>
            <w:vAlign w:val="center"/>
          </w:tcPr>
          <w:p w14:paraId="44369F7A">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5kg/纸塑复合袋</w:t>
            </w:r>
          </w:p>
        </w:tc>
        <w:tc>
          <w:tcPr>
            <w:tcW w:w="1403" w:type="pct"/>
            <w:vMerge w:val="restart"/>
            <w:tcBorders>
              <w:tl2br w:val="nil"/>
              <w:tr2bl w:val="nil"/>
            </w:tcBorders>
            <w:noWrap w:val="0"/>
            <w:vAlign w:val="center"/>
          </w:tcPr>
          <w:p w14:paraId="64071E78">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300</w:t>
            </w:r>
          </w:p>
        </w:tc>
        <w:tc>
          <w:tcPr>
            <w:tcW w:w="793" w:type="pct"/>
            <w:vMerge w:val="restart"/>
            <w:tcBorders>
              <w:tl2br w:val="nil"/>
              <w:tr2bl w:val="nil"/>
            </w:tcBorders>
            <w:noWrap w:val="0"/>
            <w:vAlign w:val="center"/>
          </w:tcPr>
          <w:p w14:paraId="33EBE404">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食品级</w:t>
            </w:r>
          </w:p>
        </w:tc>
      </w:tr>
      <w:tr w14:paraId="753D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7" w:type="pct"/>
            <w:vMerge w:val="continue"/>
            <w:tcBorders>
              <w:tl2br w:val="nil"/>
              <w:tr2bl w:val="nil"/>
            </w:tcBorders>
            <w:noWrap w:val="0"/>
            <w:vAlign w:val="center"/>
          </w:tcPr>
          <w:p w14:paraId="1084B0A1">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81" w:type="pct"/>
            <w:vMerge w:val="continue"/>
            <w:tcBorders>
              <w:tl2br w:val="nil"/>
              <w:tr2bl w:val="nil"/>
            </w:tcBorders>
            <w:noWrap w:val="0"/>
            <w:vAlign w:val="center"/>
          </w:tcPr>
          <w:p w14:paraId="30EA7578">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1403" w:type="pct"/>
            <w:tcBorders>
              <w:tl2br w:val="nil"/>
              <w:tr2bl w:val="nil"/>
            </w:tcBorders>
            <w:noWrap w:val="0"/>
            <w:vAlign w:val="center"/>
          </w:tcPr>
          <w:p w14:paraId="77E52828">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10kg/纸塑复合袋</w:t>
            </w:r>
          </w:p>
        </w:tc>
        <w:tc>
          <w:tcPr>
            <w:tcW w:w="1403" w:type="pct"/>
            <w:vMerge w:val="continue"/>
            <w:tcBorders>
              <w:tl2br w:val="nil"/>
              <w:tr2bl w:val="nil"/>
            </w:tcBorders>
            <w:noWrap w:val="0"/>
            <w:vAlign w:val="center"/>
          </w:tcPr>
          <w:p w14:paraId="06B09216">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793" w:type="pct"/>
            <w:vMerge w:val="continue"/>
            <w:tcBorders>
              <w:tl2br w:val="nil"/>
              <w:tr2bl w:val="nil"/>
            </w:tcBorders>
            <w:noWrap w:val="0"/>
            <w:vAlign w:val="center"/>
          </w:tcPr>
          <w:p w14:paraId="055DA94C">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r>
    </w:tbl>
    <w:p w14:paraId="34DF43BB">
      <w:pPr>
        <w:keepNext w:val="0"/>
        <w:keepLines w:val="0"/>
        <w:pageBreakBefore w:val="0"/>
        <w:widowControl w:val="0"/>
        <w:kinsoku/>
        <w:wordWrap/>
        <w:overflowPunct/>
        <w:topLinePunct w:val="0"/>
        <w:autoSpaceDE/>
        <w:autoSpaceDN/>
        <w:bidi w:val="0"/>
        <w:adjustRightInd/>
        <w:snapToGrid/>
        <w:spacing w:before="157" w:beforeLines="50" w:beforeAutospacing="0" w:afterLines="0" w:afterAutospacing="0" w:line="360" w:lineRule="auto"/>
        <w:ind w:firstLine="422" w:firstLineChars="200"/>
        <w:jc w:val="center"/>
        <w:textAlignment w:val="auto"/>
        <w:outlineLvl w:val="1"/>
        <w:rPr>
          <w:rFonts w:hint="eastAsia"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表 2-</w:t>
      </w:r>
      <w:r>
        <w:rPr>
          <w:rFonts w:hint="eastAsia"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3</w:t>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 xml:space="preserve"> 本项目产品执行标准</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638"/>
        <w:gridCol w:w="2417"/>
        <w:gridCol w:w="2413"/>
        <w:gridCol w:w="1329"/>
      </w:tblGrid>
      <w:tr w14:paraId="13AD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tcBorders>
              <w:tl2br w:val="nil"/>
              <w:tr2bl w:val="nil"/>
            </w:tcBorders>
            <w:noWrap w:val="0"/>
            <w:vAlign w:val="center"/>
          </w:tcPr>
          <w:p w14:paraId="4F34021E">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序号</w:t>
            </w:r>
          </w:p>
        </w:tc>
        <w:tc>
          <w:tcPr>
            <w:tcW w:w="961" w:type="pct"/>
            <w:tcBorders>
              <w:tl2br w:val="nil"/>
              <w:tr2bl w:val="nil"/>
            </w:tcBorders>
            <w:noWrap w:val="0"/>
            <w:vAlign w:val="center"/>
          </w:tcPr>
          <w:p w14:paraId="5C3E5DB9">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产品</w:t>
            </w: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名称</w:t>
            </w:r>
          </w:p>
        </w:tc>
        <w:tc>
          <w:tcPr>
            <w:tcW w:w="1418" w:type="pct"/>
            <w:tcBorders>
              <w:tl2br w:val="nil"/>
              <w:tr2bl w:val="nil"/>
            </w:tcBorders>
            <w:noWrap w:val="0"/>
            <w:vAlign w:val="center"/>
          </w:tcPr>
          <w:p w14:paraId="7CD9D014">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执行标准</w:t>
            </w:r>
          </w:p>
        </w:tc>
        <w:tc>
          <w:tcPr>
            <w:tcW w:w="1416" w:type="pct"/>
            <w:tcBorders>
              <w:tl2br w:val="nil"/>
              <w:tr2bl w:val="nil"/>
            </w:tcBorders>
            <w:noWrap w:val="0"/>
            <w:vAlign w:val="center"/>
          </w:tcPr>
          <w:p w14:paraId="25CCD671">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理化项目</w:t>
            </w:r>
          </w:p>
        </w:tc>
        <w:tc>
          <w:tcPr>
            <w:tcW w:w="779" w:type="pct"/>
            <w:tcBorders>
              <w:tl2br w:val="nil"/>
              <w:tr2bl w:val="nil"/>
            </w:tcBorders>
            <w:noWrap w:val="0"/>
            <w:vAlign w:val="center"/>
          </w:tcPr>
          <w:p w14:paraId="54921EF3">
            <w:pPr>
              <w:pStyle w:val="7"/>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cs="Times New Roman"/>
                <w:color w:val="000000" w:themeColor="text1"/>
                <w:kern w:val="0"/>
                <w:sz w:val="21"/>
                <w:szCs w:val="21"/>
                <w:highlight w:val="none"/>
                <w:lang w:val="en-US" w:eastAsia="zh-CN" w:bidi="ar-SA"/>
                <w14:textFill>
                  <w14:solidFill>
                    <w14:schemeClr w14:val="tx1"/>
                  </w14:solidFill>
                </w14:textFill>
              </w:rPr>
              <w:t>指标</w:t>
            </w:r>
          </w:p>
        </w:tc>
      </w:tr>
      <w:tr w14:paraId="2A04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vMerge w:val="restart"/>
            <w:tcBorders>
              <w:tl2br w:val="nil"/>
              <w:tr2bl w:val="nil"/>
            </w:tcBorders>
            <w:noWrap w:val="0"/>
            <w:vAlign w:val="center"/>
          </w:tcPr>
          <w:p w14:paraId="7DA47C1A">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t>1</w:t>
            </w:r>
          </w:p>
        </w:tc>
        <w:tc>
          <w:tcPr>
            <w:tcW w:w="961" w:type="pct"/>
            <w:vMerge w:val="restart"/>
            <w:tcBorders>
              <w:tl2br w:val="nil"/>
              <w:tr2bl w:val="nil"/>
            </w:tcBorders>
            <w:noWrap w:val="0"/>
            <w:vAlign w:val="center"/>
          </w:tcPr>
          <w:p w14:paraId="2118DAF2">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甘氨酸亚铁</w:t>
            </w:r>
          </w:p>
        </w:tc>
        <w:tc>
          <w:tcPr>
            <w:tcW w:w="1418" w:type="pct"/>
            <w:vMerge w:val="restart"/>
            <w:tcBorders>
              <w:tl2br w:val="nil"/>
              <w:tr2bl w:val="nil"/>
            </w:tcBorders>
            <w:noWrap w:val="0"/>
            <w:vAlign w:val="center"/>
          </w:tcPr>
          <w:p w14:paraId="7DE5429A">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t>《食品安全国家标准 食品添加剂 甘氨酸亚铁》（GB 30606-2014）</w:t>
            </w:r>
          </w:p>
        </w:tc>
        <w:tc>
          <w:tcPr>
            <w:tcW w:w="1416" w:type="pct"/>
            <w:tcBorders>
              <w:tl2br w:val="nil"/>
              <w:tr2bl w:val="nil"/>
            </w:tcBorders>
            <w:noWrap w:val="0"/>
            <w:vAlign w:val="center"/>
          </w:tcPr>
          <w:p w14:paraId="72F524F9">
            <w:pPr>
              <w:pStyle w:val="9"/>
              <w:spacing w:line="320" w:lineRule="exact"/>
              <w:jc w:val="left"/>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二价铁(Fe</w:t>
            </w:r>
            <w:r>
              <w:rPr>
                <w:rFonts w:hint="default" w:ascii="Times New Roman" w:hAnsi="Times New Roman" w:cs="Times New Roman"/>
                <w:color w:val="000000" w:themeColor="text1"/>
                <w:highlight w:val="none"/>
                <w:vertAlign w:val="superscript"/>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)含量(以干基计)，w/%</w:t>
            </w:r>
          </w:p>
        </w:tc>
        <w:tc>
          <w:tcPr>
            <w:tcW w:w="779" w:type="pct"/>
            <w:tcBorders>
              <w:tl2br w:val="nil"/>
              <w:tr2bl w:val="nil"/>
            </w:tcBorders>
            <w:noWrap w:val="0"/>
            <w:vAlign w:val="center"/>
          </w:tcPr>
          <w:p w14:paraId="6C774138">
            <w:pPr>
              <w:pStyle w:val="9"/>
              <w:spacing w:line="320" w:lineRule="exact"/>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20.0~23.7</w:t>
            </w:r>
          </w:p>
        </w:tc>
      </w:tr>
      <w:tr w14:paraId="76CA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vMerge w:val="continue"/>
            <w:tcBorders>
              <w:tl2br w:val="nil"/>
              <w:tr2bl w:val="nil"/>
            </w:tcBorders>
            <w:noWrap w:val="0"/>
            <w:vAlign w:val="center"/>
          </w:tcPr>
          <w:p w14:paraId="1B252692">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961" w:type="pct"/>
            <w:vMerge w:val="continue"/>
            <w:tcBorders>
              <w:tl2br w:val="nil"/>
              <w:tr2bl w:val="nil"/>
            </w:tcBorders>
            <w:noWrap w:val="0"/>
            <w:vAlign w:val="center"/>
          </w:tcPr>
          <w:p w14:paraId="5268C1F0">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1418" w:type="pct"/>
            <w:vMerge w:val="continue"/>
            <w:tcBorders>
              <w:tl2br w:val="nil"/>
              <w:tr2bl w:val="nil"/>
            </w:tcBorders>
            <w:noWrap w:val="0"/>
            <w:vAlign w:val="center"/>
          </w:tcPr>
          <w:p w14:paraId="4A5D5463">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p>
        </w:tc>
        <w:tc>
          <w:tcPr>
            <w:tcW w:w="1416" w:type="pct"/>
            <w:tcBorders>
              <w:tl2br w:val="nil"/>
              <w:tr2bl w:val="nil"/>
            </w:tcBorders>
            <w:noWrap w:val="0"/>
            <w:vAlign w:val="center"/>
          </w:tcPr>
          <w:p w14:paraId="193D9CF0">
            <w:pPr>
              <w:pStyle w:val="9"/>
              <w:spacing w:line="320" w:lineRule="exact"/>
              <w:jc w:val="left"/>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氮(以干基计)，w/%</w:t>
            </w:r>
          </w:p>
        </w:tc>
        <w:tc>
          <w:tcPr>
            <w:tcW w:w="779" w:type="pct"/>
            <w:tcBorders>
              <w:tl2br w:val="nil"/>
              <w:tr2bl w:val="nil"/>
            </w:tcBorders>
            <w:noWrap w:val="0"/>
            <w:vAlign w:val="center"/>
          </w:tcPr>
          <w:p w14:paraId="68751ABE">
            <w:pPr>
              <w:pStyle w:val="9"/>
              <w:spacing w:line="320" w:lineRule="exact"/>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10.0~12.0</w:t>
            </w:r>
          </w:p>
        </w:tc>
      </w:tr>
      <w:tr w14:paraId="36C7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vMerge w:val="continue"/>
            <w:tcBorders>
              <w:tl2br w:val="nil"/>
              <w:tr2bl w:val="nil"/>
            </w:tcBorders>
            <w:noWrap w:val="0"/>
            <w:vAlign w:val="center"/>
          </w:tcPr>
          <w:p w14:paraId="026320BC">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961" w:type="pct"/>
            <w:vMerge w:val="continue"/>
            <w:tcBorders>
              <w:tl2br w:val="nil"/>
              <w:tr2bl w:val="nil"/>
            </w:tcBorders>
            <w:noWrap w:val="0"/>
            <w:vAlign w:val="center"/>
          </w:tcPr>
          <w:p w14:paraId="6E4DF07B">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1418" w:type="pct"/>
            <w:vMerge w:val="continue"/>
            <w:tcBorders>
              <w:tl2br w:val="nil"/>
              <w:tr2bl w:val="nil"/>
            </w:tcBorders>
            <w:noWrap w:val="0"/>
            <w:vAlign w:val="center"/>
          </w:tcPr>
          <w:p w14:paraId="7E3C1EF9">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1416" w:type="pct"/>
            <w:tcBorders>
              <w:tl2br w:val="nil"/>
              <w:tr2bl w:val="nil"/>
            </w:tcBorders>
            <w:noWrap w:val="0"/>
            <w:vAlign w:val="center"/>
          </w:tcPr>
          <w:p w14:paraId="0108FE09">
            <w:pPr>
              <w:pStyle w:val="9"/>
              <w:spacing w:line="320" w:lineRule="exact"/>
              <w:ind w:left="420" w:leftChars="0" w:hanging="420" w:hangingChars="200"/>
              <w:jc w:val="left"/>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三价铁(Fe</w:t>
            </w:r>
            <w:r>
              <w:rPr>
                <w:rFonts w:hint="default" w:ascii="Times New Roman" w:hAnsi="Times New Roman" w:cs="Times New Roman"/>
                <w:color w:val="000000" w:themeColor="text1"/>
                <w:highlight w:val="none"/>
                <w:vertAlign w:val="superscript"/>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 xml:space="preserve">)(以干基计)，w/%            </w:t>
            </w:r>
          </w:p>
        </w:tc>
        <w:tc>
          <w:tcPr>
            <w:tcW w:w="779" w:type="pct"/>
            <w:tcBorders>
              <w:tl2br w:val="nil"/>
              <w:tr2bl w:val="nil"/>
            </w:tcBorders>
            <w:noWrap w:val="0"/>
            <w:vAlign w:val="center"/>
          </w:tcPr>
          <w:p w14:paraId="20290747">
            <w:pPr>
              <w:pStyle w:val="9"/>
              <w:spacing w:line="320" w:lineRule="exact"/>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w:t>
            </w:r>
          </w:p>
        </w:tc>
      </w:tr>
      <w:tr w14:paraId="318E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 w:type="pct"/>
            <w:vMerge w:val="continue"/>
            <w:tcBorders>
              <w:tl2br w:val="nil"/>
              <w:tr2bl w:val="nil"/>
            </w:tcBorders>
            <w:noWrap w:val="0"/>
            <w:vAlign w:val="center"/>
          </w:tcPr>
          <w:p w14:paraId="443EE57B">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961" w:type="pct"/>
            <w:vMerge w:val="continue"/>
            <w:tcBorders>
              <w:tl2br w:val="nil"/>
              <w:tr2bl w:val="nil"/>
            </w:tcBorders>
            <w:noWrap w:val="0"/>
            <w:vAlign w:val="center"/>
          </w:tcPr>
          <w:p w14:paraId="2D864724">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1418" w:type="pct"/>
            <w:vMerge w:val="continue"/>
            <w:tcBorders>
              <w:tl2br w:val="nil"/>
              <w:tr2bl w:val="nil"/>
            </w:tcBorders>
            <w:noWrap w:val="0"/>
            <w:vAlign w:val="center"/>
          </w:tcPr>
          <w:p w14:paraId="4054CF4D">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1416" w:type="pct"/>
            <w:tcBorders>
              <w:tl2br w:val="nil"/>
              <w:tr2bl w:val="nil"/>
            </w:tcBorders>
            <w:noWrap w:val="0"/>
            <w:vAlign w:val="center"/>
          </w:tcPr>
          <w:p w14:paraId="01167BD7">
            <w:pPr>
              <w:pStyle w:val="9"/>
              <w:spacing w:line="320" w:lineRule="exact"/>
              <w:jc w:val="left"/>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干燥减量</w:t>
            </w:r>
            <w:r>
              <w:rPr>
                <w:color w:val="000000" w:themeColor="text1"/>
                <w14:textFill>
                  <w14:solidFill>
                    <w14:schemeClr w14:val="tx1"/>
                  </w14:solidFill>
                </w14:textFill>
              </w:rPr>
              <w:t>*</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 xml:space="preserve">w/%                        </w:t>
            </w:r>
          </w:p>
        </w:tc>
        <w:tc>
          <w:tcPr>
            <w:tcW w:w="779" w:type="pct"/>
            <w:tcBorders>
              <w:tl2br w:val="nil"/>
              <w:tr2bl w:val="nil"/>
            </w:tcBorders>
            <w:noWrap w:val="0"/>
            <w:vAlign w:val="center"/>
          </w:tcPr>
          <w:p w14:paraId="390E63D6">
            <w:pPr>
              <w:pStyle w:val="9"/>
              <w:spacing w:line="320" w:lineRule="exact"/>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≤7.0</w:t>
            </w:r>
          </w:p>
        </w:tc>
      </w:tr>
      <w:tr w14:paraId="2D7A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424" w:type="pct"/>
            <w:vMerge w:val="continue"/>
            <w:tcBorders>
              <w:tl2br w:val="nil"/>
              <w:tr2bl w:val="nil"/>
            </w:tcBorders>
            <w:noWrap w:val="0"/>
            <w:vAlign w:val="center"/>
          </w:tcPr>
          <w:p w14:paraId="230C5B58">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961" w:type="pct"/>
            <w:vMerge w:val="continue"/>
            <w:tcBorders>
              <w:tl2br w:val="nil"/>
              <w:tr2bl w:val="nil"/>
            </w:tcBorders>
            <w:noWrap w:val="0"/>
            <w:vAlign w:val="center"/>
          </w:tcPr>
          <w:p w14:paraId="5F540AC2">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1418" w:type="pct"/>
            <w:vMerge w:val="continue"/>
            <w:tcBorders>
              <w:tl2br w:val="nil"/>
              <w:tr2bl w:val="nil"/>
            </w:tcBorders>
            <w:noWrap w:val="0"/>
            <w:vAlign w:val="center"/>
          </w:tcPr>
          <w:p w14:paraId="7F67A8B5">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1416" w:type="pct"/>
            <w:tcBorders>
              <w:tl2br w:val="nil"/>
              <w:tr2bl w:val="nil"/>
            </w:tcBorders>
            <w:noWrap w:val="0"/>
            <w:vAlign w:val="center"/>
          </w:tcPr>
          <w:p w14:paraId="7A4DB147">
            <w:pPr>
              <w:pStyle w:val="9"/>
              <w:spacing w:line="320" w:lineRule="exact"/>
              <w:jc w:val="left"/>
              <w:rPr>
                <w:rFonts w:hint="default" w:ascii="Times New Roman" w:hAnsi="Times New Roman" w:eastAsia="宋体"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总铁(以干基计)</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w/%</w:t>
            </w:r>
          </w:p>
        </w:tc>
        <w:tc>
          <w:tcPr>
            <w:tcW w:w="779" w:type="pct"/>
            <w:tcBorders>
              <w:tl2br w:val="nil"/>
              <w:tr2bl w:val="nil"/>
            </w:tcBorders>
            <w:noWrap w:val="0"/>
            <w:vAlign w:val="center"/>
          </w:tcPr>
          <w:p w14:paraId="10D31495">
            <w:pPr>
              <w:pStyle w:val="9"/>
              <w:spacing w:line="320" w:lineRule="exact"/>
              <w:rPr>
                <w:rFonts w:hint="default" w:ascii="Times New Roman" w:hAnsi="Times New Roman" w:cs="Times New Roman"/>
                <w:color w:val="000000" w:themeColor="text1"/>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19.0~24.0</w:t>
            </w:r>
          </w:p>
        </w:tc>
      </w:tr>
      <w:tr w14:paraId="1F019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4" w:type="pct"/>
            <w:vMerge w:val="continue"/>
            <w:tcBorders>
              <w:tl2br w:val="nil"/>
              <w:tr2bl w:val="nil"/>
            </w:tcBorders>
            <w:noWrap w:val="0"/>
            <w:vAlign w:val="center"/>
          </w:tcPr>
          <w:p w14:paraId="2912F551">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961" w:type="pct"/>
            <w:vMerge w:val="continue"/>
            <w:tcBorders>
              <w:tl2br w:val="nil"/>
              <w:tr2bl w:val="nil"/>
            </w:tcBorders>
            <w:noWrap w:val="0"/>
            <w:vAlign w:val="center"/>
          </w:tcPr>
          <w:p w14:paraId="4A3847BA">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1418" w:type="pct"/>
            <w:vMerge w:val="continue"/>
            <w:tcBorders>
              <w:tl2br w:val="nil"/>
              <w:tr2bl w:val="nil"/>
            </w:tcBorders>
            <w:noWrap w:val="0"/>
            <w:vAlign w:val="center"/>
          </w:tcPr>
          <w:p w14:paraId="39D82EA5">
            <w:pPr>
              <w:pStyle w:val="7"/>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Times New Roman" w:cs="Times New Roman"/>
                <w:color w:val="000000" w:themeColor="text1"/>
                <w:sz w:val="21"/>
                <w:szCs w:val="21"/>
                <w:highlight w:val="none"/>
                <w:vertAlign w:val="baseline"/>
                <w:lang w:val="en-US" w:eastAsia="zh-CN" w:bidi="ar-SA"/>
                <w14:textFill>
                  <w14:solidFill>
                    <w14:schemeClr w14:val="tx1"/>
                  </w14:solidFill>
                </w14:textFill>
              </w:rPr>
            </w:pPr>
          </w:p>
        </w:tc>
        <w:tc>
          <w:tcPr>
            <w:tcW w:w="1416" w:type="pct"/>
            <w:tcBorders>
              <w:tl2br w:val="nil"/>
              <w:tr2bl w:val="nil"/>
            </w:tcBorders>
            <w:noWrap w:val="0"/>
            <w:vAlign w:val="center"/>
          </w:tcPr>
          <w:p w14:paraId="1A4A6B6C">
            <w:pPr>
              <w:pStyle w:val="9"/>
              <w:spacing w:line="320" w:lineRule="exact"/>
              <w:jc w:val="left"/>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铅(Pb)/(mg/kg)                        </w:t>
            </w:r>
          </w:p>
        </w:tc>
        <w:tc>
          <w:tcPr>
            <w:tcW w:w="779" w:type="pct"/>
            <w:tcBorders>
              <w:tl2br w:val="nil"/>
              <w:tr2bl w:val="nil"/>
            </w:tcBorders>
            <w:noWrap w:val="0"/>
            <w:vAlign w:val="center"/>
          </w:tcPr>
          <w:p w14:paraId="4AD20BB8">
            <w:pPr>
              <w:pStyle w:val="9"/>
              <w:spacing w:line="320" w:lineRule="exact"/>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p>
        </w:tc>
      </w:tr>
      <w:tr w14:paraId="6994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l2br w:val="nil"/>
              <w:tr2bl w:val="nil"/>
            </w:tcBorders>
            <w:noWrap w:val="0"/>
            <w:vAlign w:val="center"/>
          </w:tcPr>
          <w:p w14:paraId="443FC7F4">
            <w:pPr>
              <w:pStyle w:val="9"/>
              <w:spacing w:line="320" w:lineRule="exact"/>
              <w:jc w:val="left"/>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color w:val="000000" w:themeColor="text1"/>
                <w:lang w:val="en-US" w:eastAsia="zh-CN"/>
                <w14:textFill>
                  <w14:solidFill>
                    <w14:schemeClr w14:val="tx1"/>
                  </w14:solidFill>
                </w14:textFill>
              </w:rPr>
              <w:t>备注：</w:t>
            </w:r>
            <w:r>
              <w:rPr>
                <w:color w:val="000000" w:themeColor="text1"/>
                <w14:textFill>
                  <w14:solidFill>
                    <w14:schemeClr w14:val="tx1"/>
                  </w14:solidFill>
                </w14:textFill>
              </w:rPr>
              <w:t>*105</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3h</w:t>
            </w:r>
            <w:r>
              <w:rPr>
                <w:rFonts w:hint="eastAsia"/>
                <w:color w:val="000000" w:themeColor="text1"/>
                <w:lang w:eastAsia="zh-CN"/>
                <w14:textFill>
                  <w14:solidFill>
                    <w14:schemeClr w14:val="tx1"/>
                  </w14:solidFill>
                </w14:textFill>
              </w:rPr>
              <w:t>。</w:t>
            </w:r>
          </w:p>
        </w:tc>
      </w:tr>
    </w:tbl>
    <w:p w14:paraId="20BC59DC">
      <w:pPr>
        <w:pStyle w:val="10"/>
        <w:keepNext w:val="0"/>
        <w:keepLines w:val="0"/>
        <w:pageBreakBefore w:val="0"/>
        <w:widowControl w:val="0"/>
        <w:kinsoku/>
        <w:wordWrap/>
        <w:overflowPunct/>
        <w:topLinePunct w:val="0"/>
        <w:autoSpaceDE/>
        <w:autoSpaceDN/>
        <w:bidi w:val="0"/>
        <w:adjustRightInd/>
        <w:snapToGrid/>
        <w:spacing w:afterLines="0" w:line="36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本项目扩能改造完成后全厂总量控制指标为：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SO</w:t>
      </w:r>
      <w: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5.940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t/a、NOx：</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t/a、非甲烷总烃</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122.950</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t/a</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颗粒物</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80.663t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/a、</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COD</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54.595</w:t>
      </w:r>
      <w:r>
        <w:rPr>
          <w:rFonts w:hint="default" w:ascii="Times New Roman" w:hAnsi="Times New Roman" w:cs="Times New Roman"/>
          <w:b w:val="0"/>
          <w:bCs w:val="0"/>
          <w:caps w:val="0"/>
          <w:color w:val="000000" w:themeColor="text1"/>
          <w:spacing w:val="0"/>
          <w:kern w:val="2"/>
          <w:sz w:val="21"/>
          <w:szCs w:val="21"/>
          <w:highlight w:val="none"/>
          <w:lang w:val="en-US" w:eastAsia="zh-CN" w:bidi="ar-SA"/>
          <w14:textFill>
            <w14:solidFill>
              <w14:schemeClr w14:val="tx1"/>
            </w14:solidFill>
          </w14:textFill>
        </w:rPr>
        <w:t>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/a、氨氮</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5.887t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649AC370">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本项目</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利用</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现有</w:t>
      </w:r>
      <w:r>
        <w:rPr>
          <w:rFonts w:hint="eastAsia" w:cs="Times New Roman"/>
          <w:b w:val="0"/>
          <w:bCs/>
          <w:color w:val="000000" w:themeColor="text1"/>
          <w:kern w:val="2"/>
          <w:sz w:val="21"/>
          <w:szCs w:val="21"/>
          <w:highlight w:val="none"/>
          <w:lang w:val="en-US" w:eastAsia="zh-CN" w:bidi="ar-SA"/>
          <w14:textFill>
            <w14:solidFill>
              <w14:schemeClr w14:val="tx1"/>
            </w14:solidFill>
          </w14:textFill>
        </w:rPr>
        <w:t>车间，不新建厂房，</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施工期</w:t>
      </w:r>
      <w:r>
        <w:rPr>
          <w:rFonts w:hint="eastAsia" w:cs="Times New Roman"/>
          <w:b w:val="0"/>
          <w:bCs/>
          <w:color w:val="000000" w:themeColor="text1"/>
          <w:kern w:val="2"/>
          <w:sz w:val="21"/>
          <w:szCs w:val="21"/>
          <w:highlight w:val="none"/>
          <w:lang w:val="en-US" w:eastAsia="zh-CN" w:bidi="ar-SA"/>
          <w14:textFill>
            <w14:solidFill>
              <w14:schemeClr w14:val="tx1"/>
            </w14:solidFill>
          </w14:textFill>
        </w:rPr>
        <w:t>仅为</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厂房</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内现有淘汰设备的拆除、厂房</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装修以及</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新</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设备的进场、安装和测试，不涉及基础开挖、土石方等工程，该过程主要污染物为</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废气、</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噪声、废包装、生活污水等。</w:t>
      </w:r>
    </w:p>
    <w:p w14:paraId="75991735">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施工期环境影响分析如下：</w:t>
      </w:r>
    </w:p>
    <w:p w14:paraId="001A115D">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施工期废气</w:t>
      </w:r>
    </w:p>
    <w:p w14:paraId="7301C2B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本项目施工期</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对环境的主要影响为拆除现有设备产生的扬尘、运输车辆扬尘。</w:t>
      </w:r>
    </w:p>
    <w:p w14:paraId="126E87C0">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淘汰设备拆除前，均通过空气置换将设备内的物料排空，因此设备拆除无物料挥发逸散废气产生。现有设备拆除工作在车间内进行，拆除过程中进行洒水抑尘，在拆除过程中遵守《企业拆除活动污染防治技术规定（试行）》要求的前提下，可以保证设备拆除产生的扬尘不会对周边环境造成明显影响；设备运输过程中车辆运输会产生扬尘，在厂区道路洒水抑尘及限制车速等措施的前提下，车辆运输扬尘不会对周边环境造成明显影响。</w:t>
      </w:r>
    </w:p>
    <w:p w14:paraId="324126D9">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企业拆除淘汰设备、新设备拆封、搬运以及设备的安装、固定是短期行为，在落实防范措施的前提下，施工期对大气环境产生的影响较小。</w:t>
      </w:r>
    </w:p>
    <w:p w14:paraId="70277854">
      <w:pPr>
        <w:keepNext w:val="0"/>
        <w:keepLines w:val="0"/>
        <w:pageBreakBefore w:val="0"/>
        <w:widowControl w:val="0"/>
        <w:tabs>
          <w:tab w:val="left" w:pos="375"/>
        </w:tabs>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2</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施工期废水</w:t>
      </w:r>
    </w:p>
    <w:p w14:paraId="5193B99D">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施工期首先拆除生产设备，再拆除环保设备。施工期淘汰设备拆除前首先采用空气置换将物料排空，再使用新鲜水对拆除设备进行清洗，在拆除过程中遵守《企业拆除活动污染防治技术规定（试行）》要求的前提下，不会对周边环境造成明显影响。施工期产生的废水主要为拆除设备清洗废水、安装设备清洗废水和地面冲洗废水，利用厂内管网排至厂区处理站处理达标后，经园区管网送</w:t>
      </w:r>
      <w:r>
        <w:rPr>
          <w:rFonts w:hint="eastAsia" w:cs="Times New Roman"/>
          <w:b w:val="0"/>
          <w:bCs/>
          <w:color w:val="000000" w:themeColor="text1"/>
          <w:kern w:val="2"/>
          <w:sz w:val="21"/>
          <w:szCs w:val="21"/>
          <w:highlight w:val="none"/>
          <w:lang w:val="en-US" w:eastAsia="zh-CN" w:bidi="ar-SA"/>
          <w14:textFill>
            <w14:solidFill>
              <w14:schemeClr w14:val="tx1"/>
            </w14:solidFill>
          </w14:textFill>
        </w:rPr>
        <w:t>石家庄高新区循化环境水务有限公司（良村南污水处理厂</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进一步处理。</w:t>
      </w:r>
    </w:p>
    <w:p w14:paraId="082AA53C">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施工期废水主要为施工人员生活污水。生活污水，水量较少，排入</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厂区综合污水处理站</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，处理达标后排入</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园区污水</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管网，进入</w:t>
      </w:r>
      <w:r>
        <w:rPr>
          <w:rFonts w:hint="eastAsia" w:cs="Times New Roman"/>
          <w:b w:val="0"/>
          <w:bCs/>
          <w:color w:val="000000" w:themeColor="text1"/>
          <w:kern w:val="2"/>
          <w:sz w:val="21"/>
          <w:szCs w:val="21"/>
          <w:highlight w:val="none"/>
          <w:lang w:val="en-US" w:eastAsia="zh-CN" w:bidi="ar-SA"/>
          <w14:textFill>
            <w14:solidFill>
              <w14:schemeClr w14:val="tx1"/>
            </w14:solidFill>
          </w14:textFill>
        </w:rPr>
        <w:t>石家庄高新区循化环境水务有限公司（良村南污水处理厂）进一步</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处理。</w:t>
      </w:r>
    </w:p>
    <w:p w14:paraId="58ADC76C">
      <w:pPr>
        <w:keepNext w:val="0"/>
        <w:keepLines w:val="0"/>
        <w:pageBreakBefore w:val="0"/>
        <w:widowControl w:val="0"/>
        <w:shd w:val="clear"/>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000000" w:themeColor="text1"/>
          <w:spacing w:val="0"/>
          <w:w w:val="100"/>
          <w:position w:val="0"/>
          <w:highlight w:val="none"/>
          <w14:textFill>
            <w14:solidFill>
              <w14:schemeClr w14:val="tx1"/>
            </w14:solidFill>
          </w14:textFill>
        </w:rPr>
      </w:pPr>
      <w:r>
        <w:rPr>
          <w:rFonts w:hint="default" w:cs="Times New Roman"/>
          <w:b w:val="0"/>
          <w:bCs/>
          <w:color w:val="000000" w:themeColor="text1"/>
          <w:kern w:val="2"/>
          <w:sz w:val="21"/>
          <w:szCs w:val="21"/>
          <w:highlight w:val="none"/>
          <w:lang w:val="en-US" w:eastAsia="zh-CN" w:bidi="ar-SA"/>
          <w14:textFill>
            <w14:solidFill>
              <w14:schemeClr w14:val="tx1"/>
            </w14:solidFill>
          </w14:textFill>
        </w:rPr>
        <w:t>因此，施工期产生废水不会对区域环境产生明显影响。</w:t>
      </w:r>
    </w:p>
    <w:p w14:paraId="36BB7DFA">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3</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施工期噪声</w:t>
      </w:r>
    </w:p>
    <w:p w14:paraId="537B3A97">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项目施工噪声主要为设备</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拆除、</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运输和安装、测试时产生的噪声。合理布置、隔声、距离衰减等措施后施工噪声可满足《</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建筑施工噪声排放标准</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GB12523-2025</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）标准，并且影响是暂时的，随施工的结束而结束，所以不会对周围环境产生明显影响。</w:t>
      </w:r>
    </w:p>
    <w:p w14:paraId="219D8D2B">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4</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施工期固废</w:t>
      </w:r>
    </w:p>
    <w:p w14:paraId="246D9A1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施工期的固体废物主要</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来自</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施工人员的生活垃圾以及施工时产生的各种废包装。废包装应统一收集后外售。施工人员生活垃圾由环卫部门统一收集处置。在拆除过程中遵守《企业拆除活动污染防治技术规定（试行）》要求的前提下，固体废物不会对周边环境造成明显影响。</w:t>
      </w:r>
    </w:p>
    <w:p w14:paraId="7B51281B">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360"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固废均可得到妥善处置，不会对周围环境产生明显影响。</w:t>
      </w:r>
    </w:p>
    <w:p w14:paraId="27A41122">
      <w:pPr>
        <w:pStyle w:val="2"/>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综合上述，施工期排放的噪声、固废对环境产生一定的影响，经采取措施可将其不良影响</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降至最低</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程度，而且这些影响一般属于可逆的，且随着施工期的结束，其对环境的影响也将结束。</w:t>
      </w:r>
    </w:p>
    <w:p w14:paraId="6D2A405F">
      <w:pPr>
        <w:pStyle w:val="2"/>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p>
    <w:p w14:paraId="2EDFAF7E">
      <w:pPr>
        <w:keepNext w:val="0"/>
        <w:keepLines w:val="0"/>
        <w:widowControl w:val="0"/>
        <w:kinsoku/>
        <w:autoSpaceDE/>
        <w:autoSpaceDN/>
        <w:bidi w:val="0"/>
        <w:adjustRightInd/>
        <w:snapToGrid/>
        <w:spacing w:beforeLines="0" w:beforeAutospacing="0" w:afterLines="0" w:afterAutospacing="0" w:line="360" w:lineRule="auto"/>
        <w:ind w:firstLine="422" w:firstLineChars="200"/>
        <w:jc w:val="both"/>
        <w:outlineLvl w:val="1"/>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（一）</w:t>
      </w:r>
      <w:r>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废气</w:t>
      </w:r>
    </w:p>
    <w:p w14:paraId="0173A78E">
      <w:pPr>
        <w:keepNext w:val="0"/>
        <w:keepLines w:val="0"/>
        <w:widowControl w:val="0"/>
        <w:kinsoku/>
        <w:autoSpaceDE/>
        <w:autoSpaceDN/>
        <w:bidi w:val="0"/>
        <w:adjustRightInd/>
        <w:snapToGrid/>
        <w:spacing w:beforeLines="0" w:beforeAutospacing="0" w:afterLines="0" w:afterAutospacing="0" w:line="360" w:lineRule="auto"/>
        <w:ind w:firstLine="420" w:firstLineChars="200"/>
        <w:jc w:val="both"/>
        <w:outlineLvl w:val="1"/>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1</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、治理设施情况</w:t>
      </w:r>
    </w:p>
    <w:p w14:paraId="1B82728D">
      <w:pPr>
        <w:pStyle w:val="2"/>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本项目废气主要为甘氨酸螯合物一车间</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废气</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（颗粒物）</w:t>
      </w:r>
      <w:r>
        <w:rPr>
          <w:rFonts w:hint="eastAsia" w:cs="Times New Roman"/>
          <w:b w:val="0"/>
          <w:bCs/>
          <w:color w:val="000000" w:themeColor="text1"/>
          <w:kern w:val="2"/>
          <w:sz w:val="21"/>
          <w:szCs w:val="21"/>
          <w:highlight w:val="none"/>
          <w:lang w:val="en-US" w:eastAsia="zh-CN" w:bidi="ar-SA"/>
          <w14:textFill>
            <w14:solidFill>
              <w14:schemeClr w14:val="tx1"/>
            </w14:solidFill>
          </w14:textFill>
        </w:rPr>
        <w:t>以及污水处理站产生的恶臭气体（氨、硫化氢、臭气浓度），甘氨酸螯合物一车间投料、喷雾干燥、粉碎及包装工序有粉尘产生，除喷雾工序全密闭外，其余环节均设置集气罩+软帘。投料、粉碎及包装工序废气经集气罩+软帘收集+布袋除尘器处理，喷雾干燥工序废气经密闭管道收集后+水洗塔+酸洗塔处理，两路废气分别处理达标后一并经通过一根25m高排气筒（DA028）排放；污水处理站废气依托现有，采用</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各污水处理池上方已加装玻璃钢罩进行收集，废气经管线引至现有</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“水吸收+恒温多级生物滤池”</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装置处理后经1根15m排气筒</w:t>
      </w:r>
      <w:r>
        <w:rPr>
          <w:rFonts w:hint="eastAsia" w:cs="Times New Roman"/>
          <w:b w:val="0"/>
          <w:bCs/>
          <w:color w:val="000000" w:themeColor="text1"/>
          <w:kern w:val="2"/>
          <w:sz w:val="21"/>
          <w:szCs w:val="21"/>
          <w:highlight w:val="none"/>
          <w:lang w:val="en-US" w:eastAsia="zh-CN" w:bidi="ar-SA"/>
          <w14:textFill>
            <w14:solidFill>
              <w14:schemeClr w14:val="tx1"/>
            </w14:solidFill>
          </w14:textFill>
        </w:rPr>
        <w:t>（DA010）</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排放。</w:t>
      </w:r>
    </w:p>
    <w:p w14:paraId="75DBFD7D">
      <w:pPr>
        <w:keepNext w:val="0"/>
        <w:keepLines w:val="0"/>
        <w:pageBreakBefore w:val="0"/>
        <w:widowControl w:val="0"/>
        <w:kinsoku/>
        <w:wordWrap/>
        <w:overflowPunct/>
        <w:topLinePunct w:val="0"/>
        <w:autoSpaceDE/>
        <w:autoSpaceDN/>
        <w:bidi w:val="0"/>
        <w:adjustRightInd/>
        <w:snapToGrid/>
        <w:spacing w:beforeAutospacing="0" w:afterAutospacing="0" w:line="336"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2</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）污水</w:t>
      </w:r>
      <w:r>
        <w:rPr>
          <w:rFonts w:hint="eastAsia" w:cs="Times New Roman"/>
          <w:b w:val="0"/>
          <w:bCs/>
          <w:color w:val="000000" w:themeColor="text1"/>
          <w:kern w:val="2"/>
          <w:sz w:val="21"/>
          <w:szCs w:val="21"/>
          <w:highlight w:val="none"/>
          <w:lang w:val="en-US" w:eastAsia="zh-CN" w:bidi="ar-SA"/>
          <w14:textFill>
            <w14:solidFill>
              <w14:schemeClr w14:val="tx1"/>
            </w14:solidFill>
          </w14:textFill>
        </w:rPr>
        <w:t>站</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废气</w:t>
      </w:r>
    </w:p>
    <w:p w14:paraId="5D84D79F">
      <w:pPr>
        <w:pStyle w:val="2"/>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本项目</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废水，</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依托厂区现有污水站进行处理</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，污水站废水处理过程中有恶臭气体产生，主要污染物为氨、</w:t>
      </w:r>
      <w:r>
        <w:rPr>
          <w:rFonts w:hint="eastAsia" w:cs="Times New Roman"/>
          <w:b w:val="0"/>
          <w:bCs/>
          <w:color w:val="000000" w:themeColor="text1"/>
          <w:kern w:val="2"/>
          <w:sz w:val="21"/>
          <w:szCs w:val="21"/>
          <w:highlight w:val="none"/>
          <w:lang w:val="en-US" w:eastAsia="zh-CN" w:bidi="ar-SA"/>
          <w14:textFill>
            <w14:solidFill>
              <w14:schemeClr w14:val="tx1"/>
            </w14:solidFill>
          </w14:textFill>
        </w:rPr>
        <w:t>硫化氢、臭气浓度</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等；各污水处理池上方已加装玻璃钢罩进行收集，废气经管线引至现有</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“水吸收+恒温多级生物滤池”</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装置处理后经1根15m排气筒排放。</w:t>
      </w:r>
    </w:p>
    <w:p w14:paraId="482E8DC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36" w:lineRule="auto"/>
        <w:ind w:left="0" w:leftChars="0"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3</w:t>
      </w:r>
      <w:r>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无组织废气</w:t>
      </w:r>
    </w:p>
    <w:p w14:paraId="4A493381">
      <w:pPr>
        <w:keepNext w:val="0"/>
        <w:keepLines w:val="0"/>
        <w:pageBreakBefore w:val="0"/>
        <w:widowControl w:val="0"/>
        <w:kinsoku/>
        <w:wordWrap/>
        <w:overflowPunct/>
        <w:topLinePunct w:val="0"/>
        <w:autoSpaceDE/>
        <w:autoSpaceDN/>
        <w:bidi w:val="0"/>
        <w:adjustRightInd/>
        <w:snapToGrid/>
        <w:spacing w:beforeAutospacing="0" w:afterAutospacing="0" w:line="336" w:lineRule="auto"/>
        <w:ind w:firstLine="420" w:firstLineChars="200"/>
        <w:jc w:val="both"/>
        <w:textAlignment w:val="auto"/>
        <w:outlineLvl w:val="1"/>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所有粉状原料全部存入密闭专用仓库分类储存，严禁露天堆放、随意散落；原料库房采用全封闭围护结构，墙体及门窗密闭严实，定期检修封堵缝隙，有效阻挡粉尘向外逸散。日常定期对库房地面、厂区道路及运输车辆进行清扫洒水抑尘，及时清理散落粉料，从原料储存、场内转运到装卸作业全流程落实管控，最大限度削减无组织粉尘排放。污泥暂存于密闭式一般固废贮存间内，贮存间整体墙体密闭、门窗日常关闭，封堵墙体及门窗缝隙，减少异味向外扩散。厂区产生的污泥均采用防渗密封编织袋/加厚密封塑料袋进行严实打包封装，做到袋装严实、封口紧密，杜绝污泥裸露堆放，从源头抑制恶臭气体散发。日常定期在一般固废间内部及堆放区域喷洒环保型生物除臭药剂，进一步弱化异味浓度。污泥外运全程使用密闭专用车辆转运，装车过程快速作业，减少敞口暴露时间，全方位依靠密闭包装、密闭库房封存及精细化管理措施，有效控制恶臭无组织扩散。</w:t>
      </w:r>
    </w:p>
    <w:p w14:paraId="48E05473">
      <w:pPr>
        <w:keepNext w:val="0"/>
        <w:keepLines w:val="0"/>
        <w:pageBreakBefore w:val="0"/>
        <w:widowControl w:val="0"/>
        <w:kinsoku/>
        <w:wordWrap/>
        <w:overflowPunct/>
        <w:topLinePunct w:val="0"/>
        <w:autoSpaceDE/>
        <w:autoSpaceDN/>
        <w:bidi w:val="0"/>
        <w:adjustRightInd/>
        <w:snapToGrid/>
        <w:spacing w:beforeAutospacing="0" w:afterAutospacing="0" w:line="336" w:lineRule="auto"/>
        <w:ind w:firstLine="420" w:firstLineChars="200"/>
        <w:jc w:val="both"/>
        <w:textAlignment w:val="auto"/>
        <w:outlineLvl w:val="1"/>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①甘氨酸螯合物一车间</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无组织废气</w:t>
      </w:r>
      <w:r>
        <w:rPr>
          <w:rFonts w:hint="eastAsia" w:cs="Times New Roman"/>
          <w:b w:val="0"/>
          <w:bCs/>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无组织废气中颗粒物</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排放量为0.168t/a。</w:t>
      </w:r>
    </w:p>
    <w:p w14:paraId="2A6B569C">
      <w:pPr>
        <w:keepNext w:val="0"/>
        <w:keepLines w:val="0"/>
        <w:pageBreakBefore w:val="0"/>
        <w:widowControl w:val="0"/>
        <w:kinsoku/>
        <w:wordWrap/>
        <w:overflowPunct/>
        <w:topLinePunct w:val="0"/>
        <w:autoSpaceDE/>
        <w:autoSpaceDN/>
        <w:bidi w:val="0"/>
        <w:adjustRightInd/>
        <w:snapToGrid/>
        <w:spacing w:beforeAutospacing="0" w:afterAutospacing="0" w:line="336" w:lineRule="auto"/>
        <w:ind w:firstLine="420" w:firstLineChars="200"/>
        <w:jc w:val="both"/>
        <w:textAlignment w:val="auto"/>
        <w:outlineLvl w:val="1"/>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②</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污水处理车间</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废气</w:t>
      </w:r>
      <w:r>
        <w:rPr>
          <w:rFonts w:hint="eastAsia" w:cs="Times New Roman"/>
          <w:b w:val="0"/>
          <w:bCs/>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本项目</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污水处理车间</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恶臭</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气体</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无组织排放，</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污水处理站密闭，收集效率95%，经计算，</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氨无组织</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排放量</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为</w:t>
      </w:r>
      <w:r>
        <w:rPr>
          <w:rFonts w:hint="eastAsia" w:cs="Times New Roman"/>
          <w:b w:val="0"/>
          <w:bCs/>
          <w:color w:val="000000" w:themeColor="text1"/>
          <w:kern w:val="2"/>
          <w:sz w:val="21"/>
          <w:szCs w:val="21"/>
          <w:highlight w:val="none"/>
          <w:lang w:val="en-US" w:eastAsia="zh-CN" w:bidi="ar-SA"/>
          <w14:textFill>
            <w14:solidFill>
              <w14:schemeClr w14:val="tx1"/>
            </w14:solidFill>
          </w14:textFill>
        </w:rPr>
        <w:t>0.002</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/a；</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硫化氢无组织</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排放量</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为</w:t>
      </w:r>
      <w:r>
        <w:rPr>
          <w:rFonts w:hint="eastAsia" w:cs="Times New Roman"/>
          <w:b w:val="0"/>
          <w:bCs/>
          <w:color w:val="000000" w:themeColor="text1"/>
          <w:kern w:val="2"/>
          <w:sz w:val="21"/>
          <w:szCs w:val="21"/>
          <w:highlight w:val="none"/>
          <w:lang w:val="en-US" w:eastAsia="zh-CN" w:bidi="ar-SA"/>
          <w14:textFill>
            <w14:solidFill>
              <w14:schemeClr w14:val="tx1"/>
            </w14:solidFill>
          </w14:textFill>
        </w:rPr>
        <w:t>0.00003</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t</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/a；臭气浓度</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排放浓度</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1</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0（无量纲）。</w:t>
      </w:r>
    </w:p>
    <w:p w14:paraId="6AD76EE8">
      <w:pPr>
        <w:pStyle w:val="2"/>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根据《环境影响评价技术导则-大气环境（HJ2.2-2018）附录A推荐模型中的AERSCREEN模型计算得出本项目无组织排放废气中颗粒物、氨、硫化氢厂界浓度最大值分别为0.014</w:t>
      </w:r>
      <w:r>
        <w:rPr>
          <w:rFonts w:hint="eastAsia"/>
          <w:bCs/>
          <w:color w:val="000000" w:themeColor="text1"/>
          <w:sz w:val="21"/>
          <w:szCs w:val="21"/>
          <w:highlight w:val="none"/>
          <w:lang w:val="en-US" w:eastAsia="zh-CN"/>
          <w14:textFill>
            <w14:solidFill>
              <w14:schemeClr w14:val="tx1"/>
            </w14:solidFill>
          </w14:textFill>
        </w:rPr>
        <w:t>mg/m</w:t>
      </w:r>
      <w:r>
        <w:rPr>
          <w:rFonts w:hint="eastAsia"/>
          <w:bCs/>
          <w:color w:val="000000" w:themeColor="text1"/>
          <w:sz w:val="21"/>
          <w:szCs w:val="21"/>
          <w:highlight w:val="none"/>
          <w:vertAlign w:val="superscript"/>
          <w:lang w:val="en-US" w:eastAsia="zh-CN"/>
          <w14:textFill>
            <w14:solidFill>
              <w14:schemeClr w14:val="tx1"/>
            </w14:solidFill>
          </w14:textFill>
        </w:rPr>
        <w:t>3</w:t>
      </w:r>
      <w:r>
        <w:rPr>
          <w:rFonts w:hint="eastAsia"/>
          <w:bCs/>
          <w:color w:val="000000" w:themeColor="text1"/>
          <w:sz w:val="21"/>
          <w:szCs w:val="21"/>
          <w:highlight w:val="none"/>
          <w14:textFill>
            <w14:solidFill>
              <w14:schemeClr w14:val="tx1"/>
            </w14:solidFill>
          </w14:textFill>
        </w:rPr>
        <w:t>、</w:t>
      </w:r>
      <w:r>
        <w:rPr>
          <w:rFonts w:hint="eastAsia"/>
          <w:bCs/>
          <w:color w:val="000000" w:themeColor="text1"/>
          <w:sz w:val="21"/>
          <w:szCs w:val="21"/>
          <w:highlight w:val="none"/>
          <w:lang w:val="en-US" w:eastAsia="zh-CN"/>
          <w14:textFill>
            <w14:solidFill>
              <w14:schemeClr w14:val="tx1"/>
            </w14:solidFill>
          </w14:textFill>
        </w:rPr>
        <w:t>0.0001mg/m</w:t>
      </w:r>
      <w:r>
        <w:rPr>
          <w:rFonts w:hint="eastAsia"/>
          <w:bCs/>
          <w:color w:val="000000" w:themeColor="text1"/>
          <w:sz w:val="21"/>
          <w:szCs w:val="21"/>
          <w:highlight w:val="none"/>
          <w:vertAlign w:val="superscript"/>
          <w:lang w:val="en-US" w:eastAsia="zh-CN"/>
          <w14:textFill>
            <w14:solidFill>
              <w14:schemeClr w14:val="tx1"/>
            </w14:solidFill>
          </w14:textFill>
        </w:rPr>
        <w:t>3</w:t>
      </w:r>
      <w:r>
        <w:rPr>
          <w:rFonts w:hint="eastAsia"/>
          <w:bCs/>
          <w:color w:val="000000" w:themeColor="text1"/>
          <w:sz w:val="21"/>
          <w:szCs w:val="21"/>
          <w:highlight w:val="none"/>
          <w14:textFill>
            <w14:solidFill>
              <w14:schemeClr w14:val="tx1"/>
            </w14:solidFill>
          </w14:textFill>
        </w:rPr>
        <w:t>、</w:t>
      </w:r>
      <w:r>
        <w:rPr>
          <w:rFonts w:hint="eastAsia"/>
          <w:bCs/>
          <w:color w:val="000000" w:themeColor="text1"/>
          <w:sz w:val="21"/>
          <w:szCs w:val="21"/>
          <w:highlight w:val="none"/>
          <w:lang w:val="en-US" w:eastAsia="zh-CN"/>
          <w14:textFill>
            <w14:solidFill>
              <w14:schemeClr w14:val="tx1"/>
            </w14:solidFill>
          </w14:textFill>
        </w:rPr>
        <w:t>0.000002mg/m</w:t>
      </w:r>
      <w:r>
        <w:rPr>
          <w:rFonts w:hint="eastAsia"/>
          <w:bCs/>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项目</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厂界无组织颗粒物排放</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满足</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《大气污染物综合排放标准》（GB16297-1996）表2无组织排放监控浓度限值；</w:t>
      </w:r>
      <w:r>
        <w:rPr>
          <w:rFonts w:hint="eastAsia" w:cs="Times New Roman"/>
          <w:b w:val="0"/>
          <w:bCs/>
          <w:color w:val="000000" w:themeColor="text1"/>
          <w:kern w:val="2"/>
          <w:sz w:val="21"/>
          <w:szCs w:val="21"/>
          <w:highlight w:val="none"/>
          <w:lang w:val="en-US" w:eastAsia="zh-CN" w:bidi="ar-SA"/>
          <w14:textFill>
            <w14:solidFill>
              <w14:schemeClr w14:val="tx1"/>
            </w14:solidFill>
          </w14:textFill>
        </w:rPr>
        <w:t>厂界氨、硫化氢、</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臭气浓度排放</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满足</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《恶臭污染物排放标准》（GB14554-93）表1中二级新扩改建项目恶臭污染物厂界标准值。</w:t>
      </w:r>
    </w:p>
    <w:p w14:paraId="16B8904A">
      <w:pPr>
        <w:keepNext w:val="0"/>
        <w:keepLines w:val="0"/>
        <w:widowControl w:val="0"/>
        <w:kinsoku/>
        <w:autoSpaceDE/>
        <w:autoSpaceDN/>
        <w:bidi w:val="0"/>
        <w:adjustRightInd/>
        <w:snapToGrid/>
        <w:spacing w:beforeLines="0" w:beforeAutospacing="0" w:afterLines="0" w:afterAutospacing="0" w:line="360" w:lineRule="auto"/>
        <w:ind w:firstLine="422" w:firstLineChars="200"/>
        <w:jc w:val="both"/>
        <w:outlineLvl w:val="1"/>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（二）废水</w:t>
      </w:r>
    </w:p>
    <w:p w14:paraId="38D8DBD5">
      <w:pPr>
        <w:keepNext w:val="0"/>
        <w:keepLines w:val="0"/>
        <w:widowControl w:val="0"/>
        <w:kinsoku/>
        <w:autoSpaceDE/>
        <w:autoSpaceDN/>
        <w:bidi w:val="0"/>
        <w:adjustRightInd/>
        <w:snapToGrid/>
        <w:spacing w:beforeLines="0" w:beforeAutospacing="0" w:afterLines="0" w:afterAutospacing="0" w:line="360" w:lineRule="auto"/>
        <w:ind w:left="0" w:leftChars="0" w:firstLine="420" w:firstLineChars="200"/>
        <w:jc w:val="both"/>
        <w:outlineLvl w:val="1"/>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1、废水产生及排放情况</w:t>
      </w:r>
    </w:p>
    <w:p w14:paraId="42AF55A0">
      <w:pPr>
        <w:keepNext w:val="0"/>
        <w:keepLines w:val="0"/>
        <w:widowControl w:val="0"/>
        <w:kinsoku/>
        <w:autoSpaceDE/>
        <w:autoSpaceDN/>
        <w:bidi w:val="0"/>
        <w:adjustRightInd/>
        <w:snapToGrid/>
        <w:spacing w:beforeLines="0" w:beforeAutospacing="0" w:afterLines="0" w:afterAutospacing="0" w:line="360" w:lineRule="auto"/>
        <w:ind w:left="0" w:leftChars="0" w:firstLine="420" w:firstLineChars="200"/>
        <w:jc w:val="both"/>
        <w:outlineLvl w:val="1"/>
        <w:rPr>
          <w:rFonts w:hint="eastAsia"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b w:val="0"/>
          <w:bCs/>
          <w:color w:val="000000" w:themeColor="text1"/>
          <w:kern w:val="2"/>
          <w:sz w:val="21"/>
          <w:szCs w:val="21"/>
          <w:highlight w:val="none"/>
          <w:lang w:val="en-US" w:eastAsia="zh-CN" w:bidi="ar-SA"/>
          <w14:textFill>
            <w14:solidFill>
              <w14:schemeClr w14:val="tx1"/>
            </w14:solidFill>
          </w14:textFill>
        </w:rPr>
        <w:t>本</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项目</w:t>
      </w:r>
      <w:r>
        <w:rPr>
          <w:rFonts w:hint="eastAsia" w:cs="Times New Roman"/>
          <w:b w:val="0"/>
          <w:bCs/>
          <w:color w:val="000000" w:themeColor="text1"/>
          <w:kern w:val="2"/>
          <w:sz w:val="21"/>
          <w:szCs w:val="21"/>
          <w:highlight w:val="none"/>
          <w:lang w:val="en-US" w:eastAsia="zh-CN" w:bidi="ar-SA"/>
          <w14:textFill>
            <w14:solidFill>
              <w14:schemeClr w14:val="tx1"/>
            </w14:solidFill>
          </w14:textFill>
        </w:rPr>
        <w:t>新增</w:t>
      </w:r>
      <w:r>
        <w:rPr>
          <w:rFonts w:hint="eastAsia"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废水主要为生产废水，</w:t>
      </w:r>
      <w:r>
        <w:rPr>
          <w:rFonts w:hint="eastAsia" w:cs="Times New Roman"/>
          <w:color w:val="000000" w:themeColor="text1"/>
          <w:kern w:val="2"/>
          <w:sz w:val="21"/>
          <w:szCs w:val="21"/>
          <w:highlight w:val="none"/>
          <w:lang w:val="en-US" w:eastAsia="zh-CN" w:bidi="ar-SA"/>
          <w14:textFill>
            <w14:solidFill>
              <w14:schemeClr w14:val="tx1"/>
            </w14:solidFill>
          </w14:textFill>
        </w:rPr>
        <w:t>包括软水制备废水、设备冲洗废水、废气治理系统废水、循环冷却系统排水和车间地面冲洗废水</w:t>
      </w:r>
      <w:r>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cs="Times New Roman"/>
          <w:b w:val="0"/>
          <w:bCs/>
          <w:color w:val="000000" w:themeColor="text1"/>
          <w:kern w:val="2"/>
          <w:sz w:val="21"/>
          <w:szCs w:val="21"/>
          <w:highlight w:val="none"/>
          <w:lang w:val="en-US" w:eastAsia="zh-CN" w:bidi="ar-SA"/>
          <w14:textFill>
            <w14:solidFill>
              <w14:schemeClr w14:val="tx1"/>
            </w14:solidFill>
          </w14:textFill>
        </w:rPr>
        <w:t>现有工程污水处理站进口监测数据见监测报告（乐新检测YS20250307）。</w:t>
      </w:r>
    </w:p>
    <w:p w14:paraId="29AAB57B">
      <w:pPr>
        <w:pStyle w:val="2"/>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本项目废水利用厂内综合污水处理站处理，</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处理</w:t>
      </w:r>
      <w:r>
        <w:rPr>
          <w:rFonts w:hint="eastAsia" w:cs="Times New Roman"/>
          <w:color w:val="000000" w:themeColor="text1"/>
          <w:kern w:val="0"/>
          <w:sz w:val="21"/>
          <w:szCs w:val="21"/>
          <w:highlight w:val="none"/>
          <w:lang w:val="en-US" w:eastAsia="zh-CN" w:bidi="ar-SA"/>
          <w14:textFill>
            <w14:solidFill>
              <w14:schemeClr w14:val="tx1"/>
            </w14:solidFill>
          </w14:textFill>
        </w:rPr>
        <w:t>能力</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为1600m</w:t>
      </w:r>
      <w:r>
        <w:rPr>
          <w:rFonts w:hint="eastAsia" w:ascii="Times New Roman" w:hAnsi="Times New Roman" w:eastAsia="宋体" w:cs="Times New Roman"/>
          <w:color w:val="000000" w:themeColor="text1"/>
          <w:kern w:val="0"/>
          <w:sz w:val="21"/>
          <w:szCs w:val="21"/>
          <w:highlight w:val="none"/>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/d，</w:t>
      </w:r>
      <w:r>
        <w:rPr>
          <w:rFonts w:hint="eastAsia" w:cs="Times New Roman"/>
          <w:color w:val="000000" w:themeColor="text1"/>
          <w:kern w:val="0"/>
          <w:sz w:val="21"/>
          <w:szCs w:val="21"/>
          <w:highlight w:val="none"/>
          <w:lang w:val="en-US" w:eastAsia="zh-CN" w:bidi="ar-SA"/>
          <w14:textFill>
            <w14:solidFill>
              <w14:schemeClr w14:val="tx1"/>
            </w14:solidFill>
          </w14:textFill>
        </w:rPr>
        <w:t>现有工程</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实际</w:t>
      </w:r>
      <w:r>
        <w:rPr>
          <w:rFonts w:hint="eastAsia" w:cs="Times New Roman"/>
          <w:color w:val="000000" w:themeColor="text1"/>
          <w:kern w:val="0"/>
          <w:sz w:val="21"/>
          <w:szCs w:val="21"/>
          <w:highlight w:val="none"/>
          <w:lang w:val="en-US" w:eastAsia="zh-CN" w:bidi="ar-SA"/>
          <w14:textFill>
            <w14:solidFill>
              <w14:schemeClr w14:val="tx1"/>
            </w14:solidFill>
          </w14:textFill>
        </w:rPr>
        <w:t>全厂排水量</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为</w:t>
      </w:r>
      <w:r>
        <w:rPr>
          <w:rFonts w:hint="eastAsia"/>
          <w:color w:val="000000" w:themeColor="text1"/>
          <w:sz w:val="21"/>
          <w:szCs w:val="21"/>
          <w:highlight w:val="none"/>
          <w:lang w:val="en-US" w:eastAsia="zh-CN"/>
          <w14:textFill>
            <w14:solidFill>
              <w14:schemeClr w14:val="tx1"/>
            </w14:solidFill>
          </w14:textFill>
        </w:rPr>
        <w:t>924.32</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/d，尚有</w:t>
      </w:r>
      <w:r>
        <w:rPr>
          <w:rFonts w:hint="eastAsia" w:cs="Times New Roman"/>
          <w:color w:val="000000" w:themeColor="text1"/>
          <w:kern w:val="0"/>
          <w:sz w:val="21"/>
          <w:szCs w:val="21"/>
          <w:highlight w:val="none"/>
          <w:lang w:val="en-US" w:eastAsia="zh-CN" w:bidi="ar-SA"/>
          <w14:textFill>
            <w14:solidFill>
              <w14:schemeClr w14:val="tx1"/>
            </w14:solidFill>
          </w14:textFill>
        </w:rPr>
        <w:t>675.68</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/d处理余量</w:t>
      </w:r>
      <w:r>
        <w:rPr>
          <w:rFonts w:hint="eastAsia" w:cs="Times New Roman"/>
          <w:color w:val="000000" w:themeColor="text1"/>
          <w:kern w:val="0"/>
          <w:sz w:val="21"/>
          <w:szCs w:val="21"/>
          <w:highlight w:val="none"/>
          <w:lang w:val="en-US" w:eastAsia="zh-CN" w:bidi="ar-SA"/>
          <w14:textFill>
            <w14:solidFill>
              <w14:schemeClr w14:val="tx1"/>
            </w14:solidFill>
          </w14:textFill>
        </w:rPr>
        <w:t>，因此，</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现有工程污水处理站有能力</w:t>
      </w:r>
      <w:r>
        <w:rPr>
          <w:rFonts w:hint="eastAsia" w:cs="Times New Roman"/>
          <w:color w:val="000000" w:themeColor="text1"/>
          <w:kern w:val="0"/>
          <w:sz w:val="21"/>
          <w:szCs w:val="21"/>
          <w:highlight w:val="none"/>
          <w:lang w:val="en-US" w:eastAsia="zh-CN" w:bidi="ar-SA"/>
          <w14:textFill>
            <w14:solidFill>
              <w14:schemeClr w14:val="tx1"/>
            </w14:solidFill>
          </w14:textFill>
        </w:rPr>
        <w:t>可满足本项目</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p w14:paraId="02821BBE">
      <w:pPr>
        <w:keepNext w:val="0"/>
        <w:keepLines w:val="0"/>
        <w:widowControl w:val="0"/>
        <w:kinsoku/>
        <w:autoSpaceDE/>
        <w:autoSpaceDN/>
        <w:bidi w:val="0"/>
        <w:adjustRightInd/>
        <w:snapToGrid/>
        <w:spacing w:beforeLines="0" w:beforeAutospacing="0" w:afterLines="0" w:afterAutospacing="0" w:line="360" w:lineRule="auto"/>
        <w:ind w:firstLine="422" w:firstLineChars="200"/>
        <w:jc w:val="both"/>
        <w:outlineLvl w:val="1"/>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（三）噪声</w:t>
      </w:r>
    </w:p>
    <w:p w14:paraId="6DB162AE">
      <w:pPr>
        <w:keepNext w:val="0"/>
        <w:keepLines w:val="0"/>
        <w:widowControl w:val="0"/>
        <w:kinsoku/>
        <w:autoSpaceDE/>
        <w:autoSpaceDN/>
        <w:bidi w:val="0"/>
        <w:adjustRightInd/>
        <w:snapToGrid/>
        <w:spacing w:beforeLines="0" w:beforeAutospacing="0" w:afterLines="0" w:afterAutospacing="0" w:line="360" w:lineRule="auto"/>
        <w:ind w:firstLine="420" w:firstLineChars="200"/>
        <w:jc w:val="both"/>
        <w:outlineLvl w:val="1"/>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1、噪声源强分析</w:t>
      </w:r>
    </w:p>
    <w:p w14:paraId="69FC6D7D">
      <w:pPr>
        <w:pStyle w:val="2"/>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本项目运营期噪声源主要为生产设备运行过程中</w:t>
      </w:r>
      <w:r>
        <w:rPr>
          <w:rFonts w:hint="eastAsia" w:cs="Times New Roman"/>
          <w:b w:val="0"/>
          <w:bCs/>
          <w:color w:val="000000" w:themeColor="text1"/>
          <w:sz w:val="21"/>
          <w:szCs w:val="21"/>
          <w:highlight w:val="none"/>
          <w:lang w:val="en-US" w:eastAsia="zh-CN"/>
          <w14:textFill>
            <w14:solidFill>
              <w14:schemeClr w14:val="tx1"/>
            </w14:solidFill>
          </w14:textFill>
        </w:rPr>
        <w:t>产生的噪声</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，针对室内噪声源采用选用低噪声设备、墙体隔音等防治措施，室外风机设置隔声罩，采取以上相关措施后，约降噪</w:t>
      </w:r>
      <w:r>
        <w:rPr>
          <w:rFonts w:hint="eastAsia" w:cs="Times New Roman"/>
          <w:b w:val="0"/>
          <w:bCs/>
          <w:color w:val="000000" w:themeColor="text1"/>
          <w:sz w:val="21"/>
          <w:szCs w:val="21"/>
          <w:highlight w:val="none"/>
          <w:lang w:val="en-US" w:eastAsia="zh-CN"/>
          <w14:textFill>
            <w14:solidFill>
              <w14:schemeClr w14:val="tx1"/>
            </w14:solidFill>
          </w14:textFill>
        </w:rPr>
        <w:t>15-20</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dB（A）。根据所提供的参数及类比调查的结果，以厂区</w:t>
      </w:r>
      <w:r>
        <w:rPr>
          <w:rFonts w:hint="eastAsia" w:cs="Times New Roman"/>
          <w:b w:val="0"/>
          <w:bCs/>
          <w:color w:val="000000" w:themeColor="text1"/>
          <w:sz w:val="21"/>
          <w:szCs w:val="21"/>
          <w:highlight w:val="none"/>
          <w:lang w:val="en-US" w:eastAsia="zh-CN"/>
          <w14:textFill>
            <w14:solidFill>
              <w14:schemeClr w14:val="tx1"/>
            </w14:solidFill>
          </w14:textFill>
        </w:rPr>
        <w:t>西南角</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为坐标原点，</w:t>
      </w:r>
      <w:r>
        <w:rPr>
          <w:rFonts w:hint="eastAsia" w:cs="Times New Roman"/>
          <w:b w:val="0"/>
          <w:bCs/>
          <w:color w:val="000000" w:themeColor="text1"/>
          <w:sz w:val="21"/>
          <w:szCs w:val="21"/>
          <w:highlight w:val="none"/>
          <w:lang w:val="en-US" w:eastAsia="zh-CN"/>
          <w14:textFill>
            <w14:solidFill>
              <w14:schemeClr w14:val="tx1"/>
            </w14:solidFill>
          </w14:textFill>
        </w:rPr>
        <w:t>项目</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噪声源噪声参数见表4-</w:t>
      </w:r>
      <w:r>
        <w:rPr>
          <w:rFonts w:hint="eastAsia" w:cs="Times New Roman"/>
          <w:b w:val="0"/>
          <w:bCs/>
          <w:color w:val="000000" w:themeColor="text1"/>
          <w:sz w:val="21"/>
          <w:szCs w:val="21"/>
          <w:highlight w:val="none"/>
          <w:lang w:val="en-US" w:eastAsia="zh-CN"/>
          <w14:textFill>
            <w14:solidFill>
              <w14:schemeClr w14:val="tx1"/>
            </w14:solidFill>
          </w14:textFill>
        </w:rPr>
        <w:t>12、表4-13</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。本项目噪声主要为各种泵类设备在运行中产生的噪声，声级值在</w:t>
      </w:r>
      <w:r>
        <w:rPr>
          <w:rFonts w:hint="eastAsia" w:cs="Times New Roman"/>
          <w:b w:val="0"/>
          <w:bCs/>
          <w:color w:val="000000" w:themeColor="text1"/>
          <w:sz w:val="21"/>
          <w:szCs w:val="21"/>
          <w:highlight w:val="none"/>
          <w:lang w:val="en-US" w:eastAsia="zh-CN"/>
          <w14:textFill>
            <w14:solidFill>
              <w14:schemeClr w14:val="tx1"/>
            </w14:solidFill>
          </w14:textFill>
        </w:rPr>
        <w:t>75</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val="en-US" w:eastAsia="zh-CN"/>
          <w14:textFill>
            <w14:solidFill>
              <w14:schemeClr w14:val="tx1"/>
            </w14:solidFill>
          </w14:textFill>
        </w:rPr>
        <w:t>90</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dB（A）之间。项目通过选用低噪声设备，并通过基础减振、厂房隔声、定期检修等措施保证设备正常运行，控制不正常高噪声产生，降低噪声对周围声环境的影响。</w:t>
      </w:r>
    </w:p>
    <w:p w14:paraId="4D749167">
      <w:pPr>
        <w:adjustRightInd/>
        <w:snapToGrid/>
        <w:spacing w:beforeLines="0" w:afterLines="0" w:line="360" w:lineRule="auto"/>
        <w:ind w:firstLine="422" w:firstLineChars="200"/>
        <w:rPr>
          <w:rFonts w:hint="eastAsia" w:cs="Times New Roman"/>
          <w:b/>
          <w:bCs w:val="0"/>
          <w:color w:val="000000" w:themeColor="text1"/>
          <w:sz w:val="21"/>
          <w:szCs w:val="21"/>
          <w:highlight w:val="none"/>
          <w:lang w:val="en-US" w:eastAsia="zh-CN"/>
          <w14:textFill>
            <w14:solidFill>
              <w14:schemeClr w14:val="tx1"/>
            </w14:solidFill>
          </w14:textFill>
        </w:rPr>
      </w:pPr>
      <w:r>
        <w:rPr>
          <w:rFonts w:hint="eastAsia" w:cs="Times New Roman"/>
          <w:b/>
          <w:bCs w:val="0"/>
          <w:color w:val="000000" w:themeColor="text1"/>
          <w:sz w:val="21"/>
          <w:szCs w:val="21"/>
          <w:highlight w:val="none"/>
          <w:lang w:val="en-US" w:eastAsia="zh-CN"/>
          <w14:textFill>
            <w14:solidFill>
              <w14:schemeClr w14:val="tx1"/>
            </w14:solidFill>
          </w14:textFill>
        </w:rPr>
        <w:t>（四）固体废物</w:t>
      </w:r>
    </w:p>
    <w:p w14:paraId="76DBE175">
      <w:pPr>
        <w:adjustRightInd/>
        <w:snapToGrid/>
        <w:spacing w:beforeLines="0" w:afterLines="0" w:line="360" w:lineRule="auto"/>
        <w:ind w:firstLine="420" w:firstLineChars="200"/>
        <w:rPr>
          <w:rFonts w:hint="eastAsia" w:cs="Times New Roman"/>
          <w:b w:val="0"/>
          <w:bCs/>
          <w:color w:val="000000" w:themeColor="text1"/>
          <w:sz w:val="21"/>
          <w:szCs w:val="21"/>
          <w:highlight w:val="none"/>
          <w:lang w:val="en-US" w:eastAsia="zh-CN"/>
          <w14:textFill>
            <w14:solidFill>
              <w14:schemeClr w14:val="tx1"/>
            </w14:solidFill>
          </w14:textFill>
        </w:rPr>
      </w:pPr>
      <w:r>
        <w:rPr>
          <w:rFonts w:hint="eastAsia" w:eastAsia="宋体" w:cs="Times New Roman"/>
          <w:b w:val="0"/>
          <w:bCs/>
          <w:color w:val="000000" w:themeColor="text1"/>
          <w:sz w:val="21"/>
          <w:szCs w:val="21"/>
          <w:highlight w:val="none"/>
          <w:lang w:val="en-US" w:eastAsia="zh-CN"/>
          <w14:textFill>
            <w14:solidFill>
              <w14:schemeClr w14:val="tx1"/>
            </w14:solidFill>
          </w14:textFill>
        </w:rPr>
        <w:t>本项目</w:t>
      </w:r>
      <w:r>
        <w:rPr>
          <w:rFonts w:hint="eastAsia" w:cs="Times New Roman"/>
          <w:b w:val="0"/>
          <w:bCs/>
          <w:color w:val="000000" w:themeColor="text1"/>
          <w:sz w:val="21"/>
          <w:szCs w:val="21"/>
          <w:highlight w:val="none"/>
          <w:lang w:val="en-US" w:eastAsia="zh-CN"/>
          <w14:textFill>
            <w14:solidFill>
              <w14:schemeClr w14:val="tx1"/>
            </w14:solidFill>
          </w14:textFill>
        </w:rPr>
        <w:t>不新增人员，不新增生活垃圾产生量。</w:t>
      </w:r>
      <w:r>
        <w:rPr>
          <w:rFonts w:hint="eastAsia" w:eastAsia="宋体" w:cs="Times New Roman"/>
          <w:b w:val="0"/>
          <w:bCs/>
          <w:color w:val="000000" w:themeColor="text1"/>
          <w:sz w:val="21"/>
          <w:szCs w:val="21"/>
          <w:highlight w:val="none"/>
          <w:lang w:val="en-US" w:eastAsia="zh-CN"/>
          <w14:textFill>
            <w14:solidFill>
              <w14:schemeClr w14:val="tx1"/>
            </w14:solidFill>
          </w14:textFill>
        </w:rPr>
        <w:t>产生的固体废物主要为废包装</w:t>
      </w:r>
      <w:r>
        <w:rPr>
          <w:rFonts w:hint="eastAsia" w:cs="Times New Roman"/>
          <w:b w:val="0"/>
          <w:bCs/>
          <w:color w:val="000000" w:themeColor="text1"/>
          <w:sz w:val="21"/>
          <w:szCs w:val="21"/>
          <w:highlight w:val="none"/>
          <w:lang w:val="en-US" w:eastAsia="zh-CN"/>
          <w14:textFill>
            <w14:solidFill>
              <w14:schemeClr w14:val="tx1"/>
            </w14:solidFill>
          </w14:textFill>
        </w:rPr>
        <w:t>袋</w:t>
      </w:r>
      <w:r>
        <w:rPr>
          <w:rFonts w:hint="eastAsia" w:eastAsia="宋体"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val="en-US" w:eastAsia="zh-CN"/>
          <w14:textFill>
            <w14:solidFill>
              <w14:schemeClr w14:val="tx1"/>
            </w14:solidFill>
          </w14:textFill>
        </w:rPr>
        <w:t>废反渗透膜、废布袋、污水站污泥、废润滑油及废润滑油桶。其中，企业进行污水处理站污泥的危废鉴定工作，经鉴定污泥属于一般固废，鉴别报告及专家意见见附件。鉴于本项目所用原辅料现有工程均使用，且污水处理站生产工艺均不发生变化，因此本次污泥按</w:t>
      </w:r>
      <w:r>
        <w:rPr>
          <w:rFonts w:hint="eastAsia" w:eastAsia="宋体" w:cs="Times New Roman"/>
          <w:b w:val="0"/>
          <w:bCs/>
          <w:color w:val="000000" w:themeColor="text1"/>
          <w:sz w:val="21"/>
          <w:szCs w:val="21"/>
          <w:highlight w:val="none"/>
          <w:lang w:val="en-US" w:eastAsia="zh-CN"/>
          <w14:textFill>
            <w14:solidFill>
              <w14:schemeClr w14:val="tx1"/>
            </w14:solidFill>
          </w14:textFill>
        </w:rPr>
        <w:t>一般工业固体废物</w:t>
      </w:r>
      <w:r>
        <w:rPr>
          <w:rFonts w:hint="eastAsia" w:cs="Times New Roman"/>
          <w:b w:val="0"/>
          <w:bCs/>
          <w:color w:val="000000" w:themeColor="text1"/>
          <w:sz w:val="21"/>
          <w:szCs w:val="21"/>
          <w:highlight w:val="none"/>
          <w:lang w:val="en-US" w:eastAsia="zh-CN"/>
          <w14:textFill>
            <w14:solidFill>
              <w14:schemeClr w14:val="tx1"/>
            </w14:solidFill>
          </w14:textFill>
        </w:rPr>
        <w:t>管理</w:t>
      </w:r>
      <w:r>
        <w:rPr>
          <w:rFonts w:hint="eastAsia" w:eastAsia="宋体"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val="en-US" w:eastAsia="zh-CN"/>
          <w14:textFill>
            <w14:solidFill>
              <w14:schemeClr w14:val="tx1"/>
            </w14:solidFill>
          </w14:textFill>
        </w:rPr>
        <w:t>除尘灰产生即回用，不经过贮存或堆积，现场直接返回原生产过程，不作为固体废物管理，不纳入一般工业固体废物统计。</w:t>
      </w:r>
    </w:p>
    <w:p w14:paraId="5AB79D22">
      <w:pPr>
        <w:adjustRightInd/>
        <w:snapToGrid/>
        <w:spacing w:beforeLines="0" w:afterLines="0" w:line="360" w:lineRule="auto"/>
        <w:ind w:firstLine="420" w:firstLineChars="200"/>
        <w:rPr>
          <w:rFonts w:hint="eastAsia"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（1）</w:t>
      </w:r>
      <w:r>
        <w:rPr>
          <w:rFonts w:hint="eastAsia" w:eastAsia="宋体" w:cs="Times New Roman"/>
          <w:b w:val="0"/>
          <w:bCs/>
          <w:color w:val="000000" w:themeColor="text1"/>
          <w:sz w:val="21"/>
          <w:szCs w:val="21"/>
          <w:highlight w:val="none"/>
          <w:lang w:val="en-US" w:eastAsia="zh-CN"/>
          <w14:textFill>
            <w14:solidFill>
              <w14:schemeClr w14:val="tx1"/>
            </w14:solidFill>
          </w14:textFill>
        </w:rPr>
        <w:t>一般工业固体废物</w:t>
      </w:r>
    </w:p>
    <w:p w14:paraId="465A4E76">
      <w:pPr>
        <w:adjustRightInd/>
        <w:snapToGrid/>
        <w:spacing w:beforeLines="0" w:afterLines="0" w:line="360" w:lineRule="auto"/>
        <w:ind w:firstLine="420" w:firstLineChars="200"/>
        <w:rPr>
          <w:rFonts w:hint="eastAsia" w:eastAsia="宋体" w:cs="Times New Roman"/>
          <w:b w:val="0"/>
          <w:bCs/>
          <w:color w:val="000000" w:themeColor="text1"/>
          <w:sz w:val="21"/>
          <w:szCs w:val="21"/>
          <w:highlight w:val="none"/>
          <w:lang w:val="en-US" w:eastAsia="zh-CN"/>
          <w14:textFill>
            <w14:solidFill>
              <w14:schemeClr w14:val="tx1"/>
            </w14:solidFill>
          </w14:textFill>
        </w:rPr>
      </w:pPr>
      <w:r>
        <w:rPr>
          <w:rFonts w:hint="eastAsia" w:eastAsia="宋体" w:cs="Times New Roman"/>
          <w:b w:val="0"/>
          <w:bCs/>
          <w:color w:val="000000" w:themeColor="text1"/>
          <w:sz w:val="21"/>
          <w:szCs w:val="21"/>
          <w:highlight w:val="none"/>
          <w:lang w:val="en-US" w:eastAsia="zh-CN"/>
          <w14:textFill>
            <w14:solidFill>
              <w14:schemeClr w14:val="tx1"/>
            </w14:solidFill>
          </w14:textFill>
        </w:rPr>
        <w:t>一般工业固体废物主要为废包装</w:t>
      </w:r>
      <w:r>
        <w:rPr>
          <w:rFonts w:hint="eastAsia" w:cs="Times New Roman"/>
          <w:b w:val="0"/>
          <w:bCs/>
          <w:color w:val="000000" w:themeColor="text1"/>
          <w:sz w:val="21"/>
          <w:szCs w:val="21"/>
          <w:highlight w:val="none"/>
          <w:lang w:val="en-US" w:eastAsia="zh-CN"/>
          <w14:textFill>
            <w14:solidFill>
              <w14:schemeClr w14:val="tx1"/>
            </w14:solidFill>
          </w14:textFill>
        </w:rPr>
        <w:t>袋</w:t>
      </w:r>
      <w:r>
        <w:rPr>
          <w:rFonts w:hint="eastAsia" w:eastAsia="宋体"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val="en-US" w:eastAsia="zh-CN"/>
          <w14:textFill>
            <w14:solidFill>
              <w14:schemeClr w14:val="tx1"/>
            </w14:solidFill>
          </w14:textFill>
        </w:rPr>
        <w:t>废反渗透膜、废布袋、污泥</w:t>
      </w:r>
      <w:r>
        <w:rPr>
          <w:rFonts w:hint="eastAsia" w:eastAsia="宋体" w:cs="Times New Roman"/>
          <w:b w:val="0"/>
          <w:bCs/>
          <w:color w:val="000000" w:themeColor="text1"/>
          <w:sz w:val="21"/>
          <w:szCs w:val="21"/>
          <w:highlight w:val="none"/>
          <w:lang w:val="en-US" w:eastAsia="zh-CN"/>
          <w14:textFill>
            <w14:solidFill>
              <w14:schemeClr w14:val="tx1"/>
            </w14:solidFill>
          </w14:textFill>
        </w:rPr>
        <w:t>。</w:t>
      </w:r>
    </w:p>
    <w:p w14:paraId="47D4F665">
      <w:pPr>
        <w:adjustRightInd/>
        <w:snapToGrid/>
        <w:spacing w:beforeLines="0" w:afterLines="0" w:line="360" w:lineRule="auto"/>
        <w:ind w:firstLine="420" w:firstLineChars="200"/>
        <w:rPr>
          <w:rFonts w:hint="eastAsia" w:eastAsia="宋体" w:cs="Times New Roman"/>
          <w:b w:val="0"/>
          <w:bCs/>
          <w:color w:val="000000" w:themeColor="text1"/>
          <w:sz w:val="21"/>
          <w:szCs w:val="21"/>
          <w:highlight w:val="none"/>
          <w:lang w:val="en-US" w:eastAsia="zh-CN"/>
          <w14:textFill>
            <w14:solidFill>
              <w14:schemeClr w14:val="tx1"/>
            </w14:solidFill>
          </w14:textFill>
        </w:rPr>
      </w:pPr>
      <w:r>
        <w:rPr>
          <w:rFonts w:hint="eastAsia" w:eastAsia="宋体" w:cs="Times New Roman"/>
          <w:b w:val="0"/>
          <w:bCs/>
          <w:color w:val="000000" w:themeColor="text1"/>
          <w:sz w:val="21"/>
          <w:szCs w:val="21"/>
          <w:highlight w:val="none"/>
          <w:lang w:val="en-US" w:eastAsia="zh-CN"/>
          <w14:textFill>
            <w14:solidFill>
              <w14:schemeClr w14:val="tx1"/>
            </w14:solidFill>
          </w14:textFill>
        </w:rPr>
        <w:t>废包装：原辅料脱包装过程废包装材料</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，根据原辅材料年用量、单袋净重、包装损耗率核算；本项目原辅材料总用量约284.5t/a，单袋/箱平均净重25 kg，包装损耗率按0.1% 计，核算得废包装袋产生量约为0.28</w:t>
      </w:r>
      <w:r>
        <w:rPr>
          <w:rFonts w:hint="eastAsia" w:eastAsia="宋体" w:cs="Times New Roman"/>
          <w:b w:val="0"/>
          <w:bCs/>
          <w:color w:val="000000" w:themeColor="text1"/>
          <w:sz w:val="21"/>
          <w:szCs w:val="21"/>
          <w:highlight w:val="none"/>
          <w:lang w:val="en-US" w:eastAsia="zh-CN"/>
          <w14:textFill>
            <w14:solidFill>
              <w14:schemeClr w14:val="tx1"/>
            </w14:solidFill>
          </w14:textFill>
        </w:rPr>
        <w:t>t/a，统一收集后外售。</w:t>
      </w:r>
    </w:p>
    <w:p w14:paraId="56C1D9CD">
      <w:pPr>
        <w:adjustRightInd/>
        <w:snapToGrid/>
        <w:spacing w:beforeLines="0" w:afterLines="0" w:line="360" w:lineRule="auto"/>
        <w:ind w:firstLine="420" w:firstLineChars="200"/>
        <w:rPr>
          <w:rFonts w:hint="eastAsia"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废反渗透膜：</w:t>
      </w:r>
      <w:r>
        <w:rPr>
          <w:rFonts w:hint="eastAsia" w:eastAsia="宋体" w:cs="Times New Roman"/>
          <w:b w:val="0"/>
          <w:bCs/>
          <w:color w:val="000000" w:themeColor="text1"/>
          <w:sz w:val="21"/>
          <w:szCs w:val="21"/>
          <w:highlight w:val="none"/>
          <w:lang w:val="en-US" w:eastAsia="zh-CN"/>
          <w14:textFill>
            <w14:solidFill>
              <w14:schemeClr w14:val="tx1"/>
            </w14:solidFill>
          </w14:textFill>
        </w:rPr>
        <w:t>纯水制备时会产生</w:t>
      </w:r>
      <w:r>
        <w:rPr>
          <w:rFonts w:hint="eastAsia" w:cs="Times New Roman"/>
          <w:b w:val="0"/>
          <w:bCs/>
          <w:color w:val="000000" w:themeColor="text1"/>
          <w:sz w:val="21"/>
          <w:szCs w:val="21"/>
          <w:highlight w:val="none"/>
          <w:lang w:val="en-US" w:eastAsia="zh-CN"/>
          <w14:textFill>
            <w14:solidFill>
              <w14:schemeClr w14:val="tx1"/>
            </w14:solidFill>
          </w14:textFill>
        </w:rPr>
        <w:t>废反渗透膜</w:t>
      </w:r>
      <w:r>
        <w:rPr>
          <w:rFonts w:hint="eastAsia" w:eastAsia="宋体"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val="en-US" w:eastAsia="zh-CN"/>
          <w14:textFill>
            <w14:solidFill>
              <w14:schemeClr w14:val="tx1"/>
            </w14:solidFill>
          </w14:textFill>
        </w:rPr>
        <w:t>本项目纯水使用量1380t/a，</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根据设备厂家技术手册废反渗透膜产生量约为0.2t/a</w:t>
      </w:r>
      <w:r>
        <w:rPr>
          <w:rFonts w:hint="eastAsia" w:eastAsia="宋体" w:cs="Times New Roman"/>
          <w:b w:val="0"/>
          <w:bCs/>
          <w:color w:val="000000" w:themeColor="text1"/>
          <w:sz w:val="21"/>
          <w:szCs w:val="21"/>
          <w:highlight w:val="none"/>
          <w:lang w:val="en-US" w:eastAsia="zh-CN"/>
          <w14:textFill>
            <w14:solidFill>
              <w14:schemeClr w14:val="tx1"/>
            </w14:solidFill>
          </w14:textFill>
        </w:rPr>
        <w:t>，统一收集后</w:t>
      </w:r>
      <w:r>
        <w:rPr>
          <w:rFonts w:hint="eastAsia" w:cs="Times New Roman"/>
          <w:b w:val="0"/>
          <w:bCs/>
          <w:color w:val="000000" w:themeColor="text1"/>
          <w:sz w:val="21"/>
          <w:szCs w:val="21"/>
          <w:highlight w:val="none"/>
          <w:lang w:val="en-US" w:eastAsia="zh-CN"/>
          <w14:textFill>
            <w14:solidFill>
              <w14:schemeClr w14:val="tx1"/>
            </w14:solidFill>
          </w14:textFill>
        </w:rPr>
        <w:t>定期由厂家回收利用</w:t>
      </w:r>
      <w:r>
        <w:rPr>
          <w:rFonts w:hint="eastAsia" w:eastAsia="宋体" w:cs="Times New Roman"/>
          <w:b w:val="0"/>
          <w:bCs/>
          <w:color w:val="000000" w:themeColor="text1"/>
          <w:sz w:val="21"/>
          <w:szCs w:val="21"/>
          <w:highlight w:val="none"/>
          <w:lang w:val="en-US" w:eastAsia="zh-CN"/>
          <w14:textFill>
            <w14:solidFill>
              <w14:schemeClr w14:val="tx1"/>
            </w14:solidFill>
          </w14:textFill>
        </w:rPr>
        <w:t>。</w:t>
      </w:r>
    </w:p>
    <w:p w14:paraId="79AF07F9">
      <w:pPr>
        <w:adjustRightInd/>
        <w:snapToGrid/>
        <w:spacing w:beforeLines="0" w:afterLines="0" w:line="360" w:lineRule="auto"/>
        <w:ind w:firstLine="420" w:firstLineChars="200"/>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废布袋：</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袋除尘器滤袋老化、破损定期更换产生</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根据设备厂家技术手册，本项目布袋除尘器滤袋</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年消耗100</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条，单条滤袋重量约</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0.5</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kg</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则废布袋年产生量为</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0.05t/a，</w:t>
      </w:r>
      <w:r>
        <w:rPr>
          <w:rFonts w:hint="eastAsia" w:cs="Times New Roman"/>
          <w:b w:val="0"/>
          <w:bCs/>
          <w:color w:val="000000" w:themeColor="text1"/>
          <w:sz w:val="21"/>
          <w:szCs w:val="21"/>
          <w:highlight w:val="none"/>
          <w:lang w:val="en-US" w:eastAsia="zh-CN"/>
          <w14:textFill>
            <w14:solidFill>
              <w14:schemeClr w14:val="tx1"/>
            </w14:solidFill>
          </w14:textFill>
        </w:rPr>
        <w:t>统一收集后定期由厂家回收利用</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p>
    <w:p w14:paraId="38F3C39F">
      <w:pPr>
        <w:adjustRightInd/>
        <w:snapToGrid/>
        <w:spacing w:beforeLines="0" w:afterLines="0" w:line="360" w:lineRule="auto"/>
        <w:ind w:firstLine="420" w:firstLineChars="200"/>
        <w:rPr>
          <w:rFonts w:hint="eastAsia"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污泥：本项目新增废水量5.49m</w:t>
      </w:r>
      <w:r>
        <w:rPr>
          <w:rFonts w:hint="eastAsia" w:cs="Times New Roman"/>
          <w:b w:val="0"/>
          <w:bCs/>
          <w:color w:val="000000" w:themeColor="text1"/>
          <w:sz w:val="21"/>
          <w:szCs w:val="21"/>
          <w:highlight w:val="none"/>
          <w:vertAlign w:val="superscript"/>
          <w:lang w:val="en-US" w:eastAsia="zh-CN"/>
          <w14:textFill>
            <w14:solidFill>
              <w14:schemeClr w14:val="tx1"/>
            </w14:solidFill>
          </w14:textFill>
        </w:rPr>
        <w:t>3</w:t>
      </w:r>
      <w:r>
        <w:rPr>
          <w:rFonts w:hint="eastAsia" w:cs="Times New Roman"/>
          <w:b w:val="0"/>
          <w:bCs/>
          <w:color w:val="000000" w:themeColor="text1"/>
          <w:sz w:val="21"/>
          <w:szCs w:val="21"/>
          <w:highlight w:val="none"/>
          <w:lang w:val="en-US" w:eastAsia="zh-CN"/>
          <w14:textFill>
            <w14:solidFill>
              <w14:schemeClr w14:val="tx1"/>
            </w14:solidFill>
          </w14:textFill>
        </w:rPr>
        <w:t>/d，增加污泥量公式为：平均进水COD浓度（换算成吨/m</w:t>
      </w:r>
      <w:r>
        <w:rPr>
          <w:rFonts w:hint="eastAsia" w:cs="Times New Roman"/>
          <w:b w:val="0"/>
          <w:bCs/>
          <w:color w:val="000000" w:themeColor="text1"/>
          <w:sz w:val="21"/>
          <w:szCs w:val="21"/>
          <w:highlight w:val="none"/>
          <w:vertAlign w:val="superscript"/>
          <w:lang w:val="en-US" w:eastAsia="zh-CN"/>
          <w14:textFill>
            <w14:solidFill>
              <w14:schemeClr w14:val="tx1"/>
            </w14:solidFill>
          </w14:textFill>
        </w:rPr>
        <w:t>3</w:t>
      </w:r>
      <w:r>
        <w:rPr>
          <w:rFonts w:hint="eastAsia" w:cs="Times New Roman"/>
          <w:b w:val="0"/>
          <w:bCs/>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val="en-US" w:eastAsia="zh-CN"/>
          <w14:textFill>
            <w14:solidFill>
              <w14:schemeClr w14:val="tx1"/>
            </w14:solidFill>
          </w14:textFill>
        </w:rPr>
        <w:t>日新增水量×0.7×0.3（折干污泥量）×300天；新增废水平均进水COD浓度值约为4267mg/L，则新增产生污泥1.48t/a，经吨包收集后，暂存于厂内一般固废库，</w:t>
      </w:r>
      <w:r>
        <w:rPr>
          <w:rFonts w:hint="eastAsia" w:eastAsia="宋体" w:cs="Times New Roman"/>
          <w:color w:val="000000" w:themeColor="text1"/>
          <w:spacing w:val="0"/>
          <w:w w:val="100"/>
          <w:position w:val="0"/>
          <w:sz w:val="21"/>
          <w:szCs w:val="21"/>
          <w:highlight w:val="none"/>
          <w:lang w:val="en-US" w:eastAsia="zh-CN"/>
          <w14:textFill>
            <w14:solidFill>
              <w14:schemeClr w14:val="tx1"/>
            </w14:solidFill>
          </w14:textFill>
        </w:rPr>
        <w:t>定期</w:t>
      </w:r>
      <w:r>
        <w:rPr>
          <w:rFonts w:hint="eastAsia" w:cs="Times New Roman"/>
          <w:color w:val="000000" w:themeColor="text1"/>
          <w:spacing w:val="0"/>
          <w:w w:val="100"/>
          <w:position w:val="0"/>
          <w:sz w:val="21"/>
          <w:szCs w:val="21"/>
          <w:highlight w:val="none"/>
          <w:lang w:val="en-US" w:eastAsia="zh-CN"/>
          <w14:textFill>
            <w14:solidFill>
              <w14:schemeClr w14:val="tx1"/>
            </w14:solidFill>
          </w14:textFill>
        </w:rPr>
        <w:t>交有利用能力的单位处置后综合利</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用</w:t>
      </w:r>
      <w:r>
        <w:rPr>
          <w:rFonts w:hint="eastAsia" w:cs="Times New Roman"/>
          <w:b w:val="0"/>
          <w:bCs/>
          <w:color w:val="000000" w:themeColor="text1"/>
          <w:sz w:val="21"/>
          <w:szCs w:val="21"/>
          <w:highlight w:val="none"/>
          <w:lang w:val="en-US" w:eastAsia="zh-CN"/>
          <w14:textFill>
            <w14:solidFill>
              <w14:schemeClr w14:val="tx1"/>
            </w14:solidFill>
          </w14:textFill>
        </w:rPr>
        <w:t>。</w:t>
      </w:r>
    </w:p>
    <w:p w14:paraId="50624D7C">
      <w:pPr>
        <w:adjustRightInd/>
        <w:snapToGrid/>
        <w:spacing w:beforeLines="0" w:afterLines="0" w:line="360" w:lineRule="auto"/>
        <w:ind w:firstLine="420" w:firstLineChars="200"/>
        <w:rPr>
          <w:rFonts w:hint="eastAsia" w:eastAsia="宋体" w:cs="Times New Roman"/>
          <w:b w:val="0"/>
          <w:bCs/>
          <w:color w:val="000000" w:themeColor="text1"/>
          <w:sz w:val="21"/>
          <w:szCs w:val="21"/>
          <w:highlight w:val="none"/>
          <w:lang w:val="en-US" w:eastAsia="zh-CN"/>
          <w14:textFill>
            <w14:solidFill>
              <w14:schemeClr w14:val="tx1"/>
            </w14:solidFill>
          </w14:textFill>
        </w:rPr>
      </w:pPr>
      <w:r>
        <w:rPr>
          <w:rFonts w:hint="eastAsia" w:eastAsia="宋体" w:cs="Times New Roman"/>
          <w:b w:val="0"/>
          <w:bCs/>
          <w:color w:val="000000" w:themeColor="text1"/>
          <w:sz w:val="21"/>
          <w:szCs w:val="21"/>
          <w:highlight w:val="none"/>
          <w:lang w:val="en-US" w:eastAsia="zh-CN"/>
          <w14:textFill>
            <w14:solidFill>
              <w14:schemeClr w14:val="tx1"/>
            </w14:solidFill>
          </w14:textFill>
        </w:rPr>
        <w:t>（2）危险废物</w:t>
      </w:r>
    </w:p>
    <w:p w14:paraId="3143D8D3">
      <w:pPr>
        <w:adjustRightInd/>
        <w:snapToGrid/>
        <w:spacing w:beforeLines="0" w:afterLines="0" w:line="360" w:lineRule="auto"/>
        <w:ind w:firstLine="420" w:firstLineChars="200"/>
        <w:rPr>
          <w:rFonts w:hint="eastAsia"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危险废物包括：设备维护过程中使用润滑油产生的废润滑油及废润滑油桶</w:t>
      </w:r>
      <w:r>
        <w:rPr>
          <w:rFonts w:hint="eastAsia" w:eastAsia="宋体" w:cs="Times New Roman"/>
          <w:b w:val="0"/>
          <w:bCs/>
          <w:color w:val="000000" w:themeColor="text1"/>
          <w:sz w:val="21"/>
          <w:szCs w:val="21"/>
          <w:highlight w:val="none"/>
          <w:lang w:val="en-US" w:eastAsia="zh-CN"/>
          <w14:textFill>
            <w14:solidFill>
              <w14:schemeClr w14:val="tx1"/>
            </w14:solidFill>
          </w14:textFill>
        </w:rPr>
        <w:t>。</w:t>
      </w:r>
    </w:p>
    <w:p w14:paraId="7E534D55">
      <w:pPr>
        <w:adjustRightInd/>
        <w:snapToGrid/>
        <w:spacing w:beforeLines="0" w:afterLines="0" w:line="360" w:lineRule="auto"/>
        <w:ind w:firstLine="420" w:firstLineChars="200"/>
        <w:rPr>
          <w:rFonts w:hint="eastAsia"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废</w:t>
      </w:r>
      <w:r>
        <w:rPr>
          <w:rFonts w:hint="eastAsia" w:cs="Times New Roman"/>
          <w:b w:val="0"/>
          <w:bCs/>
          <w:color w:val="000000" w:themeColor="text1"/>
          <w:sz w:val="21"/>
          <w:szCs w:val="21"/>
          <w:highlight w:val="none"/>
          <w:lang w:val="en-US" w:eastAsia="zh-CN"/>
          <w14:textFill>
            <w14:solidFill>
              <w14:schemeClr w14:val="tx1"/>
            </w14:solidFill>
          </w14:textFill>
        </w:rPr>
        <w:t>润滑</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油：</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本项目设备规模小，润滑油总消耗量约 0.05 t/a，按行业常规损耗/更换率20%核算，</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设备维护废</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润滑</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油产生量</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约</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为0.0</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t/a，根据《</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国</w:t>
      </w:r>
      <w:r>
        <w:rPr>
          <w:rFonts w:hint="eastAsia" w:cs="Times New Roman"/>
          <w:b w:val="0"/>
          <w:bCs/>
          <w:color w:val="000000" w:themeColor="text1"/>
          <w:sz w:val="21"/>
          <w:szCs w:val="21"/>
          <w:highlight w:val="none"/>
          <w:lang w:val="en-US" w:eastAsia="zh-CN"/>
          <w14:textFill>
            <w14:solidFill>
              <w14:schemeClr w14:val="tx1"/>
            </w14:solidFill>
          </w14:textFill>
        </w:rPr>
        <w:t>家危险废物名录（2025年版）</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》可知，废</w:t>
      </w:r>
      <w:r>
        <w:rPr>
          <w:rFonts w:hint="eastAsia" w:cs="Times New Roman"/>
          <w:b w:val="0"/>
          <w:bCs/>
          <w:color w:val="000000" w:themeColor="text1"/>
          <w:sz w:val="21"/>
          <w:szCs w:val="21"/>
          <w:highlight w:val="none"/>
          <w:lang w:val="en-US" w:eastAsia="zh-CN"/>
          <w14:textFill>
            <w14:solidFill>
              <w14:schemeClr w14:val="tx1"/>
            </w14:solidFill>
          </w14:textFill>
        </w:rPr>
        <w:t>润滑</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油属于HW08废矿物油与含矿物油废物，废物代码900-2</w:t>
      </w:r>
      <w:r>
        <w:rPr>
          <w:rFonts w:hint="eastAsia" w:cs="Times New Roman"/>
          <w:b w:val="0"/>
          <w:bCs/>
          <w:color w:val="000000" w:themeColor="text1"/>
          <w:sz w:val="21"/>
          <w:szCs w:val="21"/>
          <w:highlight w:val="none"/>
          <w:lang w:val="en-US" w:eastAsia="zh-CN"/>
          <w14:textFill>
            <w14:solidFill>
              <w14:schemeClr w14:val="tx1"/>
            </w14:solidFill>
          </w14:textFill>
        </w:rPr>
        <w:t>17</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-08，收集后暂存于</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危废暂存间</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，定期委托有资质单位处置</w:t>
      </w:r>
      <w:r>
        <w:rPr>
          <w:rFonts w:hint="eastAsia" w:cs="Times New Roman"/>
          <w:b w:val="0"/>
          <w:bCs/>
          <w:color w:val="000000" w:themeColor="text1"/>
          <w:sz w:val="21"/>
          <w:szCs w:val="21"/>
          <w:highlight w:val="none"/>
          <w:lang w:val="en-US" w:eastAsia="zh-CN"/>
          <w14:textFill>
            <w14:solidFill>
              <w14:schemeClr w14:val="tx1"/>
            </w14:solidFill>
          </w14:textFill>
        </w:rPr>
        <w:t>。</w:t>
      </w:r>
    </w:p>
    <w:p w14:paraId="7B2CB7C2">
      <w:pPr>
        <w:pStyle w:val="2"/>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废润滑</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油</w:t>
      </w:r>
      <w:r>
        <w:rPr>
          <w:rFonts w:hint="eastAsia" w:cs="Times New Roman"/>
          <w:b w:val="0"/>
          <w:bCs/>
          <w:color w:val="000000" w:themeColor="text1"/>
          <w:sz w:val="21"/>
          <w:szCs w:val="21"/>
          <w:highlight w:val="none"/>
          <w:lang w:val="en-US" w:eastAsia="zh-CN"/>
          <w14:textFill>
            <w14:solidFill>
              <w14:schemeClr w14:val="tx1"/>
            </w14:solidFill>
          </w14:textFill>
        </w:rPr>
        <w:t>桶</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为润滑油包装容器，规格20kg</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桶。结合润滑油年消耗量0.05 t/a，全年产生废油桶约3只，单只桶重约0.7kg，合计产生量</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约为</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0.002 t/a</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，根据《国家危险废物名录（202</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年版）》可知，</w:t>
      </w:r>
      <w:r>
        <w:rPr>
          <w:rFonts w:hint="eastAsia" w:cs="Times New Roman"/>
          <w:b w:val="0"/>
          <w:bCs/>
          <w:color w:val="000000" w:themeColor="text1"/>
          <w:sz w:val="21"/>
          <w:szCs w:val="21"/>
          <w:highlight w:val="none"/>
          <w:lang w:val="en-US" w:eastAsia="zh-CN"/>
          <w14:textFill>
            <w14:solidFill>
              <w14:schemeClr w14:val="tx1"/>
            </w14:solidFill>
          </w14:textFill>
        </w:rPr>
        <w:t>废润滑</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油</w:t>
      </w:r>
      <w:r>
        <w:rPr>
          <w:rFonts w:hint="eastAsia" w:cs="Times New Roman"/>
          <w:b w:val="0"/>
          <w:bCs/>
          <w:color w:val="000000" w:themeColor="text1"/>
          <w:sz w:val="21"/>
          <w:szCs w:val="21"/>
          <w:highlight w:val="none"/>
          <w:lang w:val="en-US" w:eastAsia="zh-CN"/>
          <w14:textFill>
            <w14:solidFill>
              <w14:schemeClr w14:val="tx1"/>
            </w14:solidFill>
          </w14:textFill>
        </w:rPr>
        <w:t>桶</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属于HW08废矿物油与含矿物油废物，废物代码900-249-08，收集后暂存于</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危废暂存间</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，定期委托有资质单位处置。</w:t>
      </w:r>
    </w:p>
    <w:p w14:paraId="4A8D172A">
      <w:pPr>
        <w:ind w:firstLine="420" w:firstLineChars="200"/>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本项目位于</w:t>
      </w:r>
      <w: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石家庄高新区化工中路100号石家庄东华金龙化工有限公司厂区内</w:t>
      </w:r>
      <w:r>
        <w:rPr>
          <w:rFonts w:hint="default" w:ascii="Times New Roman" w:hAnsi="Times New Roman" w:eastAsia="宋体" w:cs="Times New Roman"/>
          <w:color w:val="000000" w:themeColor="text1"/>
          <w:sz w:val="21"/>
          <w:szCs w:val="21"/>
          <w:highlight w:val="none"/>
          <w14:textFill>
            <w14:solidFill>
              <w14:schemeClr w14:val="tx1"/>
            </w14:solidFill>
          </w14:textFill>
        </w:rPr>
        <w:t>，项目选址不在生态保护红线范围内，工程建设符合国家产业政策和生态环境分区管控要求；项目施工期和运营期采取有效的污染防治措施，对周围环境影响较小，在认真落实各项环保措施的条件下，环境风险可防控，从环境保护的角度分析，项目建设可行。</w:t>
      </w:r>
    </w:p>
    <w:p w14:paraId="191B0233">
      <w:pPr>
        <w:pStyle w:val="2"/>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C0638E"/>
    <w:multiLevelType w:val="singleLevel"/>
    <w:tmpl w:val="C7C0638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76EB2"/>
    <w:rsid w:val="3A231125"/>
    <w:rsid w:val="6C533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书正文"/>
    <w:basedOn w:val="1"/>
    <w:qFormat/>
    <w:uiPriority w:val="0"/>
    <w:pPr>
      <w:spacing w:line="500" w:lineRule="exact"/>
      <w:ind w:firstLine="640" w:firstLineChars="200"/>
    </w:pPr>
  </w:style>
  <w:style w:type="paragraph" w:styleId="3">
    <w:name w:val="toc 2"/>
    <w:basedOn w:val="1"/>
    <w:next w:val="1"/>
    <w:semiHidden/>
    <w:qFormat/>
    <w:uiPriority w:val="0"/>
    <w:pPr>
      <w:ind w:left="420" w:leftChars="200"/>
    </w:pPr>
  </w:style>
  <w:style w:type="table" w:styleId="5">
    <w:name w:val="Table Grid"/>
    <w:basedOn w:val="4"/>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basedOn w:val="8"/>
    <w:qFormat/>
    <w:uiPriority w:val="0"/>
    <w:pPr>
      <w:widowControl w:val="0"/>
      <w:autoSpaceDE w:val="0"/>
      <w:autoSpaceDN w:val="0"/>
      <w:spacing w:line="240" w:lineRule="auto"/>
      <w:jc w:val="left"/>
      <w:textAlignment w:val="auto"/>
    </w:pPr>
    <w:rPr>
      <w:rFonts w:hint="eastAsia" w:ascii="宋体"/>
      <w:sz w:val="24"/>
      <w:szCs w:val="24"/>
    </w:rPr>
  </w:style>
  <w:style w:type="paragraph" w:customStyle="1" w:styleId="8">
    <w:name w:val="纯文本1"/>
    <w:basedOn w:val="1"/>
    <w:qFormat/>
    <w:uiPriority w:val="99"/>
    <w:pPr>
      <w:autoSpaceDE w:val="0"/>
      <w:autoSpaceDN w:val="0"/>
      <w:adjustRightInd w:val="0"/>
      <w:snapToGrid w:val="0"/>
      <w:spacing w:beforeLines="50"/>
      <w:ind w:firstLine="480"/>
      <w:jc w:val="both"/>
      <w:textAlignment w:val="baseline"/>
    </w:pPr>
    <w:rPr>
      <w:rFonts w:ascii="宋体" w:hAnsi="宋体"/>
      <w:color w:val="000000"/>
      <w:kern w:val="0"/>
    </w:rPr>
  </w:style>
  <w:style w:type="paragraph" w:customStyle="1" w:styleId="9">
    <w:name w:val="表格字体"/>
    <w:next w:val="1"/>
    <w:qFormat/>
    <w:uiPriority w:val="0"/>
    <w:pPr>
      <w:spacing w:line="360" w:lineRule="auto"/>
      <w:jc w:val="center"/>
    </w:pPr>
    <w:rPr>
      <w:rFonts w:ascii="Times New Roman" w:hAnsi="Times New Roman" w:eastAsia="宋体" w:cs="Times New Roman"/>
      <w:kern w:val="2"/>
      <w:sz w:val="21"/>
      <w:szCs w:val="22"/>
      <w:lang w:val="en-US" w:eastAsia="zh-CN" w:bidi="ar-SA"/>
    </w:rPr>
  </w:style>
  <w:style w:type="paragraph" w:customStyle="1" w:styleId="10">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2026-08-07T06:26:08Z</dcterms:created>
  <dc:creator>X.L.Schillor</dc:creator>
  <cp:lastModifiedBy>席绍添</cp:lastModifiedBy>
  <dcterms:modified xsi:type="dcterms:W3CDTF">2026-08-07T06:49:02Z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eyJoZGlkIjoiNjRkODU1MDMwNjdhNTM4YTAzMzliOGJiZmY0YTI3YjgiLCJ1c2VySWQiOiIxNzEwNjc5MTU1In0=</vt:lpwstr>
  </property>
  <property fmtid="{D5CDD505-2E9C-101B-9397-08002B2CF9AE}" pid="4" name="ICV">
    <vt:lpwstr>22F01C65FC424B17AEEDAF6F04857A34_12</vt:lpwstr>
  </property>
</Properties>
</file>