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65C81E">
      <w:pPr>
        <w:spacing w:beforeLines="0" w:line="240" w:lineRule="auto"/>
        <w:jc w:val="both"/>
        <w:rPr>
          <w:rFonts w:ascii="仿宋_GB2312" w:hAnsi="仿宋_GB2312" w:eastAsia="仿宋_GB2312" w:cs="仿宋_GB2312"/>
          <w:color w:val="auto"/>
          <w:sz w:val="36"/>
          <w:szCs w:val="36"/>
          <w:highlight w:val="none"/>
        </w:rPr>
      </w:pPr>
    </w:p>
    <w:p w14:paraId="06D621CF">
      <w:pPr>
        <w:spacing w:beforeLines="0" w:line="240" w:lineRule="auto"/>
        <w:jc w:val="center"/>
        <w:rPr>
          <w:rFonts w:ascii="仿宋_GB2312" w:hAnsi="仿宋_GB2312" w:eastAsia="仿宋_GB2312" w:cs="仿宋_GB2312"/>
          <w:color w:val="auto"/>
          <w:sz w:val="36"/>
          <w:szCs w:val="36"/>
          <w:highlight w:val="none"/>
        </w:rPr>
      </w:pPr>
    </w:p>
    <w:p w14:paraId="5E396FCF">
      <w:pPr>
        <w:spacing w:beforeLines="0" w:line="240" w:lineRule="auto"/>
        <w:jc w:val="center"/>
        <w:rPr>
          <w:rFonts w:ascii="仿宋_GB2312" w:hAnsi="仿宋_GB2312" w:eastAsia="仿宋_GB2312" w:cs="仿宋_GB2312"/>
          <w:color w:val="auto"/>
          <w:sz w:val="36"/>
          <w:szCs w:val="36"/>
          <w:highlight w:val="none"/>
        </w:rPr>
      </w:pPr>
    </w:p>
    <w:p w14:paraId="32E94FE9">
      <w:pPr>
        <w:spacing w:beforeLines="0" w:line="240" w:lineRule="auto"/>
        <w:jc w:val="center"/>
        <w:rPr>
          <w:rFonts w:hint="eastAsia" w:ascii="仿宋_GB2312" w:hAnsi="仿宋_GB2312" w:eastAsia="仿宋_GB2312" w:cs="仿宋_GB2312"/>
          <w:color w:val="auto"/>
          <w:sz w:val="36"/>
          <w:szCs w:val="36"/>
          <w:highlight w:val="none"/>
        </w:rPr>
      </w:pPr>
    </w:p>
    <w:p w14:paraId="0BB1A5C0">
      <w:pPr>
        <w:adjustRightInd/>
        <w:snapToGrid/>
        <w:spacing w:beforeLines="0" w:line="240" w:lineRule="auto"/>
        <w:jc w:val="center"/>
        <w:outlineLvl w:val="0"/>
        <w:rPr>
          <w:rFonts w:hint="eastAsia" w:ascii="方正小标宋_GBK" w:eastAsia="方正小标宋_GBK"/>
          <w:bCs/>
          <w:color w:val="auto"/>
          <w:sz w:val="72"/>
          <w:szCs w:val="72"/>
          <w:highlight w:val="none"/>
        </w:rPr>
      </w:pPr>
      <w:r>
        <w:rPr>
          <w:rFonts w:hint="eastAsia" w:ascii="方正小标宋_GBK" w:eastAsia="方正小标宋_GBK"/>
          <w:bCs/>
          <w:color w:val="auto"/>
          <w:sz w:val="72"/>
          <w:szCs w:val="72"/>
          <w:highlight w:val="none"/>
        </w:rPr>
        <w:t>建设项目环境影响报告表</w:t>
      </w:r>
    </w:p>
    <w:p w14:paraId="01B74684">
      <w:pPr>
        <w:adjustRightInd/>
        <w:snapToGrid/>
        <w:spacing w:before="0" w:beforeLines="0" w:line="240" w:lineRule="auto"/>
        <w:jc w:val="center"/>
        <w:rPr>
          <w:rFonts w:hint="eastAsia" w:ascii="楷体_GB2312" w:eastAsia="楷体_GB2312"/>
          <w:bCs/>
          <w:color w:val="auto"/>
          <w:sz w:val="44"/>
          <w:szCs w:val="44"/>
          <w:highlight w:val="none"/>
        </w:rPr>
      </w:pPr>
      <w:r>
        <w:rPr>
          <w:rFonts w:hint="eastAsia" w:ascii="楷体_GB2312" w:eastAsia="楷体_GB2312"/>
          <w:bCs/>
          <w:color w:val="auto"/>
          <w:sz w:val="44"/>
          <w:szCs w:val="44"/>
          <w:highlight w:val="none"/>
        </w:rPr>
        <w:t>（污染影响类）</w:t>
      </w:r>
    </w:p>
    <w:p w14:paraId="6FB07C4F">
      <w:pPr>
        <w:bidi w:val="0"/>
        <w:spacing w:beforeLines="0" w:line="240" w:lineRule="auto"/>
        <w:jc w:val="center"/>
        <w:rPr>
          <w:color w:val="auto"/>
          <w:highlight w:val="none"/>
        </w:rPr>
      </w:pPr>
    </w:p>
    <w:p w14:paraId="18EDCE2D">
      <w:pPr>
        <w:bidi w:val="0"/>
        <w:spacing w:beforeLines="0" w:line="240" w:lineRule="auto"/>
        <w:jc w:val="center"/>
        <w:rPr>
          <w:color w:val="auto"/>
          <w:highlight w:val="none"/>
        </w:rPr>
      </w:pPr>
    </w:p>
    <w:p w14:paraId="1C28AD56">
      <w:pPr>
        <w:bidi w:val="0"/>
        <w:spacing w:beforeLines="0" w:line="240" w:lineRule="auto"/>
        <w:jc w:val="center"/>
        <w:rPr>
          <w:color w:val="auto"/>
          <w:highlight w:val="none"/>
        </w:rPr>
      </w:pPr>
    </w:p>
    <w:p w14:paraId="3C6FDDFA">
      <w:pPr>
        <w:spacing w:beforeLines="0" w:line="240" w:lineRule="auto"/>
        <w:jc w:val="center"/>
        <w:rPr>
          <w:rFonts w:eastAsia="仿宋"/>
          <w:color w:val="auto"/>
          <w:sz w:val="52"/>
          <w:szCs w:val="52"/>
          <w:highlight w:val="none"/>
        </w:rPr>
      </w:pPr>
    </w:p>
    <w:p w14:paraId="71964465">
      <w:pPr>
        <w:spacing w:beforeLines="0" w:line="240" w:lineRule="auto"/>
        <w:ind w:firstLine="0"/>
        <w:jc w:val="center"/>
        <w:rPr>
          <w:rFonts w:eastAsia="仿宋"/>
          <w:color w:val="auto"/>
          <w:sz w:val="44"/>
          <w:szCs w:val="44"/>
          <w:highlight w:val="none"/>
        </w:rPr>
      </w:pPr>
    </w:p>
    <w:p w14:paraId="42B962E0">
      <w:pPr>
        <w:spacing w:beforeLines="0" w:line="240" w:lineRule="auto"/>
        <w:ind w:firstLine="0"/>
        <w:jc w:val="center"/>
        <w:rPr>
          <w:rFonts w:eastAsia="仿宋"/>
          <w:color w:val="auto"/>
          <w:sz w:val="44"/>
          <w:szCs w:val="44"/>
          <w:highlight w:val="none"/>
        </w:rPr>
      </w:pPr>
    </w:p>
    <w:p w14:paraId="4F87AE1B">
      <w:pPr>
        <w:spacing w:beforeLines="0" w:line="240" w:lineRule="auto"/>
        <w:ind w:firstLine="0"/>
        <w:jc w:val="center"/>
        <w:rPr>
          <w:rFonts w:eastAsia="仿宋"/>
          <w:color w:val="auto"/>
          <w:sz w:val="44"/>
          <w:szCs w:val="44"/>
          <w:highlight w:val="none"/>
        </w:rPr>
      </w:pPr>
    </w:p>
    <w:p w14:paraId="061B159B">
      <w:pPr>
        <w:spacing w:beforeLines="0" w:line="240" w:lineRule="auto"/>
        <w:ind w:firstLine="0"/>
        <w:jc w:val="center"/>
        <w:rPr>
          <w:rFonts w:eastAsia="仿宋"/>
          <w:color w:val="auto"/>
          <w:sz w:val="44"/>
          <w:szCs w:val="44"/>
          <w:highlight w:val="none"/>
        </w:rPr>
      </w:pPr>
    </w:p>
    <w:p w14:paraId="0FABF61B">
      <w:pPr>
        <w:ind w:firstLine="1040"/>
        <w:rPr>
          <w:rFonts w:eastAsia="仿宋"/>
          <w:color w:val="auto"/>
          <w:sz w:val="44"/>
          <w:szCs w:val="44"/>
          <w:highlight w:val="none"/>
        </w:rPr>
      </w:pPr>
    </w:p>
    <w:p w14:paraId="49B94519">
      <w:pPr>
        <w:adjustRightInd w:val="0"/>
        <w:snapToGrid w:val="0"/>
        <w:spacing w:line="288" w:lineRule="auto"/>
        <w:ind w:left="4798" w:leftChars="266" w:hanging="4160" w:hangingChars="1300"/>
        <w:rPr>
          <w:rFonts w:hint="eastAsia" w:ascii="仿宋_GB2312" w:eastAsia="仿宋_GB2312"/>
          <w:color w:val="auto"/>
          <w:spacing w:val="-23"/>
          <w:sz w:val="32"/>
          <w:szCs w:val="32"/>
          <w:highlight w:val="none"/>
          <w:u w:val="single"/>
          <w:lang w:val="en-US" w:eastAsia="zh-CN"/>
        </w:rPr>
      </w:pPr>
      <w:r>
        <w:rPr>
          <w:rFonts w:hint="eastAsia" w:ascii="仿宋_GB2312" w:eastAsia="仿宋_GB2312"/>
          <w:color w:val="auto"/>
          <w:sz w:val="32"/>
          <w:szCs w:val="32"/>
          <w:highlight w:val="none"/>
        </w:rPr>
        <w:t>项</w:t>
      </w:r>
      <w:r>
        <w:rPr>
          <w:rFonts w:hint="eastAsia" w:ascii="仿宋_GB2312" w:eastAsia="仿宋_GB2312"/>
          <w:color w:val="auto"/>
          <w:sz w:val="32"/>
          <w:szCs w:val="32"/>
          <w:highlight w:val="none"/>
          <w:lang w:val="en-US" w:eastAsia="zh-CN"/>
        </w:rPr>
        <w:t xml:space="preserve">  </w:t>
      </w:r>
      <w:r>
        <w:rPr>
          <w:rFonts w:hint="eastAsia" w:ascii="仿宋_GB2312" w:eastAsia="仿宋_GB2312"/>
          <w:color w:val="auto"/>
          <w:sz w:val="32"/>
          <w:szCs w:val="32"/>
          <w:highlight w:val="none"/>
        </w:rPr>
        <w:t>目</w:t>
      </w:r>
      <w:r>
        <w:rPr>
          <w:rFonts w:hint="eastAsia" w:ascii="仿宋_GB2312" w:eastAsia="仿宋_GB2312"/>
          <w:color w:val="auto"/>
          <w:sz w:val="32"/>
          <w:szCs w:val="32"/>
          <w:highlight w:val="none"/>
          <w:lang w:val="en-US" w:eastAsia="zh-CN"/>
        </w:rPr>
        <w:t xml:space="preserve">  </w:t>
      </w:r>
      <w:r>
        <w:rPr>
          <w:rFonts w:hint="eastAsia" w:ascii="仿宋_GB2312" w:eastAsia="仿宋_GB2312"/>
          <w:color w:val="auto"/>
          <w:sz w:val="32"/>
          <w:szCs w:val="32"/>
          <w:highlight w:val="none"/>
        </w:rPr>
        <w:t>名</w:t>
      </w:r>
      <w:r>
        <w:rPr>
          <w:rFonts w:hint="eastAsia" w:ascii="仿宋_GB2312" w:eastAsia="仿宋_GB2312"/>
          <w:color w:val="auto"/>
          <w:sz w:val="32"/>
          <w:szCs w:val="32"/>
          <w:highlight w:val="none"/>
          <w:lang w:val="en-US" w:eastAsia="zh-CN"/>
        </w:rPr>
        <w:t xml:space="preserve">  </w:t>
      </w:r>
      <w:r>
        <w:rPr>
          <w:rFonts w:hint="eastAsia" w:ascii="仿宋_GB2312" w:eastAsia="仿宋_GB2312"/>
          <w:color w:val="auto"/>
          <w:sz w:val="32"/>
          <w:szCs w:val="32"/>
          <w:highlight w:val="none"/>
        </w:rPr>
        <w:t>称</w:t>
      </w:r>
      <w:r>
        <w:rPr>
          <w:rFonts w:hint="eastAsia" w:ascii="仿宋_GB2312" w:eastAsia="仿宋_GB2312"/>
          <w:color w:val="auto"/>
          <w:sz w:val="32"/>
          <w:szCs w:val="32"/>
          <w:highlight w:val="none"/>
          <w:lang w:eastAsia="zh-CN"/>
        </w:rPr>
        <w:t>：</w:t>
      </w:r>
      <w:r>
        <w:rPr>
          <w:rFonts w:hint="eastAsia" w:ascii="仿宋_GB2312" w:eastAsia="仿宋_GB2312"/>
          <w:color w:val="auto"/>
          <w:spacing w:val="-40"/>
          <w:sz w:val="32"/>
          <w:szCs w:val="32"/>
          <w:highlight w:val="none"/>
          <w:u w:val="single"/>
          <w:lang w:val="en-US" w:eastAsia="zh-CN"/>
        </w:rPr>
        <w:t>石家庄东华金龙化工有限公司</w:t>
      </w:r>
      <w:r>
        <w:rPr>
          <w:rFonts w:hint="eastAsia" w:ascii="仿宋" w:hAnsi="仿宋" w:eastAsia="仿宋" w:cs="仿宋"/>
          <w:color w:val="auto"/>
          <w:spacing w:val="-40"/>
          <w:sz w:val="32"/>
          <w:szCs w:val="32"/>
          <w:highlight w:val="none"/>
          <w:u w:val="single"/>
          <w:lang w:val="en-US" w:eastAsia="zh-CN"/>
        </w:rPr>
        <w:t>甘氨酸亚铁扩能改造项目</w:t>
      </w:r>
    </w:p>
    <w:p w14:paraId="53C80485">
      <w:pPr>
        <w:adjustRightInd w:val="0"/>
        <w:snapToGrid w:val="0"/>
        <w:spacing w:line="288" w:lineRule="auto"/>
        <w:ind w:firstLine="640" w:firstLineChars="200"/>
        <w:rPr>
          <w:rFonts w:hint="eastAsia" w:ascii="仿宋_GB2312" w:eastAsia="仿宋_GB2312"/>
          <w:color w:val="auto"/>
          <w:sz w:val="32"/>
          <w:szCs w:val="32"/>
          <w:highlight w:val="none"/>
          <w:u w:val="single"/>
          <w:lang w:val="en-US" w:eastAsia="zh-CN"/>
        </w:rPr>
      </w:pPr>
      <w:r>
        <w:rPr>
          <w:rFonts w:hint="eastAsia" w:ascii="仿宋_GB2312" w:eastAsia="仿宋_GB2312"/>
          <w:color w:val="auto"/>
          <w:sz w:val="32"/>
          <w:szCs w:val="32"/>
          <w:highlight w:val="none"/>
        </w:rPr>
        <w:t>建设单位</w:t>
      </w:r>
      <w:r>
        <w:rPr>
          <w:rFonts w:hint="eastAsia" w:ascii="仿宋_GB2312" w:eastAsia="仿宋_GB2312"/>
          <w:color w:val="auto"/>
          <w:sz w:val="32"/>
          <w:szCs w:val="32"/>
          <w:highlight w:val="none"/>
          <w:lang w:val="en-US" w:eastAsia="zh-CN"/>
        </w:rPr>
        <w:t>（</w:t>
      </w:r>
      <w:r>
        <w:rPr>
          <w:rFonts w:hint="eastAsia" w:ascii="仿宋_GB2312" w:eastAsia="仿宋_GB2312"/>
          <w:color w:val="auto"/>
          <w:sz w:val="32"/>
          <w:szCs w:val="32"/>
          <w:highlight w:val="none"/>
        </w:rPr>
        <w:t>盖章</w:t>
      </w:r>
      <w:r>
        <w:rPr>
          <w:rFonts w:hint="eastAsia" w:ascii="仿宋_GB2312" w:eastAsia="仿宋_GB2312"/>
          <w:color w:val="auto"/>
          <w:sz w:val="32"/>
          <w:szCs w:val="32"/>
          <w:highlight w:val="none"/>
          <w:lang w:val="en-US" w:eastAsia="zh-CN"/>
        </w:rPr>
        <w:t>）</w:t>
      </w:r>
      <w:r>
        <w:rPr>
          <w:rFonts w:hint="eastAsia" w:ascii="仿宋_GB2312" w:eastAsia="仿宋_GB2312"/>
          <w:color w:val="auto"/>
          <w:sz w:val="32"/>
          <w:szCs w:val="32"/>
          <w:highlight w:val="none"/>
        </w:rPr>
        <w:t>：</w:t>
      </w:r>
      <w:r>
        <w:rPr>
          <w:rFonts w:hint="eastAsia" w:ascii="仿宋_GB2312" w:eastAsia="仿宋_GB2312"/>
          <w:color w:val="auto"/>
          <w:sz w:val="32"/>
          <w:szCs w:val="32"/>
          <w:highlight w:val="none"/>
          <w:u w:val="single"/>
          <w:lang w:val="en-US" w:eastAsia="zh-CN"/>
        </w:rPr>
        <w:t xml:space="preserve">     石家庄东华金龙化工有限公司     </w:t>
      </w:r>
    </w:p>
    <w:p w14:paraId="1E94B44E">
      <w:pPr>
        <w:adjustRightInd w:val="0"/>
        <w:snapToGrid w:val="0"/>
        <w:spacing w:line="288" w:lineRule="auto"/>
        <w:ind w:firstLine="640" w:firstLineChars="200"/>
        <w:rPr>
          <w:rFonts w:hint="eastAsia" w:ascii="仿宋_GB2312" w:eastAsia="仿宋_GB2312"/>
          <w:color w:val="auto"/>
          <w:sz w:val="36"/>
          <w:szCs w:val="36"/>
          <w:highlight w:val="none"/>
          <w:u w:val="single"/>
        </w:rPr>
      </w:pPr>
      <w:r>
        <w:rPr>
          <w:rFonts w:hint="eastAsia" w:ascii="仿宋_GB2312" w:eastAsia="仿宋_GB2312"/>
          <w:color w:val="auto"/>
          <w:sz w:val="32"/>
          <w:szCs w:val="32"/>
          <w:highlight w:val="none"/>
        </w:rPr>
        <w:t>编</w:t>
      </w:r>
      <w:r>
        <w:rPr>
          <w:rFonts w:hint="eastAsia" w:ascii="仿宋_GB2312" w:eastAsia="仿宋_GB2312"/>
          <w:color w:val="auto"/>
          <w:sz w:val="32"/>
          <w:szCs w:val="32"/>
          <w:highlight w:val="none"/>
          <w:lang w:val="en-US" w:eastAsia="zh-CN"/>
        </w:rPr>
        <w:t xml:space="preserve">  </w:t>
      </w:r>
      <w:r>
        <w:rPr>
          <w:rFonts w:hint="eastAsia" w:ascii="仿宋_GB2312" w:eastAsia="仿宋_GB2312"/>
          <w:color w:val="auto"/>
          <w:sz w:val="32"/>
          <w:szCs w:val="32"/>
          <w:highlight w:val="none"/>
        </w:rPr>
        <w:t>制</w:t>
      </w:r>
      <w:r>
        <w:rPr>
          <w:rFonts w:hint="eastAsia" w:ascii="仿宋_GB2312" w:eastAsia="仿宋_GB2312"/>
          <w:color w:val="auto"/>
          <w:sz w:val="32"/>
          <w:szCs w:val="32"/>
          <w:highlight w:val="none"/>
          <w:lang w:val="en-US" w:eastAsia="zh-CN"/>
        </w:rPr>
        <w:t xml:space="preserve">  </w:t>
      </w:r>
      <w:r>
        <w:rPr>
          <w:rFonts w:hint="eastAsia" w:ascii="仿宋_GB2312" w:eastAsia="仿宋_GB2312"/>
          <w:color w:val="auto"/>
          <w:sz w:val="32"/>
          <w:szCs w:val="32"/>
          <w:highlight w:val="none"/>
        </w:rPr>
        <w:t>日</w:t>
      </w:r>
      <w:r>
        <w:rPr>
          <w:rFonts w:hint="eastAsia" w:ascii="仿宋_GB2312" w:eastAsia="仿宋_GB2312"/>
          <w:color w:val="auto"/>
          <w:sz w:val="32"/>
          <w:szCs w:val="32"/>
          <w:highlight w:val="none"/>
          <w:lang w:val="en-US" w:eastAsia="zh-CN"/>
        </w:rPr>
        <w:t xml:space="preserve"> </w:t>
      </w:r>
      <w:r>
        <w:rPr>
          <w:rFonts w:hint="default" w:ascii="Times New Roman" w:hAnsi="Times New Roman" w:eastAsia="仿宋_GB2312" w:cs="Times New Roman"/>
          <w:color w:val="auto"/>
          <w:sz w:val="32"/>
          <w:szCs w:val="32"/>
          <w:highlight w:val="none"/>
          <w:lang w:val="en-US" w:eastAsia="zh-CN"/>
        </w:rPr>
        <w:t xml:space="preserve"> </w:t>
      </w:r>
      <w:r>
        <w:rPr>
          <w:rFonts w:hint="eastAsia" w:ascii="仿宋_GB2312" w:eastAsia="仿宋_GB2312"/>
          <w:color w:val="auto"/>
          <w:sz w:val="32"/>
          <w:szCs w:val="32"/>
          <w:highlight w:val="none"/>
        </w:rPr>
        <w:t>期</w:t>
      </w:r>
      <w:r>
        <w:rPr>
          <w:rFonts w:hint="eastAsia" w:ascii="仿宋_GB2312" w:eastAsia="仿宋_GB2312"/>
          <w:color w:val="auto"/>
          <w:sz w:val="32"/>
          <w:szCs w:val="32"/>
          <w:highlight w:val="none"/>
          <w:u w:val="none"/>
        </w:rPr>
        <w:t>：</w:t>
      </w:r>
      <w:r>
        <w:rPr>
          <w:rFonts w:hint="eastAsia" w:ascii="仿宋_GB2312" w:eastAsia="仿宋_GB2312"/>
          <w:b w:val="0"/>
          <w:bCs w:val="0"/>
          <w:color w:val="auto"/>
          <w:sz w:val="32"/>
          <w:szCs w:val="32"/>
          <w:highlight w:val="none"/>
          <w:u w:val="single"/>
          <w:lang w:val="en-US" w:eastAsia="zh-CN"/>
        </w:rPr>
        <w:t xml:space="preserve">          二〇二六年七月</w:t>
      </w:r>
      <w:r>
        <w:rPr>
          <w:rFonts w:ascii="仿宋_GB2312" w:eastAsia="仿宋_GB2312"/>
          <w:b w:val="0"/>
          <w:bCs w:val="0"/>
          <w:color w:val="auto"/>
          <w:sz w:val="32"/>
          <w:szCs w:val="32"/>
          <w:highlight w:val="none"/>
          <w:u w:val="single"/>
        </w:rPr>
        <w:t xml:space="preserve">         </w:t>
      </w:r>
      <w:r>
        <w:rPr>
          <w:rFonts w:hint="eastAsia" w:ascii="仿宋_GB2312" w:eastAsia="仿宋_GB2312"/>
          <w:b w:val="0"/>
          <w:bCs w:val="0"/>
          <w:color w:val="auto"/>
          <w:sz w:val="32"/>
          <w:szCs w:val="32"/>
          <w:highlight w:val="none"/>
          <w:u w:val="single"/>
          <w:lang w:val="en-US" w:eastAsia="zh-CN"/>
        </w:rPr>
        <w:t xml:space="preserve">  </w:t>
      </w:r>
      <w:r>
        <w:rPr>
          <w:rFonts w:hint="eastAsia" w:ascii="仿宋_GB2312" w:eastAsia="仿宋_GB2312"/>
          <w:b w:val="0"/>
          <w:bCs w:val="0"/>
          <w:color w:val="auto"/>
          <w:sz w:val="36"/>
          <w:szCs w:val="36"/>
          <w:highlight w:val="none"/>
          <w:u w:val="single"/>
          <w:lang w:val="en-US" w:eastAsia="zh-CN"/>
        </w:rPr>
        <w:t xml:space="preserve"> </w:t>
      </w:r>
      <w:r>
        <w:rPr>
          <w:rFonts w:hint="eastAsia" w:ascii="仿宋_GB2312" w:eastAsia="仿宋_GB2312"/>
          <w:color w:val="auto"/>
          <w:sz w:val="36"/>
          <w:szCs w:val="36"/>
          <w:highlight w:val="none"/>
          <w:u w:val="single"/>
          <w:lang w:val="en-US" w:eastAsia="zh-CN"/>
        </w:rPr>
        <w:t xml:space="preserve">  </w:t>
      </w:r>
    </w:p>
    <w:p w14:paraId="096AB9F7">
      <w:pPr>
        <w:adjustRightInd w:val="0"/>
        <w:snapToGrid w:val="0"/>
        <w:spacing w:line="288" w:lineRule="auto"/>
        <w:ind w:firstLine="1040"/>
        <w:rPr>
          <w:rFonts w:ascii="仿宋_GB2312" w:eastAsia="仿宋_GB2312"/>
          <w:color w:val="auto"/>
          <w:sz w:val="36"/>
          <w:szCs w:val="36"/>
          <w:highlight w:val="none"/>
          <w:u w:val="single"/>
        </w:rPr>
      </w:pPr>
      <w:bookmarkStart w:id="0" w:name="_Hlk57884087"/>
    </w:p>
    <w:p w14:paraId="6DC24AAE">
      <w:pPr>
        <w:adjustRightInd w:val="0"/>
        <w:snapToGrid w:val="0"/>
        <w:spacing w:line="288" w:lineRule="auto"/>
        <w:ind w:firstLine="1040"/>
        <w:rPr>
          <w:rFonts w:hint="eastAsia" w:ascii="仿宋_GB2312" w:eastAsia="仿宋_GB2312"/>
          <w:color w:val="auto"/>
          <w:sz w:val="36"/>
          <w:szCs w:val="36"/>
          <w:highlight w:val="none"/>
        </w:rPr>
      </w:pPr>
    </w:p>
    <w:bookmarkEnd w:id="0"/>
    <w:p w14:paraId="7285B779">
      <w:pPr>
        <w:adjustRightInd w:val="0"/>
        <w:snapToGrid w:val="0"/>
        <w:spacing w:line="288" w:lineRule="auto"/>
        <w:jc w:val="center"/>
        <w:rPr>
          <w:rFonts w:hint="eastAsia" w:ascii="楷体_GB2312" w:eastAsia="楷体_GB2312"/>
          <w:color w:val="auto"/>
          <w:sz w:val="36"/>
          <w:szCs w:val="36"/>
          <w:highlight w:val="none"/>
        </w:rPr>
      </w:pPr>
      <w:r>
        <w:rPr>
          <w:rFonts w:hint="eastAsia" w:ascii="楷体_GB2312" w:eastAsia="楷体_GB2312"/>
          <w:color w:val="auto"/>
          <w:sz w:val="36"/>
          <w:szCs w:val="36"/>
          <w:highlight w:val="none"/>
        </w:rPr>
        <w:t>中华人民共和国生态环境部制</w:t>
      </w:r>
    </w:p>
    <w:p w14:paraId="6C206175">
      <w:pPr>
        <w:adjustRightInd w:val="0"/>
        <w:snapToGrid w:val="0"/>
        <w:spacing w:line="288" w:lineRule="auto"/>
        <w:ind w:firstLine="1040"/>
        <w:rPr>
          <w:rFonts w:ascii="仿宋_GB2312" w:eastAsia="仿宋_GB2312"/>
          <w:color w:val="auto"/>
          <w:sz w:val="36"/>
          <w:szCs w:val="36"/>
          <w:highlight w:val="none"/>
        </w:rPr>
        <w:sectPr>
          <w:footerReference r:id="rId7" w:type="default"/>
          <w:footerReference r:id="rId8" w:type="even"/>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65CD3EB9">
      <w:pPr>
        <w:pStyle w:val="10"/>
        <w:rPr>
          <w:color w:val="auto"/>
        </w:rPr>
        <w:sectPr>
          <w:pgSz w:w="11906" w:h="16838"/>
          <w:pgMar w:top="1701" w:right="1531" w:bottom="1701" w:left="1531" w:header="851" w:footer="1077" w:gutter="0"/>
          <w:pgBorders>
            <w:top w:val="none" w:sz="0" w:space="0"/>
            <w:left w:val="none" w:sz="0" w:space="0"/>
            <w:bottom w:val="none" w:sz="0" w:space="0"/>
            <w:right w:val="none" w:sz="0" w:space="0"/>
          </w:pgBorders>
          <w:pgNumType w:start="3"/>
          <w:cols w:space="720" w:num="1"/>
          <w:docGrid w:linePitch="312" w:charSpace="0"/>
        </w:sectPr>
      </w:pPr>
    </w:p>
    <w:p w14:paraId="352A144E">
      <w:pPr>
        <w:widowControl w:val="0"/>
        <w:numPr>
          <w:ilvl w:val="0"/>
          <w:numId w:val="3"/>
        </w:numPr>
        <w:spacing w:before="0" w:beforeAutospacing="0" w:after="0" w:afterAutospacing="0" w:line="360" w:lineRule="auto"/>
        <w:jc w:val="center"/>
        <w:outlineLvl w:val="0"/>
        <w:rPr>
          <w:rFonts w:hint="eastAsia" w:ascii="黑体" w:hAnsi="黑体" w:eastAsia="黑体" w:cs="Times New Roman"/>
          <w:snapToGrid w:val="0"/>
          <w:color w:val="auto"/>
          <w:kern w:val="0"/>
          <w:sz w:val="30"/>
          <w:szCs w:val="30"/>
          <w:highlight w:val="none"/>
          <w:lang w:val="en-US" w:eastAsia="zh-CN" w:bidi="ar-SA"/>
        </w:rPr>
      </w:pPr>
      <w:r>
        <w:rPr>
          <w:rFonts w:hint="eastAsia" w:ascii="黑体" w:hAnsi="黑体" w:eastAsia="黑体" w:cs="Times New Roman"/>
          <w:snapToGrid w:val="0"/>
          <w:color w:val="auto"/>
          <w:kern w:val="0"/>
          <w:sz w:val="30"/>
          <w:szCs w:val="30"/>
          <w:highlight w:val="none"/>
          <w:lang w:val="en-US" w:eastAsia="zh-CN" w:bidi="ar-SA"/>
        </w:rPr>
        <w:t>建设项目基本情况</w:t>
      </w:r>
    </w:p>
    <w:p w14:paraId="0BB57E60">
      <w:pPr>
        <w:widowControl w:val="0"/>
        <w:numPr>
          <w:ilvl w:val="0"/>
          <w:numId w:val="0"/>
        </w:numPr>
        <w:spacing w:before="0" w:beforeAutospacing="0" w:after="0" w:afterAutospacing="0" w:line="360" w:lineRule="auto"/>
        <w:jc w:val="center"/>
        <w:outlineLvl w:val="0"/>
        <w:rPr>
          <w:rFonts w:hint="eastAsia" w:ascii="黑体" w:hAnsi="黑体" w:eastAsia="黑体"/>
          <w:snapToGrid w:val="0"/>
          <w:color w:val="auto"/>
          <w:sz w:val="30"/>
          <w:szCs w:val="30"/>
          <w:highlight w:val="none"/>
        </w:rPr>
        <w:sectPr>
          <w:footerReference r:id="rId9" w:type="default"/>
          <w:pgSz w:w="11906" w:h="16838"/>
          <w:pgMar w:top="1701" w:right="1531" w:bottom="1701" w:left="1531" w:header="851" w:footer="1077" w:gutter="0"/>
          <w:pgBorders>
            <w:top w:val="none" w:sz="0" w:space="0"/>
            <w:left w:val="none" w:sz="0" w:space="0"/>
            <w:bottom w:val="none" w:sz="0" w:space="0"/>
            <w:right w:val="none" w:sz="0" w:space="0"/>
          </w:pgBorders>
          <w:pgNumType w:fmt="numberInDash" w:start="1"/>
          <w:cols w:space="720" w:num="1"/>
          <w:docGrid w:linePitch="312" w:charSpace="0"/>
        </w:sectPr>
      </w:pPr>
    </w:p>
    <w:tbl>
      <w:tblPr>
        <w:tblStyle w:val="25"/>
        <w:tblW w:w="90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024"/>
        <w:gridCol w:w="1889"/>
        <w:gridCol w:w="2013"/>
        <w:gridCol w:w="3162"/>
      </w:tblGrid>
      <w:tr w14:paraId="480789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46A94539">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建设项目名称</w:t>
            </w:r>
          </w:p>
        </w:tc>
        <w:tc>
          <w:tcPr>
            <w:tcW w:w="7064" w:type="dxa"/>
            <w:gridSpan w:val="3"/>
            <w:noWrap w:val="0"/>
            <w:vAlign w:val="center"/>
          </w:tcPr>
          <w:p w14:paraId="5877C30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石家庄东华金龙化工有限公司甘氨酸亚铁扩能改造项目</w:t>
            </w:r>
          </w:p>
        </w:tc>
      </w:tr>
      <w:tr w14:paraId="28F6572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62A5457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项目代码</w:t>
            </w:r>
          </w:p>
        </w:tc>
        <w:tc>
          <w:tcPr>
            <w:tcW w:w="7064" w:type="dxa"/>
            <w:gridSpan w:val="3"/>
            <w:noWrap w:val="0"/>
            <w:vAlign w:val="center"/>
          </w:tcPr>
          <w:p w14:paraId="08CB42E7">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2604</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13</w:t>
            </w:r>
            <w:r>
              <w:rPr>
                <w:rFonts w:hint="eastAsia" w:cs="Times New Roman"/>
                <w:color w:val="auto"/>
                <w:sz w:val="21"/>
                <w:szCs w:val="21"/>
                <w:highlight w:val="none"/>
                <w:lang w:val="en-US" w:eastAsia="zh-CN"/>
              </w:rPr>
              <w:t>0171</w:t>
            </w:r>
            <w:r>
              <w:rPr>
                <w:rFonts w:hint="eastAsia" w:ascii="Times New Roman" w:hAnsi="Times New Roman" w:eastAsia="宋体" w:cs="Times New Roman"/>
                <w:color w:val="auto"/>
                <w:sz w:val="21"/>
                <w:szCs w:val="21"/>
                <w:highlight w:val="none"/>
                <w:lang w:val="en-US" w:eastAsia="zh-CN"/>
              </w:rPr>
              <w:t>-89-02-</w:t>
            </w:r>
            <w:r>
              <w:rPr>
                <w:rFonts w:hint="eastAsia" w:cs="Times New Roman"/>
                <w:color w:val="auto"/>
                <w:sz w:val="21"/>
                <w:szCs w:val="21"/>
                <w:highlight w:val="none"/>
                <w:lang w:val="en-US" w:eastAsia="zh-CN"/>
              </w:rPr>
              <w:t>283057</w:t>
            </w:r>
          </w:p>
        </w:tc>
      </w:tr>
      <w:tr w14:paraId="4960D7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5B2D390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建设单位联系人</w:t>
            </w:r>
          </w:p>
        </w:tc>
        <w:tc>
          <w:tcPr>
            <w:tcW w:w="1889" w:type="dxa"/>
            <w:noWrap w:val="0"/>
            <w:vAlign w:val="center"/>
          </w:tcPr>
          <w:p w14:paraId="3C25B360">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王亮</w:t>
            </w:r>
          </w:p>
        </w:tc>
        <w:tc>
          <w:tcPr>
            <w:tcW w:w="2013" w:type="dxa"/>
            <w:noWrap w:val="0"/>
            <w:vAlign w:val="center"/>
          </w:tcPr>
          <w:p w14:paraId="3B56C8A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联系方式</w:t>
            </w:r>
          </w:p>
        </w:tc>
        <w:tc>
          <w:tcPr>
            <w:tcW w:w="3162" w:type="dxa"/>
            <w:noWrap w:val="0"/>
            <w:vAlign w:val="center"/>
          </w:tcPr>
          <w:p w14:paraId="3BA0904D">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132****8167</w:t>
            </w:r>
          </w:p>
        </w:tc>
      </w:tr>
      <w:tr w14:paraId="5E666B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26155284">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建设地点</w:t>
            </w:r>
          </w:p>
        </w:tc>
        <w:tc>
          <w:tcPr>
            <w:tcW w:w="7064" w:type="dxa"/>
            <w:gridSpan w:val="3"/>
            <w:noWrap w:val="0"/>
            <w:vAlign w:val="center"/>
          </w:tcPr>
          <w:p w14:paraId="5E5A43D7">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sz w:val="21"/>
                <w:szCs w:val="21"/>
                <w:highlight w:val="none"/>
                <w:u w:val="none"/>
                <w:lang w:val="en-US" w:eastAsia="zh-CN"/>
              </w:rPr>
              <w:t>石家庄高新区</w:t>
            </w:r>
            <w:r>
              <w:rPr>
                <w:rFonts w:hint="eastAsia" w:ascii="Times New Roman" w:hAnsi="Times New Roman" w:eastAsia="宋体" w:cs="Times New Roman"/>
                <w:color w:val="auto"/>
                <w:sz w:val="21"/>
                <w:szCs w:val="21"/>
                <w:highlight w:val="none"/>
                <w:u w:val="none"/>
                <w:lang w:val="en-US" w:eastAsia="zh-CN"/>
              </w:rPr>
              <w:t>化工中路100号石家庄东华金龙化工有限公司</w:t>
            </w:r>
            <w:bookmarkStart w:id="44" w:name="_GoBack"/>
            <w:bookmarkEnd w:id="44"/>
            <w:r>
              <w:rPr>
                <w:rFonts w:hint="eastAsia" w:ascii="Times New Roman" w:hAnsi="Times New Roman" w:eastAsia="宋体" w:cs="Times New Roman"/>
                <w:color w:val="auto"/>
                <w:sz w:val="21"/>
                <w:szCs w:val="21"/>
                <w:highlight w:val="none"/>
                <w:u w:val="none"/>
                <w:lang w:val="en-US" w:eastAsia="zh-CN"/>
              </w:rPr>
              <w:t>厂区内</w:t>
            </w:r>
          </w:p>
        </w:tc>
      </w:tr>
      <w:tr w14:paraId="30E721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738CF797">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地理坐标</w:t>
            </w:r>
          </w:p>
        </w:tc>
        <w:tc>
          <w:tcPr>
            <w:tcW w:w="7064" w:type="dxa"/>
            <w:gridSpan w:val="3"/>
            <w:noWrap w:val="0"/>
            <w:vAlign w:val="center"/>
          </w:tcPr>
          <w:p w14:paraId="7B2570EF">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u w:val="none"/>
              </w:rPr>
              <w:t>（</w:t>
            </w:r>
            <w:r>
              <w:rPr>
                <w:rFonts w:hint="eastAsia" w:cs="Times New Roman"/>
                <w:color w:val="auto"/>
                <w:sz w:val="21"/>
                <w:szCs w:val="21"/>
                <w:highlight w:val="none"/>
                <w:u w:val="none"/>
                <w:lang w:val="en-US" w:eastAsia="zh-CN"/>
              </w:rPr>
              <w:t>东经</w:t>
            </w:r>
            <w:r>
              <w:rPr>
                <w:rFonts w:hint="eastAsia" w:ascii="Times New Roman" w:hAnsi="Times New Roman" w:eastAsia="宋体" w:cs="Times New Roman"/>
                <w:color w:val="auto"/>
                <w:sz w:val="21"/>
                <w:szCs w:val="21"/>
                <w:highlight w:val="none"/>
                <w:u w:val="none"/>
                <w:lang w:val="en-US" w:eastAsia="zh-CN"/>
              </w:rPr>
              <w:t>11</w:t>
            </w:r>
            <w:r>
              <w:rPr>
                <w:rFonts w:hint="eastAsia" w:cs="Times New Roman"/>
                <w:color w:val="auto"/>
                <w:sz w:val="21"/>
                <w:szCs w:val="21"/>
                <w:highlight w:val="none"/>
                <w:u w:val="none"/>
                <w:lang w:val="en-US" w:eastAsia="zh-CN"/>
              </w:rPr>
              <w:t>4</w:t>
            </w:r>
            <w:r>
              <w:rPr>
                <w:rFonts w:hint="default" w:ascii="Times New Roman" w:hAnsi="Times New Roman" w:eastAsia="宋体" w:cs="Times New Roman"/>
                <w:color w:val="auto"/>
                <w:sz w:val="21"/>
                <w:szCs w:val="21"/>
                <w:highlight w:val="none"/>
                <w:u w:val="none"/>
              </w:rPr>
              <w:t>度</w:t>
            </w:r>
            <w:r>
              <w:rPr>
                <w:rFonts w:hint="eastAsia" w:cs="Times New Roman"/>
                <w:color w:val="auto"/>
                <w:sz w:val="21"/>
                <w:szCs w:val="21"/>
                <w:highlight w:val="none"/>
                <w:u w:val="none"/>
                <w:lang w:val="en-US" w:eastAsia="zh-CN"/>
              </w:rPr>
              <w:t>40</w:t>
            </w:r>
            <w:r>
              <w:rPr>
                <w:rFonts w:hint="default" w:ascii="Times New Roman" w:hAnsi="Times New Roman" w:eastAsia="宋体" w:cs="Times New Roman"/>
                <w:color w:val="auto"/>
                <w:sz w:val="21"/>
                <w:szCs w:val="21"/>
                <w:highlight w:val="none"/>
                <w:u w:val="none"/>
              </w:rPr>
              <w:t>分</w:t>
            </w:r>
            <w:r>
              <w:rPr>
                <w:rFonts w:hint="eastAsia" w:cs="Times New Roman"/>
                <w:color w:val="auto"/>
                <w:sz w:val="21"/>
                <w:szCs w:val="21"/>
                <w:highlight w:val="none"/>
                <w:u w:val="none"/>
                <w:lang w:val="en-US" w:eastAsia="zh-CN"/>
              </w:rPr>
              <w:t>21.967</w:t>
            </w:r>
            <w:r>
              <w:rPr>
                <w:rFonts w:hint="default" w:ascii="Times New Roman" w:hAnsi="Times New Roman" w:eastAsia="宋体" w:cs="Times New Roman"/>
                <w:color w:val="auto"/>
                <w:sz w:val="21"/>
                <w:szCs w:val="21"/>
                <w:highlight w:val="none"/>
                <w:u w:val="none"/>
              </w:rPr>
              <w:t>秒，</w:t>
            </w:r>
            <w:r>
              <w:rPr>
                <w:rFonts w:hint="eastAsia" w:cs="Times New Roman"/>
                <w:color w:val="auto"/>
                <w:sz w:val="21"/>
                <w:szCs w:val="21"/>
                <w:highlight w:val="none"/>
                <w:u w:val="none"/>
                <w:lang w:val="en-US" w:eastAsia="zh-CN"/>
              </w:rPr>
              <w:t>北纬</w:t>
            </w:r>
            <w:r>
              <w:rPr>
                <w:rFonts w:hint="eastAsia" w:ascii="Times New Roman" w:hAnsi="Times New Roman" w:eastAsia="宋体" w:cs="Times New Roman"/>
                <w:color w:val="auto"/>
                <w:sz w:val="21"/>
                <w:szCs w:val="21"/>
                <w:highlight w:val="none"/>
                <w:u w:val="none"/>
                <w:lang w:val="en-US" w:eastAsia="zh-CN"/>
              </w:rPr>
              <w:t>37</w:t>
            </w:r>
            <w:r>
              <w:rPr>
                <w:rFonts w:hint="default" w:ascii="Times New Roman" w:hAnsi="Times New Roman" w:eastAsia="宋体" w:cs="Times New Roman"/>
                <w:color w:val="auto"/>
                <w:sz w:val="21"/>
                <w:szCs w:val="21"/>
                <w:highlight w:val="none"/>
                <w:u w:val="none"/>
              </w:rPr>
              <w:t>度</w:t>
            </w:r>
            <w:r>
              <w:rPr>
                <w:rFonts w:hint="eastAsia" w:cs="Times New Roman"/>
                <w:color w:val="auto"/>
                <w:sz w:val="21"/>
                <w:szCs w:val="21"/>
                <w:highlight w:val="none"/>
                <w:u w:val="none"/>
                <w:lang w:val="en-US" w:eastAsia="zh-CN"/>
              </w:rPr>
              <w:t>57</w:t>
            </w:r>
            <w:r>
              <w:rPr>
                <w:rFonts w:hint="default" w:ascii="Times New Roman" w:hAnsi="Times New Roman" w:eastAsia="宋体" w:cs="Times New Roman"/>
                <w:color w:val="auto"/>
                <w:sz w:val="21"/>
                <w:szCs w:val="21"/>
                <w:highlight w:val="none"/>
                <w:u w:val="none"/>
              </w:rPr>
              <w:t>分</w:t>
            </w:r>
            <w:r>
              <w:rPr>
                <w:rFonts w:hint="eastAsia" w:cs="Times New Roman"/>
                <w:color w:val="auto"/>
                <w:sz w:val="21"/>
                <w:szCs w:val="21"/>
                <w:highlight w:val="none"/>
                <w:u w:val="none"/>
                <w:lang w:val="en-US" w:eastAsia="zh-CN"/>
              </w:rPr>
              <w:t>46.889</w:t>
            </w:r>
            <w:r>
              <w:rPr>
                <w:rFonts w:hint="default" w:ascii="Times New Roman" w:hAnsi="Times New Roman" w:eastAsia="宋体" w:cs="Times New Roman"/>
                <w:color w:val="auto"/>
                <w:sz w:val="21"/>
                <w:szCs w:val="21"/>
                <w:highlight w:val="none"/>
                <w:u w:val="none"/>
              </w:rPr>
              <w:t>秒）</w:t>
            </w:r>
          </w:p>
        </w:tc>
      </w:tr>
      <w:tr w14:paraId="1A2107A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814" w:hRule="atLeast"/>
        </w:trPr>
        <w:tc>
          <w:tcPr>
            <w:tcW w:w="2024" w:type="dxa"/>
            <w:noWrap w:val="0"/>
            <w:tcMar>
              <w:top w:w="16" w:type="dxa"/>
              <w:left w:w="16" w:type="dxa"/>
              <w:right w:w="16" w:type="dxa"/>
            </w:tcMar>
            <w:vAlign w:val="center"/>
          </w:tcPr>
          <w:p w14:paraId="59C40B8F">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国民经济</w:t>
            </w:r>
          </w:p>
          <w:p w14:paraId="6B0CC551">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行业类别</w:t>
            </w:r>
          </w:p>
        </w:tc>
        <w:tc>
          <w:tcPr>
            <w:tcW w:w="1889" w:type="dxa"/>
            <w:noWrap w:val="0"/>
            <w:vAlign w:val="center"/>
          </w:tcPr>
          <w:p w14:paraId="034FC6EF">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w:t>
            </w:r>
            <w:r>
              <w:rPr>
                <w:rFonts w:hint="eastAsia" w:ascii="Times New Roman" w:hAnsi="Times New Roman" w:eastAsia="宋体" w:cs="Times New Roman"/>
                <w:color w:val="auto"/>
                <w:sz w:val="21"/>
                <w:szCs w:val="21"/>
                <w:highlight w:val="none"/>
                <w:lang w:val="en-US" w:eastAsia="zh-CN"/>
              </w:rPr>
              <w:t>1495食品及饲料添加剂制造</w:t>
            </w:r>
          </w:p>
        </w:tc>
        <w:tc>
          <w:tcPr>
            <w:tcW w:w="2013" w:type="dxa"/>
            <w:noWrap w:val="0"/>
            <w:vAlign w:val="center"/>
          </w:tcPr>
          <w:p w14:paraId="15847116">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bookmarkStart w:id="1" w:name="_Hlk49843745"/>
            <w:r>
              <w:rPr>
                <w:rFonts w:hint="default" w:ascii="Times New Roman" w:hAnsi="Times New Roman" w:eastAsia="宋体" w:cs="Times New Roman"/>
                <w:color w:val="auto"/>
                <w:sz w:val="21"/>
                <w:szCs w:val="21"/>
                <w:highlight w:val="none"/>
              </w:rPr>
              <w:t>建设项目</w:t>
            </w:r>
          </w:p>
          <w:p w14:paraId="5A4A47CE">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行业类别</w:t>
            </w:r>
            <w:bookmarkEnd w:id="1"/>
          </w:p>
        </w:tc>
        <w:tc>
          <w:tcPr>
            <w:tcW w:w="3162" w:type="dxa"/>
            <w:noWrap w:val="0"/>
            <w:vAlign w:val="center"/>
          </w:tcPr>
          <w:p w14:paraId="7F21085C">
            <w:pPr>
              <w:keepNext w:val="0"/>
              <w:keepLines w:val="0"/>
              <w:pageBreakBefore w:val="0"/>
              <w:widowControl w:val="0"/>
              <w:kinsoku/>
              <w:wordWrap/>
              <w:overflowPunct/>
              <w:topLinePunct w:val="0"/>
              <w:autoSpaceDE/>
              <w:autoSpaceDN/>
              <w:bidi w:val="0"/>
              <w:adjustRightInd/>
              <w:snapToGrid/>
              <w:spacing w:beforeLines="0" w:afterLines="0" w:line="240" w:lineRule="auto"/>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十一、食品制造业14；24其他食品制造149；无发酵工艺的食品及饲料添加剂制造</w:t>
            </w:r>
          </w:p>
        </w:tc>
      </w:tr>
      <w:tr w14:paraId="0FBCD3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85" w:hRule="atLeast"/>
        </w:trPr>
        <w:tc>
          <w:tcPr>
            <w:tcW w:w="2024" w:type="dxa"/>
            <w:noWrap w:val="0"/>
            <w:tcMar>
              <w:top w:w="16" w:type="dxa"/>
              <w:left w:w="16" w:type="dxa"/>
              <w:right w:w="16" w:type="dxa"/>
            </w:tcMar>
            <w:vAlign w:val="center"/>
          </w:tcPr>
          <w:p w14:paraId="5E325C44">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建设性质</w:t>
            </w:r>
          </w:p>
        </w:tc>
        <w:tc>
          <w:tcPr>
            <w:tcW w:w="1889" w:type="dxa"/>
            <w:noWrap w:val="0"/>
            <w:vAlign w:val="center"/>
          </w:tcPr>
          <w:p w14:paraId="670F8C42">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A3"/>
            </w:r>
            <w:r>
              <w:rPr>
                <w:rFonts w:hint="default" w:ascii="Times New Roman" w:hAnsi="Times New Roman" w:eastAsia="宋体" w:cs="Times New Roman"/>
                <w:color w:val="auto"/>
                <w:sz w:val="21"/>
                <w:szCs w:val="21"/>
                <w:highlight w:val="none"/>
              </w:rPr>
              <w:t>新建（迁建）</w:t>
            </w:r>
          </w:p>
          <w:p w14:paraId="6C761FC1">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52"/>
            </w:r>
            <w:r>
              <w:rPr>
                <w:rFonts w:hint="default" w:ascii="Times New Roman" w:hAnsi="Times New Roman" w:eastAsia="宋体" w:cs="Times New Roman"/>
                <w:color w:val="auto"/>
                <w:sz w:val="21"/>
                <w:szCs w:val="21"/>
                <w:highlight w:val="none"/>
              </w:rPr>
              <w:t>改建</w:t>
            </w:r>
          </w:p>
          <w:p w14:paraId="6847380C">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52"/>
            </w:r>
            <w:r>
              <w:rPr>
                <w:rFonts w:hint="default" w:ascii="Times New Roman" w:hAnsi="Times New Roman" w:eastAsia="宋体" w:cs="Times New Roman"/>
                <w:color w:val="auto"/>
                <w:sz w:val="21"/>
                <w:szCs w:val="21"/>
                <w:highlight w:val="none"/>
              </w:rPr>
              <w:t>扩建</w:t>
            </w:r>
          </w:p>
          <w:p w14:paraId="170CC0C5">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A3"/>
            </w:r>
            <w:r>
              <w:rPr>
                <w:rFonts w:hint="default" w:ascii="Times New Roman" w:hAnsi="Times New Roman" w:eastAsia="宋体" w:cs="Times New Roman"/>
                <w:color w:val="auto"/>
                <w:sz w:val="21"/>
                <w:szCs w:val="21"/>
                <w:highlight w:val="none"/>
              </w:rPr>
              <w:t>技术改造</w:t>
            </w:r>
          </w:p>
        </w:tc>
        <w:tc>
          <w:tcPr>
            <w:tcW w:w="2013" w:type="dxa"/>
            <w:noWrap w:val="0"/>
            <w:vAlign w:val="center"/>
          </w:tcPr>
          <w:p w14:paraId="3F45513F">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建设项目</w:t>
            </w:r>
          </w:p>
          <w:p w14:paraId="2D9E7DA0">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申报情形</w:t>
            </w:r>
          </w:p>
        </w:tc>
        <w:tc>
          <w:tcPr>
            <w:tcW w:w="3162" w:type="dxa"/>
            <w:noWrap w:val="0"/>
            <w:vAlign w:val="center"/>
          </w:tcPr>
          <w:p w14:paraId="47A7CFC5">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52"/>
            </w:r>
            <w:r>
              <w:rPr>
                <w:rFonts w:hint="default" w:ascii="Times New Roman" w:hAnsi="Times New Roman" w:eastAsia="宋体" w:cs="Times New Roman"/>
                <w:color w:val="auto"/>
                <w:sz w:val="21"/>
                <w:szCs w:val="21"/>
                <w:highlight w:val="none"/>
              </w:rPr>
              <w:t>首次申报项目</w:t>
            </w:r>
          </w:p>
          <w:p w14:paraId="5063ED63">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A3"/>
            </w:r>
            <w:r>
              <w:rPr>
                <w:rFonts w:hint="default" w:ascii="Times New Roman" w:hAnsi="Times New Roman" w:eastAsia="宋体" w:cs="Times New Roman"/>
                <w:color w:val="auto"/>
                <w:sz w:val="21"/>
                <w:szCs w:val="21"/>
                <w:highlight w:val="none"/>
              </w:rPr>
              <w:t>不予批准后再次申报项目</w:t>
            </w:r>
          </w:p>
          <w:p w14:paraId="78035B12">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A3"/>
            </w:r>
            <w:r>
              <w:rPr>
                <w:rFonts w:hint="default" w:ascii="Times New Roman" w:hAnsi="Times New Roman" w:eastAsia="宋体" w:cs="Times New Roman"/>
                <w:color w:val="auto"/>
                <w:sz w:val="21"/>
                <w:szCs w:val="21"/>
                <w:highlight w:val="none"/>
              </w:rPr>
              <w:t>超五年重新审核项目</w:t>
            </w:r>
          </w:p>
          <w:p w14:paraId="01D5ADA4">
            <w:pPr>
              <w:keepNext w:val="0"/>
              <w:keepLines w:val="0"/>
              <w:pageBreakBefore w:val="0"/>
              <w:widowControl w:val="0"/>
              <w:kinsoku/>
              <w:wordWrap/>
              <w:overflowPunct/>
              <w:topLinePunct w:val="0"/>
              <w:autoSpaceDE/>
              <w:autoSpaceDN/>
              <w:bidi w:val="0"/>
              <w:adjustRightInd/>
              <w:snapToGrid/>
              <w:spacing w:beforeLines="0" w:afterLines="0" w:line="240" w:lineRule="auto"/>
              <w:jc w:val="left"/>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A3"/>
            </w:r>
            <w:r>
              <w:rPr>
                <w:rFonts w:hint="default" w:ascii="Times New Roman" w:hAnsi="Times New Roman" w:eastAsia="宋体" w:cs="Times New Roman"/>
                <w:color w:val="auto"/>
                <w:sz w:val="21"/>
                <w:szCs w:val="21"/>
                <w:highlight w:val="none"/>
              </w:rPr>
              <w:t>重大变动重新报批项目</w:t>
            </w:r>
          </w:p>
        </w:tc>
      </w:tr>
      <w:tr w14:paraId="2A0A79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7" w:hRule="atLeast"/>
        </w:trPr>
        <w:tc>
          <w:tcPr>
            <w:tcW w:w="2024" w:type="dxa"/>
            <w:noWrap w:val="0"/>
            <w:tcMar>
              <w:top w:w="16" w:type="dxa"/>
              <w:left w:w="16" w:type="dxa"/>
              <w:right w:w="16" w:type="dxa"/>
            </w:tcMar>
            <w:vAlign w:val="center"/>
          </w:tcPr>
          <w:p w14:paraId="63D6D27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项目审批（核准/</w:t>
            </w:r>
          </w:p>
          <w:p w14:paraId="0E72F426">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备案）部门（选填）</w:t>
            </w:r>
          </w:p>
        </w:tc>
        <w:tc>
          <w:tcPr>
            <w:tcW w:w="1889" w:type="dxa"/>
            <w:noWrap w:val="0"/>
            <w:vAlign w:val="center"/>
          </w:tcPr>
          <w:p w14:paraId="6E7FBDB8">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石家庄高新技术产业开发区行政审批局</w:t>
            </w:r>
          </w:p>
        </w:tc>
        <w:tc>
          <w:tcPr>
            <w:tcW w:w="2013" w:type="dxa"/>
            <w:noWrap w:val="0"/>
            <w:vAlign w:val="center"/>
          </w:tcPr>
          <w:p w14:paraId="3E67E2B1">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项目审批（核准/</w:t>
            </w:r>
          </w:p>
          <w:p w14:paraId="4B5C9A61">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备案）文号（选填）</w:t>
            </w:r>
          </w:p>
        </w:tc>
        <w:tc>
          <w:tcPr>
            <w:tcW w:w="3162" w:type="dxa"/>
            <w:noWrap w:val="0"/>
            <w:vAlign w:val="center"/>
          </w:tcPr>
          <w:p w14:paraId="4FC341B7">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石高审循化投资备字〔2026〕29 号</w:t>
            </w:r>
          </w:p>
        </w:tc>
      </w:tr>
      <w:tr w14:paraId="697933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00669DAD">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总投资（万元）</w:t>
            </w:r>
          </w:p>
        </w:tc>
        <w:tc>
          <w:tcPr>
            <w:tcW w:w="1889" w:type="dxa"/>
            <w:noWrap w:val="0"/>
            <w:vAlign w:val="center"/>
          </w:tcPr>
          <w:p w14:paraId="0061BC28">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548.44</w:t>
            </w:r>
          </w:p>
        </w:tc>
        <w:tc>
          <w:tcPr>
            <w:tcW w:w="2013" w:type="dxa"/>
            <w:noWrap w:val="0"/>
            <w:tcMar>
              <w:top w:w="16" w:type="dxa"/>
              <w:left w:w="16" w:type="dxa"/>
              <w:right w:w="16" w:type="dxa"/>
            </w:tcMar>
            <w:vAlign w:val="center"/>
          </w:tcPr>
          <w:p w14:paraId="342ED02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环保投资（万元）</w:t>
            </w:r>
          </w:p>
        </w:tc>
        <w:tc>
          <w:tcPr>
            <w:tcW w:w="3162" w:type="dxa"/>
            <w:noWrap w:val="0"/>
            <w:vAlign w:val="center"/>
          </w:tcPr>
          <w:p w14:paraId="2C85963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w:t>
            </w:r>
          </w:p>
        </w:tc>
      </w:tr>
      <w:tr w14:paraId="5F82E2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4" w:hRule="atLeast"/>
        </w:trPr>
        <w:tc>
          <w:tcPr>
            <w:tcW w:w="2024" w:type="dxa"/>
            <w:noWrap w:val="0"/>
            <w:tcMar>
              <w:top w:w="16" w:type="dxa"/>
              <w:left w:w="16" w:type="dxa"/>
              <w:right w:w="16" w:type="dxa"/>
            </w:tcMar>
            <w:vAlign w:val="center"/>
          </w:tcPr>
          <w:p w14:paraId="446361BE">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环保投资占比（%）</w:t>
            </w:r>
          </w:p>
        </w:tc>
        <w:tc>
          <w:tcPr>
            <w:tcW w:w="1889" w:type="dxa"/>
            <w:noWrap w:val="0"/>
            <w:vAlign w:val="center"/>
          </w:tcPr>
          <w:p w14:paraId="75F51BA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1.82</w:t>
            </w:r>
            <w:r>
              <w:rPr>
                <w:rFonts w:hint="default" w:ascii="Times New Roman" w:hAnsi="Times New Roman" w:eastAsia="宋体" w:cs="Times New Roman"/>
                <w:color w:val="auto"/>
                <w:sz w:val="21"/>
                <w:szCs w:val="21"/>
                <w:highlight w:val="none"/>
                <w:lang w:val="en-US" w:eastAsia="zh-CN"/>
              </w:rPr>
              <w:t>%</w:t>
            </w:r>
          </w:p>
        </w:tc>
        <w:tc>
          <w:tcPr>
            <w:tcW w:w="2013" w:type="dxa"/>
            <w:noWrap w:val="0"/>
            <w:tcMar>
              <w:top w:w="16" w:type="dxa"/>
              <w:left w:w="16" w:type="dxa"/>
              <w:right w:w="16" w:type="dxa"/>
            </w:tcMar>
            <w:vAlign w:val="center"/>
          </w:tcPr>
          <w:p w14:paraId="26C9DED7">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施工工期</w:t>
            </w:r>
          </w:p>
        </w:tc>
        <w:tc>
          <w:tcPr>
            <w:tcW w:w="3162" w:type="dxa"/>
            <w:noWrap w:val="0"/>
            <w:vAlign w:val="center"/>
          </w:tcPr>
          <w:p w14:paraId="7E54358E">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w:t>
            </w:r>
            <w:r>
              <w:rPr>
                <w:rFonts w:hint="default" w:ascii="Times New Roman" w:hAnsi="Times New Roman" w:eastAsia="宋体" w:cs="Times New Roman"/>
                <w:color w:val="auto"/>
                <w:sz w:val="21"/>
                <w:szCs w:val="21"/>
                <w:highlight w:val="none"/>
                <w:lang w:val="en-US" w:eastAsia="zh-CN"/>
              </w:rPr>
              <w:t>个月</w:t>
            </w:r>
          </w:p>
        </w:tc>
      </w:tr>
      <w:tr w14:paraId="0C40896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7" w:hRule="atLeast"/>
        </w:trPr>
        <w:tc>
          <w:tcPr>
            <w:tcW w:w="2024" w:type="dxa"/>
            <w:noWrap w:val="0"/>
            <w:tcMar>
              <w:top w:w="16" w:type="dxa"/>
              <w:left w:w="16" w:type="dxa"/>
              <w:right w:w="16" w:type="dxa"/>
            </w:tcMar>
            <w:vAlign w:val="center"/>
          </w:tcPr>
          <w:p w14:paraId="28A7E036">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是否开工建设</w:t>
            </w:r>
          </w:p>
        </w:tc>
        <w:tc>
          <w:tcPr>
            <w:tcW w:w="1889" w:type="dxa"/>
            <w:noWrap w:val="0"/>
            <w:vAlign w:val="center"/>
          </w:tcPr>
          <w:p w14:paraId="203F8EEB">
            <w:pPr>
              <w:keepNext w:val="0"/>
              <w:keepLines w:val="0"/>
              <w:pageBreakBefore w:val="0"/>
              <w:widowControl w:val="0"/>
              <w:kinsoku/>
              <w:wordWrap/>
              <w:overflowPunct/>
              <w:topLinePunct w:val="0"/>
              <w:autoSpaceDE/>
              <w:autoSpaceDN/>
              <w:bidi w:val="0"/>
              <w:adjustRightInd/>
              <w:snapToGrid/>
              <w:spacing w:beforeLines="0" w:afterLines="0" w:line="240" w:lineRule="auto"/>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52"/>
            </w:r>
            <w:r>
              <w:rPr>
                <w:rFonts w:hint="default" w:ascii="Times New Roman" w:hAnsi="Times New Roman" w:eastAsia="宋体" w:cs="Times New Roman"/>
                <w:color w:val="auto"/>
                <w:sz w:val="21"/>
                <w:szCs w:val="21"/>
                <w:highlight w:val="none"/>
              </w:rPr>
              <w:t>否</w:t>
            </w:r>
          </w:p>
          <w:p w14:paraId="1F2850D7">
            <w:pPr>
              <w:keepNext w:val="0"/>
              <w:keepLines w:val="0"/>
              <w:pageBreakBefore w:val="0"/>
              <w:widowControl w:val="0"/>
              <w:kinsoku/>
              <w:wordWrap/>
              <w:overflowPunct/>
              <w:topLinePunct w:val="0"/>
              <w:autoSpaceDE/>
              <w:autoSpaceDN/>
              <w:bidi w:val="0"/>
              <w:adjustRightInd/>
              <w:snapToGrid/>
              <w:spacing w:beforeLines="0" w:afterLines="0" w:line="240" w:lineRule="auto"/>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4"/>
                <w:sz w:val="21"/>
                <w:szCs w:val="21"/>
                <w:highlight w:val="none"/>
                <w:lang w:eastAsia="zh-CN"/>
              </w:rPr>
              <w:sym w:font="Wingdings 2" w:char="00A3"/>
            </w:r>
            <w:r>
              <w:rPr>
                <w:rFonts w:hint="default" w:ascii="Times New Roman" w:hAnsi="Times New Roman" w:eastAsia="宋体" w:cs="Times New Roman"/>
                <w:color w:val="auto"/>
                <w:sz w:val="21"/>
                <w:szCs w:val="21"/>
                <w:highlight w:val="none"/>
              </w:rPr>
              <w:t>是：</w:t>
            </w:r>
            <w:r>
              <w:rPr>
                <w:rFonts w:hint="default" w:ascii="Times New Roman" w:hAnsi="Times New Roman" w:eastAsia="宋体" w:cs="Times New Roman"/>
                <w:color w:val="auto"/>
                <w:sz w:val="21"/>
                <w:szCs w:val="21"/>
                <w:highlight w:val="none"/>
                <w:u w:val="single"/>
              </w:rPr>
              <w:t xml:space="preserve">     </w:t>
            </w:r>
            <w:r>
              <w:rPr>
                <w:rFonts w:hint="eastAsia" w:cs="Times New Roman"/>
                <w:color w:val="auto"/>
                <w:sz w:val="21"/>
                <w:szCs w:val="21"/>
                <w:highlight w:val="none"/>
                <w:u w:val="single"/>
                <w:lang w:val="en-US" w:eastAsia="zh-CN"/>
              </w:rPr>
              <w:t xml:space="preserve"> </w:t>
            </w:r>
            <w:r>
              <w:rPr>
                <w:rFonts w:hint="default" w:ascii="Times New Roman" w:hAnsi="Times New Roman" w:eastAsia="宋体" w:cs="Times New Roman"/>
                <w:color w:val="auto"/>
                <w:sz w:val="21"/>
                <w:szCs w:val="21"/>
                <w:highlight w:val="none"/>
                <w:u w:val="single"/>
              </w:rPr>
              <w:t xml:space="preserve">   </w:t>
            </w:r>
          </w:p>
        </w:tc>
        <w:tc>
          <w:tcPr>
            <w:tcW w:w="2013" w:type="dxa"/>
            <w:noWrap w:val="0"/>
            <w:tcMar>
              <w:top w:w="16" w:type="dxa"/>
              <w:left w:w="16" w:type="dxa"/>
              <w:right w:w="16" w:type="dxa"/>
            </w:tcMar>
            <w:vAlign w:val="center"/>
          </w:tcPr>
          <w:p w14:paraId="28B769CA">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pacing w:val="-6"/>
                <w:sz w:val="21"/>
                <w:szCs w:val="21"/>
                <w:highlight w:val="none"/>
              </w:rPr>
            </w:pPr>
            <w:r>
              <w:rPr>
                <w:rFonts w:hint="default" w:ascii="Times New Roman" w:hAnsi="Times New Roman" w:eastAsia="宋体" w:cs="Times New Roman"/>
                <w:color w:val="auto"/>
                <w:spacing w:val="-6"/>
                <w:sz w:val="21"/>
                <w:szCs w:val="21"/>
                <w:highlight w:val="none"/>
              </w:rPr>
              <w:t>用地（用海）</w:t>
            </w:r>
          </w:p>
          <w:p w14:paraId="76810B35">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pacing w:val="-6"/>
                <w:sz w:val="21"/>
                <w:szCs w:val="21"/>
                <w:highlight w:val="none"/>
              </w:rPr>
              <w:t>面积（m</w:t>
            </w:r>
            <w:r>
              <w:rPr>
                <w:rFonts w:hint="default" w:ascii="Times New Roman" w:hAnsi="Times New Roman" w:eastAsia="宋体" w:cs="Times New Roman"/>
                <w:color w:val="auto"/>
                <w:spacing w:val="-6"/>
                <w:sz w:val="21"/>
                <w:szCs w:val="21"/>
                <w:highlight w:val="none"/>
                <w:vertAlign w:val="superscript"/>
              </w:rPr>
              <w:t>2</w:t>
            </w:r>
            <w:r>
              <w:rPr>
                <w:rFonts w:hint="default" w:ascii="Times New Roman" w:hAnsi="Times New Roman" w:eastAsia="宋体" w:cs="Times New Roman"/>
                <w:color w:val="auto"/>
                <w:spacing w:val="-6"/>
                <w:sz w:val="21"/>
                <w:szCs w:val="21"/>
                <w:highlight w:val="none"/>
              </w:rPr>
              <w:t>）</w:t>
            </w:r>
          </w:p>
        </w:tc>
        <w:tc>
          <w:tcPr>
            <w:tcW w:w="3162" w:type="dxa"/>
            <w:noWrap w:val="0"/>
            <w:vAlign w:val="center"/>
          </w:tcPr>
          <w:p w14:paraId="0E91CE64">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不新增</w:t>
            </w:r>
          </w:p>
        </w:tc>
      </w:tr>
      <w:tr w14:paraId="41DC51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2024" w:type="dxa"/>
            <w:noWrap w:val="0"/>
            <w:vAlign w:val="center"/>
          </w:tcPr>
          <w:p w14:paraId="45E0188B">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专项评价设置情况</w:t>
            </w:r>
          </w:p>
        </w:tc>
        <w:tc>
          <w:tcPr>
            <w:tcW w:w="7064" w:type="dxa"/>
            <w:gridSpan w:val="3"/>
            <w:noWrap w:val="0"/>
            <w:vAlign w:val="center"/>
          </w:tcPr>
          <w:p w14:paraId="27A56B3B">
            <w:pPr>
              <w:keepNext w:val="0"/>
              <w:keepLines w:val="0"/>
              <w:pageBreakBefore w:val="0"/>
              <w:widowControl w:val="0"/>
              <w:kinsoku/>
              <w:wordWrap/>
              <w:overflowPunct/>
              <w:topLinePunct w:val="0"/>
              <w:autoSpaceDE/>
              <w:autoSpaceDN/>
              <w:bidi w:val="0"/>
              <w:adjustRightInd/>
              <w:snapToGrid/>
              <w:spacing w:beforeLines="0" w:afterLines="0" w:line="360" w:lineRule="auto"/>
              <w:jc w:val="center"/>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无</w:t>
            </w:r>
          </w:p>
        </w:tc>
      </w:tr>
      <w:tr w14:paraId="3F6396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2" w:hRule="atLeast"/>
        </w:trPr>
        <w:tc>
          <w:tcPr>
            <w:tcW w:w="2024" w:type="dxa"/>
            <w:noWrap w:val="0"/>
            <w:vAlign w:val="center"/>
          </w:tcPr>
          <w:p w14:paraId="5B26F688">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规划情况</w:t>
            </w:r>
          </w:p>
        </w:tc>
        <w:tc>
          <w:tcPr>
            <w:tcW w:w="7064" w:type="dxa"/>
            <w:gridSpan w:val="3"/>
            <w:noWrap w:val="0"/>
            <w:vAlign w:val="center"/>
          </w:tcPr>
          <w:p w14:paraId="6881BFED">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auto"/>
              <w:rPr>
                <w:rFonts w:hint="eastAsia"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规划文件：《河北石家庄循环化工园区总体规划（2016-2035）</w:t>
            </w:r>
            <w:r>
              <w:rPr>
                <w:rFonts w:hint="eastAsia" w:ascii="Times New Roman" w:hAnsi="Times New Roman" w:eastAsia="宋体" w:cs="Times New Roman"/>
                <w:color w:val="auto"/>
                <w:kern w:val="0"/>
                <w:sz w:val="21"/>
                <w:szCs w:val="21"/>
                <w:highlight w:val="none"/>
                <w:lang w:val="en-US" w:eastAsia="zh-CN"/>
              </w:rPr>
              <w:t>；</w:t>
            </w:r>
          </w:p>
          <w:p w14:paraId="5FC36250">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auto"/>
              <w:rPr>
                <w:rFonts w:hint="eastAsia"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审查机关：</w:t>
            </w:r>
            <w:r>
              <w:rPr>
                <w:rFonts w:hint="eastAsia" w:ascii="Times New Roman" w:hAnsi="Times New Roman" w:eastAsia="宋体" w:cs="Times New Roman"/>
                <w:color w:val="auto"/>
                <w:kern w:val="0"/>
                <w:sz w:val="21"/>
                <w:szCs w:val="21"/>
                <w:highlight w:val="none"/>
                <w:lang w:val="en-US" w:eastAsia="zh-CN"/>
              </w:rPr>
              <w:t>\；</w:t>
            </w:r>
          </w:p>
          <w:p w14:paraId="397F44AB">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auto"/>
              <w:rPr>
                <w:rFonts w:hint="eastAsia"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rPr>
              <w:t>审查文件名称及文号：</w:t>
            </w:r>
            <w:r>
              <w:rPr>
                <w:rFonts w:hint="eastAsia" w:ascii="Times New Roman" w:hAnsi="Times New Roman" w:eastAsia="宋体" w:cs="Times New Roman"/>
                <w:color w:val="auto"/>
                <w:kern w:val="0"/>
                <w:sz w:val="21"/>
                <w:szCs w:val="21"/>
                <w:highlight w:val="none"/>
                <w:lang w:val="en-US" w:eastAsia="zh-CN"/>
              </w:rPr>
              <w:t>\</w:t>
            </w:r>
            <w:r>
              <w:rPr>
                <w:rFonts w:hint="eastAsia" w:ascii="Times New Roman" w:hAnsi="Times New Roman" w:eastAsia="宋体" w:cs="Times New Roman"/>
                <w:color w:val="auto"/>
                <w:kern w:val="0"/>
                <w:sz w:val="21"/>
                <w:szCs w:val="21"/>
                <w:highlight w:val="none"/>
                <w:lang w:eastAsia="zh-CN"/>
              </w:rPr>
              <w:t>。</w:t>
            </w:r>
          </w:p>
        </w:tc>
      </w:tr>
      <w:tr w14:paraId="7FCFE2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37" w:hRule="atLeast"/>
        </w:trPr>
        <w:tc>
          <w:tcPr>
            <w:tcW w:w="2024" w:type="dxa"/>
            <w:noWrap w:val="0"/>
            <w:vAlign w:val="center"/>
          </w:tcPr>
          <w:p w14:paraId="35AF6F41">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规划环境影响</w:t>
            </w:r>
          </w:p>
          <w:p w14:paraId="5EB8F083">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评价情况</w:t>
            </w:r>
          </w:p>
        </w:tc>
        <w:tc>
          <w:tcPr>
            <w:tcW w:w="7064" w:type="dxa"/>
            <w:gridSpan w:val="3"/>
            <w:noWrap w:val="0"/>
            <w:vAlign w:val="center"/>
          </w:tcPr>
          <w:p w14:paraId="0C02D2AF">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auto"/>
              <w:rPr>
                <w:rFonts w:hint="eastAsia" w:ascii="Times New Roman" w:hAnsi="Times New Roman" w:eastAsia="宋体" w:cs="Times New Roman"/>
                <w:color w:val="auto"/>
                <w:kern w:val="0"/>
                <w:sz w:val="21"/>
                <w:szCs w:val="21"/>
                <w:highlight w:val="none"/>
                <w:lang w:eastAsia="zh-CN"/>
              </w:rPr>
            </w:pPr>
            <w:r>
              <w:rPr>
                <w:rFonts w:hint="default" w:ascii="Times New Roman" w:hAnsi="Times New Roman" w:eastAsia="宋体" w:cs="Times New Roman"/>
                <w:color w:val="auto"/>
                <w:kern w:val="0"/>
                <w:sz w:val="21"/>
                <w:szCs w:val="21"/>
                <w:highlight w:val="none"/>
              </w:rPr>
              <w:t>规划环境影响评价文件名称：《</w:t>
            </w:r>
            <w:r>
              <w:rPr>
                <w:rFonts w:hint="eastAsia" w:cs="Times New Roman"/>
                <w:color w:val="auto"/>
                <w:kern w:val="0"/>
                <w:sz w:val="21"/>
                <w:szCs w:val="21"/>
                <w:highlight w:val="none"/>
                <w:lang w:eastAsia="zh-CN"/>
              </w:rPr>
              <w:t>河北</w:t>
            </w:r>
            <w:r>
              <w:rPr>
                <w:rFonts w:hint="default" w:ascii="Times New Roman" w:hAnsi="Times New Roman" w:eastAsia="宋体" w:cs="Times New Roman"/>
                <w:color w:val="auto"/>
                <w:kern w:val="0"/>
                <w:sz w:val="21"/>
                <w:szCs w:val="21"/>
                <w:highlight w:val="none"/>
              </w:rPr>
              <w:t>石家庄循环化工园区总体规划（2016-2035）环境影响报告书》</w:t>
            </w:r>
            <w:r>
              <w:rPr>
                <w:rFonts w:hint="eastAsia" w:cs="Times New Roman"/>
                <w:color w:val="auto"/>
                <w:kern w:val="0"/>
                <w:sz w:val="21"/>
                <w:szCs w:val="21"/>
                <w:highlight w:val="none"/>
                <w:lang w:eastAsia="zh-CN"/>
              </w:rPr>
              <w:t>；</w:t>
            </w:r>
          </w:p>
          <w:p w14:paraId="5E09001F">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auto"/>
              <w:rPr>
                <w:rFonts w:hint="eastAsia" w:ascii="Times New Roman" w:hAnsi="Times New Roman" w:eastAsia="宋体" w:cs="Times New Roman"/>
                <w:color w:val="auto"/>
                <w:kern w:val="0"/>
                <w:sz w:val="21"/>
                <w:szCs w:val="21"/>
                <w:highlight w:val="none"/>
                <w:lang w:eastAsia="zh-CN"/>
              </w:rPr>
            </w:pPr>
            <w:r>
              <w:rPr>
                <w:rFonts w:hint="default" w:ascii="Times New Roman" w:hAnsi="Times New Roman" w:eastAsia="宋体" w:cs="Times New Roman"/>
                <w:color w:val="auto"/>
                <w:kern w:val="0"/>
                <w:sz w:val="21"/>
                <w:szCs w:val="21"/>
                <w:highlight w:val="none"/>
              </w:rPr>
              <w:t>审查机关：河北省生态环境厅</w:t>
            </w:r>
            <w:r>
              <w:rPr>
                <w:rFonts w:hint="eastAsia" w:cs="Times New Roman"/>
                <w:color w:val="auto"/>
                <w:kern w:val="0"/>
                <w:sz w:val="21"/>
                <w:szCs w:val="21"/>
                <w:highlight w:val="none"/>
                <w:lang w:eastAsia="zh-CN"/>
              </w:rPr>
              <w:t>；</w:t>
            </w:r>
          </w:p>
          <w:p w14:paraId="71A18DA4">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auto"/>
              <w:rPr>
                <w:rFonts w:hint="eastAsia" w:ascii="Times New Roman" w:hAnsi="Times New Roman" w:eastAsia="宋体" w:cs="Times New Roman"/>
                <w:color w:val="auto"/>
                <w:kern w:val="0"/>
                <w:sz w:val="21"/>
                <w:szCs w:val="21"/>
                <w:highlight w:val="none"/>
                <w:lang w:eastAsia="zh-CN"/>
              </w:rPr>
            </w:pPr>
            <w:r>
              <w:rPr>
                <w:rFonts w:hint="default" w:ascii="Times New Roman" w:hAnsi="Times New Roman" w:eastAsia="宋体" w:cs="Times New Roman"/>
                <w:color w:val="auto"/>
                <w:kern w:val="0"/>
                <w:sz w:val="21"/>
                <w:szCs w:val="21"/>
                <w:highlight w:val="none"/>
              </w:rPr>
              <w:t>审查文件名称及文号：《关于</w:t>
            </w:r>
            <w:r>
              <w:rPr>
                <w:rFonts w:hint="eastAsia" w:cs="Times New Roman"/>
                <w:color w:val="auto"/>
                <w:kern w:val="0"/>
                <w:sz w:val="21"/>
                <w:szCs w:val="21"/>
                <w:highlight w:val="none"/>
                <w:lang w:eastAsia="zh-CN"/>
              </w:rPr>
              <w:t>转送河北</w:t>
            </w:r>
            <w:r>
              <w:rPr>
                <w:rFonts w:hint="default" w:ascii="Times New Roman" w:hAnsi="Times New Roman" w:eastAsia="宋体" w:cs="Times New Roman"/>
                <w:color w:val="auto"/>
                <w:kern w:val="0"/>
                <w:sz w:val="21"/>
                <w:szCs w:val="21"/>
                <w:highlight w:val="none"/>
              </w:rPr>
              <w:t>石家庄循环化工园区总体规划环境影响报告书审查意见的函》（冀环环评函[2019]1580号）</w:t>
            </w:r>
            <w:r>
              <w:rPr>
                <w:rFonts w:hint="eastAsia" w:cs="Times New Roman"/>
                <w:color w:val="auto"/>
                <w:kern w:val="0"/>
                <w:sz w:val="21"/>
                <w:szCs w:val="21"/>
                <w:highlight w:val="none"/>
                <w:lang w:eastAsia="zh-CN"/>
              </w:rPr>
              <w:t>。</w:t>
            </w:r>
          </w:p>
        </w:tc>
      </w:tr>
      <w:tr w14:paraId="699750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24" w:type="dxa"/>
            <w:noWrap w:val="0"/>
            <w:vAlign w:val="center"/>
          </w:tcPr>
          <w:p w14:paraId="081EBC59">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规划及规划环境影响评价符合性分析</w:t>
            </w:r>
          </w:p>
        </w:tc>
        <w:tc>
          <w:tcPr>
            <w:tcW w:w="7064" w:type="dxa"/>
            <w:gridSpan w:val="3"/>
            <w:noWrap w:val="0"/>
            <w:vAlign w:val="center"/>
          </w:tcPr>
          <w:p w14:paraId="454BBA38">
            <w:pPr>
              <w:spacing w:line="360" w:lineRule="auto"/>
              <w:ind w:firstLine="422" w:firstLineChars="200"/>
              <w:textAlignment w:val="baseline"/>
              <w:rPr>
                <w:rFonts w:hint="eastAsia"/>
                <w:b/>
                <w:bCs/>
                <w:color w:val="auto"/>
                <w:sz w:val="21"/>
                <w:szCs w:val="21"/>
                <w:highlight w:val="none"/>
              </w:rPr>
            </w:pPr>
            <w:r>
              <w:rPr>
                <w:rFonts w:hint="eastAsia" w:eastAsia="宋体"/>
                <w:b/>
                <w:bCs/>
                <w:color w:val="auto"/>
                <w:sz w:val="21"/>
                <w:szCs w:val="21"/>
                <w:highlight w:val="none"/>
                <w:lang w:eastAsia="zh-CN"/>
              </w:rPr>
              <w:t>（</w:t>
            </w:r>
            <w:r>
              <w:rPr>
                <w:rFonts w:hint="eastAsia" w:ascii="Times New Roman" w:eastAsia="宋体"/>
                <w:b/>
                <w:bCs/>
                <w:color w:val="auto"/>
                <w:sz w:val="21"/>
                <w:szCs w:val="21"/>
                <w:highlight w:val="none"/>
                <w:lang w:val="en-US" w:eastAsia="zh-CN"/>
              </w:rPr>
              <w:t>一</w:t>
            </w:r>
            <w:r>
              <w:rPr>
                <w:rFonts w:hint="eastAsia" w:eastAsia="宋体"/>
                <w:b/>
                <w:bCs/>
                <w:color w:val="auto"/>
                <w:sz w:val="21"/>
                <w:szCs w:val="21"/>
                <w:highlight w:val="none"/>
                <w:lang w:eastAsia="zh-CN"/>
              </w:rPr>
              <w:t>）</w:t>
            </w:r>
            <w:r>
              <w:rPr>
                <w:rFonts w:hint="eastAsia"/>
                <w:b/>
                <w:bCs/>
                <w:color w:val="auto"/>
                <w:sz w:val="21"/>
                <w:szCs w:val="21"/>
                <w:highlight w:val="none"/>
              </w:rPr>
              <w:t>规划符合性分析</w:t>
            </w:r>
          </w:p>
          <w:p w14:paraId="417F1DBE">
            <w:pPr>
              <w:spacing w:line="360" w:lineRule="auto"/>
              <w:ind w:firstLine="420" w:firstLineChars="200"/>
              <w:textAlignment w:val="baseline"/>
              <w:rPr>
                <w:color w:val="auto"/>
                <w:sz w:val="21"/>
                <w:szCs w:val="21"/>
                <w:highlight w:val="none"/>
              </w:rPr>
            </w:pPr>
            <w:r>
              <w:rPr>
                <w:rFonts w:hint="default"/>
                <w:color w:val="auto"/>
                <w:sz w:val="21"/>
                <w:szCs w:val="21"/>
                <w:highlight w:val="none"/>
                <w:lang w:val="en-US" w:eastAsia="zh-CN"/>
              </w:rPr>
              <w:t>石家庄高新技术产业开发区循环化工园区前身为石家庄化工基地，2009年7月，化工基地扩大用地面积，编制了《石家庄市化工基地规划（2009-2020）》，用地规模扩大到10.26km</w:t>
            </w:r>
            <w:r>
              <w:rPr>
                <w:rFonts w:hint="default"/>
                <w:color w:val="auto"/>
                <w:sz w:val="21"/>
                <w:szCs w:val="21"/>
                <w:highlight w:val="none"/>
                <w:vertAlign w:val="superscript"/>
                <w:lang w:val="en-US" w:eastAsia="zh-CN"/>
              </w:rPr>
              <w:t>2</w:t>
            </w:r>
            <w:r>
              <w:rPr>
                <w:rFonts w:hint="default"/>
                <w:color w:val="auto"/>
                <w:sz w:val="21"/>
                <w:szCs w:val="21"/>
                <w:highlight w:val="none"/>
                <w:lang w:val="en-US" w:eastAsia="zh-CN"/>
              </w:rPr>
              <w:t>。规划范围为石炼路以南，规划化工南路以北，东石环以东，塔西大街以西。2010年，原河北省环境保护厅组织审查了该基地规划环评（冀环评函[2011]528号）。规划功能定位为</w:t>
            </w:r>
            <w:r>
              <w:rPr>
                <w:rFonts w:hint="eastAsia"/>
                <w:color w:val="auto"/>
                <w:sz w:val="21"/>
                <w:szCs w:val="21"/>
                <w:highlight w:val="none"/>
                <w:lang w:val="en-US" w:eastAsia="zh-CN"/>
              </w:rPr>
              <w:t>“</w:t>
            </w:r>
            <w:r>
              <w:rPr>
                <w:rFonts w:hint="default"/>
                <w:color w:val="auto"/>
                <w:sz w:val="21"/>
                <w:szCs w:val="21"/>
                <w:highlight w:val="none"/>
                <w:lang w:val="en-US" w:eastAsia="zh-CN"/>
              </w:rPr>
              <w:t>集中建设以石油化工、煤化工和氯碱化工</w:t>
            </w:r>
            <w:r>
              <w:rPr>
                <w:rFonts w:hint="eastAsia"/>
                <w:color w:val="auto"/>
                <w:sz w:val="21"/>
                <w:szCs w:val="21"/>
                <w:highlight w:val="none"/>
                <w:lang w:val="en-US" w:eastAsia="zh-CN"/>
              </w:rPr>
              <w:t>“</w:t>
            </w:r>
            <w:r>
              <w:rPr>
                <w:rFonts w:hint="default"/>
                <w:color w:val="auto"/>
                <w:sz w:val="21"/>
                <w:szCs w:val="21"/>
                <w:highlight w:val="none"/>
                <w:lang w:val="en-US" w:eastAsia="zh-CN"/>
              </w:rPr>
              <w:t>三化合一</w:t>
            </w:r>
            <w:r>
              <w:rPr>
                <w:rFonts w:hint="eastAsia"/>
                <w:color w:val="auto"/>
                <w:sz w:val="21"/>
                <w:szCs w:val="21"/>
                <w:highlight w:val="none"/>
                <w:lang w:val="en-US" w:eastAsia="zh-CN"/>
              </w:rPr>
              <w:t>”</w:t>
            </w:r>
            <w:r>
              <w:rPr>
                <w:rFonts w:hint="default"/>
                <w:color w:val="auto"/>
                <w:sz w:val="21"/>
                <w:szCs w:val="21"/>
                <w:highlight w:val="none"/>
                <w:lang w:val="en-US" w:eastAsia="zh-CN"/>
              </w:rPr>
              <w:t>为特色的循环经济产业聚集区</w:t>
            </w:r>
            <w:r>
              <w:rPr>
                <w:rFonts w:hint="eastAsia"/>
                <w:color w:val="auto"/>
                <w:sz w:val="21"/>
                <w:szCs w:val="21"/>
                <w:highlight w:val="none"/>
                <w:lang w:val="en-US" w:eastAsia="zh-CN"/>
              </w:rPr>
              <w:t>”</w:t>
            </w:r>
            <w:r>
              <w:rPr>
                <w:rFonts w:hint="default"/>
                <w:color w:val="auto"/>
                <w:sz w:val="21"/>
                <w:szCs w:val="21"/>
                <w:highlight w:val="none"/>
                <w:lang w:val="en-US" w:eastAsia="zh-CN"/>
              </w:rPr>
              <w:t>。2012年9月，石家庄循环化工园区管委会组建，托管丘头镇，范围包括原来化工基地和整个丘头镇范围，园区职能向产、城、乡多功能转变。2019年，管委会对原规划进行了调整，编制了《河北石家庄循环化工园区总体规划（2016-2035）》，规划范围为工业区、城镇建设区和美丽乡村规划区，规划面积扩大至56.52km</w:t>
            </w:r>
            <w:r>
              <w:rPr>
                <w:rFonts w:hint="default"/>
                <w:color w:val="auto"/>
                <w:sz w:val="21"/>
                <w:szCs w:val="21"/>
                <w:highlight w:val="none"/>
                <w:vertAlign w:val="superscript"/>
                <w:lang w:val="en-US" w:eastAsia="zh-CN"/>
              </w:rPr>
              <w:t>2</w:t>
            </w:r>
            <w:r>
              <w:rPr>
                <w:rFonts w:hint="default"/>
                <w:color w:val="auto"/>
                <w:sz w:val="21"/>
                <w:szCs w:val="21"/>
                <w:highlight w:val="none"/>
                <w:lang w:val="en-US" w:eastAsia="zh-CN"/>
              </w:rPr>
              <w:t>。2019年12月，河北省生态环境厅组织审查了该规划环评（冀环环评函〔2019〕1580号）</w:t>
            </w:r>
            <w:r>
              <w:rPr>
                <w:color w:val="auto"/>
                <w:sz w:val="21"/>
                <w:szCs w:val="21"/>
                <w:highlight w:val="none"/>
              </w:rPr>
              <w:t>。</w:t>
            </w:r>
          </w:p>
          <w:p w14:paraId="59C7FB52">
            <w:pPr>
              <w:spacing w:line="360" w:lineRule="auto"/>
              <w:ind w:firstLine="420" w:firstLineChars="200"/>
              <w:textAlignment w:val="baseline"/>
              <w:rPr>
                <w:color w:val="auto"/>
                <w:sz w:val="21"/>
                <w:szCs w:val="21"/>
                <w:highlight w:val="none"/>
              </w:rPr>
            </w:pPr>
            <w:r>
              <w:rPr>
                <w:color w:val="auto"/>
                <w:sz w:val="21"/>
                <w:szCs w:val="21"/>
                <w:highlight w:val="none"/>
              </w:rPr>
              <w:t>1、规划范围</w:t>
            </w:r>
          </w:p>
          <w:p w14:paraId="5898189F">
            <w:pPr>
              <w:spacing w:line="360" w:lineRule="auto"/>
              <w:ind w:firstLine="420" w:firstLineChars="200"/>
              <w:textAlignment w:val="baseline"/>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石家庄高新技术产业开发区循环化工园区托管范围，包括园区上轮总体规划划定的范围和丘头镇域范围，总面积约56.52km</w:t>
            </w:r>
            <w:r>
              <w:rPr>
                <w:rFonts w:hint="eastAsia" w:ascii="Times New Roman" w:hAnsi="Times New Roman" w:eastAsia="宋体" w:cs="Times New Roman"/>
                <w:color w:val="auto"/>
                <w:sz w:val="21"/>
                <w:szCs w:val="21"/>
                <w:highlight w:val="none"/>
                <w:vertAlign w:val="superscript"/>
                <w:lang w:val="en-US" w:eastAsia="zh-CN"/>
              </w:rPr>
              <w:t>2</w:t>
            </w:r>
            <w:r>
              <w:rPr>
                <w:rFonts w:hint="eastAsia" w:ascii="Times New Roman" w:hAnsi="Times New Roman" w:eastAsia="宋体" w:cs="Times New Roman"/>
                <w:color w:val="auto"/>
                <w:sz w:val="21"/>
                <w:szCs w:val="21"/>
                <w:highlight w:val="none"/>
                <w:lang w:val="en-US" w:eastAsia="zh-CN"/>
              </w:rPr>
              <w:t>。</w:t>
            </w:r>
          </w:p>
          <w:p w14:paraId="2FD6C9B2">
            <w:pPr>
              <w:spacing w:line="360" w:lineRule="auto"/>
              <w:ind w:firstLine="422" w:firstLineChars="200"/>
              <w:textAlignment w:val="baseline"/>
              <w:rPr>
                <w:b/>
                <w:bCs/>
                <w:color w:val="auto"/>
                <w:sz w:val="21"/>
                <w:szCs w:val="21"/>
                <w:highlight w:val="none"/>
              </w:rPr>
            </w:pPr>
            <w:r>
              <w:rPr>
                <w:rFonts w:hint="eastAsia" w:ascii="Times New Roman" w:eastAsia="宋体"/>
                <w:b/>
                <w:bCs/>
                <w:color w:val="auto"/>
                <w:sz w:val="21"/>
                <w:szCs w:val="21"/>
                <w:highlight w:val="none"/>
                <w:lang w:val="en-US" w:eastAsia="zh-CN"/>
              </w:rPr>
              <w:t>本</w:t>
            </w:r>
            <w:r>
              <w:rPr>
                <w:b/>
                <w:bCs/>
                <w:color w:val="auto"/>
                <w:sz w:val="21"/>
                <w:szCs w:val="21"/>
                <w:highlight w:val="none"/>
              </w:rPr>
              <w:t>项目位于</w:t>
            </w:r>
            <w:r>
              <w:rPr>
                <w:rFonts w:hint="default" w:ascii="Times New Roman" w:hAnsi="Times New Roman" w:eastAsia="宋体" w:cs="Times New Roman"/>
                <w:b/>
                <w:bCs/>
                <w:color w:val="auto"/>
                <w:sz w:val="21"/>
                <w:szCs w:val="21"/>
                <w:highlight w:val="none"/>
                <w:u w:val="none"/>
                <w:lang w:val="en-US" w:eastAsia="zh-CN"/>
              </w:rPr>
              <w:t>石家庄高新区</w:t>
            </w:r>
            <w:r>
              <w:rPr>
                <w:rFonts w:hint="eastAsia" w:ascii="Times New Roman" w:hAnsi="Times New Roman" w:eastAsia="宋体" w:cs="Times New Roman"/>
                <w:b/>
                <w:bCs/>
                <w:color w:val="auto"/>
                <w:sz w:val="21"/>
                <w:szCs w:val="21"/>
                <w:highlight w:val="none"/>
                <w:u w:val="none"/>
                <w:lang w:val="en-US" w:eastAsia="zh-CN"/>
              </w:rPr>
              <w:t>化工中路100号石家庄东华金龙化工有限公司厂区内</w:t>
            </w:r>
            <w:r>
              <w:rPr>
                <w:b/>
                <w:bCs/>
                <w:color w:val="auto"/>
                <w:sz w:val="21"/>
                <w:szCs w:val="21"/>
                <w:highlight w:val="none"/>
              </w:rPr>
              <w:t>，位于规划范围内。</w:t>
            </w:r>
          </w:p>
          <w:p w14:paraId="16ED37B9">
            <w:pPr>
              <w:spacing w:line="360" w:lineRule="auto"/>
              <w:ind w:firstLine="420" w:firstLineChars="200"/>
              <w:textAlignment w:val="baseline"/>
              <w:rPr>
                <w:rFonts w:hint="eastAsia" w:eastAsia="宋体"/>
                <w:color w:val="auto"/>
                <w:sz w:val="21"/>
                <w:szCs w:val="21"/>
                <w:highlight w:val="none"/>
                <w:lang w:eastAsia="zh-CN"/>
              </w:rPr>
            </w:pPr>
            <w:r>
              <w:rPr>
                <w:color w:val="auto"/>
                <w:sz w:val="21"/>
                <w:szCs w:val="21"/>
                <w:highlight w:val="none"/>
              </w:rPr>
              <w:t>2、</w:t>
            </w:r>
            <w:r>
              <w:rPr>
                <w:rFonts w:hint="eastAsia"/>
                <w:color w:val="auto"/>
                <w:sz w:val="21"/>
                <w:szCs w:val="21"/>
                <w:highlight w:val="none"/>
                <w:lang w:val="en-US" w:eastAsia="zh-CN"/>
              </w:rPr>
              <w:t>用地布局及</w:t>
            </w:r>
            <w:r>
              <w:rPr>
                <w:color w:val="auto"/>
                <w:sz w:val="21"/>
                <w:szCs w:val="21"/>
                <w:highlight w:val="none"/>
              </w:rPr>
              <w:t>产业</w:t>
            </w:r>
            <w:r>
              <w:rPr>
                <w:rFonts w:hint="eastAsia"/>
                <w:color w:val="auto"/>
                <w:sz w:val="21"/>
                <w:szCs w:val="21"/>
                <w:highlight w:val="none"/>
                <w:lang w:val="en-US" w:eastAsia="zh-CN"/>
              </w:rPr>
              <w:t>定位</w:t>
            </w:r>
          </w:p>
          <w:p w14:paraId="7914D8BF">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规划发展定位：以</w:t>
            </w:r>
            <w:r>
              <w:rPr>
                <w:rFonts w:hint="eastAsia"/>
                <w:color w:val="auto"/>
                <w:sz w:val="21"/>
                <w:szCs w:val="21"/>
                <w:highlight w:val="none"/>
                <w:lang w:val="en-US" w:eastAsia="zh-CN"/>
              </w:rPr>
              <w:t>“</w:t>
            </w:r>
            <w:r>
              <w:rPr>
                <w:rFonts w:hint="eastAsia" w:ascii="Times New Roman" w:eastAsia="宋体"/>
                <w:color w:val="auto"/>
                <w:sz w:val="21"/>
                <w:szCs w:val="21"/>
                <w:highlight w:val="none"/>
                <w:lang w:val="en-US" w:eastAsia="zh-CN"/>
              </w:rPr>
              <w:t>国内一流、世界领先</w:t>
            </w:r>
            <w:r>
              <w:rPr>
                <w:rFonts w:hint="eastAsia"/>
                <w:color w:val="auto"/>
                <w:sz w:val="21"/>
                <w:szCs w:val="21"/>
                <w:highlight w:val="none"/>
                <w:lang w:val="en-US" w:eastAsia="zh-CN"/>
              </w:rPr>
              <w:t>”</w:t>
            </w:r>
            <w:r>
              <w:rPr>
                <w:rFonts w:hint="eastAsia" w:ascii="Times New Roman" w:eastAsia="宋体"/>
                <w:color w:val="auto"/>
                <w:sz w:val="21"/>
                <w:szCs w:val="21"/>
                <w:highlight w:val="none"/>
                <w:lang w:val="en-US" w:eastAsia="zh-CN"/>
              </w:rPr>
              <w:t>的石油化工产业集聚区为核心，推动产城融合，统筹城乡发展，创造良好生态环境，形成循环化工、宜居城镇、美丽乡村协调发展的新型园区。</w:t>
            </w:r>
          </w:p>
          <w:p w14:paraId="7531A15C">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规划发展方向：规划保留500kV高压走廊以东的村庄；基础化工集中在东三环以东、建石南路以南、塔西大街以西、化工南路以北的范围内发展，向周边适当拓展精细化工的发展空间；园区配套生活区主要向西北方向发展。</w:t>
            </w:r>
          </w:p>
          <w:p w14:paraId="42C2CA7D">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规划结构：园区形成</w:t>
            </w:r>
            <w:r>
              <w:rPr>
                <w:rFonts w:hint="eastAsia"/>
                <w:color w:val="auto"/>
                <w:sz w:val="21"/>
                <w:szCs w:val="21"/>
                <w:highlight w:val="none"/>
                <w:lang w:val="en-US" w:eastAsia="zh-CN"/>
              </w:rPr>
              <w:t>“</w:t>
            </w:r>
            <w:r>
              <w:rPr>
                <w:rFonts w:hint="eastAsia" w:ascii="Times New Roman" w:eastAsia="宋体"/>
                <w:color w:val="auto"/>
                <w:sz w:val="21"/>
                <w:szCs w:val="21"/>
                <w:highlight w:val="none"/>
                <w:lang w:val="en-US" w:eastAsia="zh-CN"/>
              </w:rPr>
              <w:t>一核三轴、两城一片、环状隔离</w:t>
            </w:r>
            <w:r>
              <w:rPr>
                <w:rFonts w:hint="eastAsia"/>
                <w:color w:val="auto"/>
                <w:sz w:val="21"/>
                <w:szCs w:val="21"/>
                <w:highlight w:val="none"/>
                <w:lang w:val="en-US" w:eastAsia="zh-CN"/>
              </w:rPr>
              <w:t>”</w:t>
            </w:r>
            <w:r>
              <w:rPr>
                <w:rFonts w:hint="eastAsia" w:ascii="Times New Roman" w:eastAsia="宋体"/>
                <w:color w:val="auto"/>
                <w:sz w:val="21"/>
                <w:szCs w:val="21"/>
                <w:highlight w:val="none"/>
                <w:lang w:val="en-US" w:eastAsia="zh-CN"/>
              </w:rPr>
              <w:t>的布局结构。</w:t>
            </w:r>
          </w:p>
          <w:p w14:paraId="3B6EDE7F">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①一核三轴</w:t>
            </w:r>
          </w:p>
          <w:p w14:paraId="610CCF4E">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一核：工业区。以化工产业为主，包括基础化工区、精细化工区。</w:t>
            </w:r>
          </w:p>
          <w:p w14:paraId="5FFD607A">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三轴：产城融合轴、城镇生活轴、城乡发展轴。</w:t>
            </w:r>
          </w:p>
          <w:p w14:paraId="20F67171">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产城融合轴：工业大街串联起产业核心发展区和城镇生活区，使工作和生活联系密切，产城融合。</w:t>
            </w:r>
          </w:p>
          <w:p w14:paraId="4AB2EB6C">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城镇生活轴：阿里山大街—北炼路串联丘头镇区和西北生活区，沿线布置主要公共服务设施，形成公共服务设施带，将两个生活片区紧密联系起来。</w:t>
            </w:r>
          </w:p>
          <w:p w14:paraId="4B55EE51">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城乡发展轴：化工中路及东侧村庄道路，串联起产业核心发展区及美丽乡村建设区，构成城乡发展的联系轴。</w:t>
            </w:r>
          </w:p>
          <w:p w14:paraId="534BCA19">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②两城一片</w:t>
            </w:r>
          </w:p>
          <w:p w14:paraId="7BD367E9">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两城：两个城镇生活片区。</w:t>
            </w:r>
          </w:p>
          <w:p w14:paraId="3F042CC5">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丘头镇区：丘头镇政府所在地、石炼化生活区，5个村的集中安置点（东西宽亭、桥板、童家庄和丘头等）。</w:t>
            </w:r>
          </w:p>
          <w:p w14:paraId="0AF5FE2A">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西北生活区：产业核心发展区的产业配套区及生活配套区，2个村庄的集中安置点。</w:t>
            </w:r>
          </w:p>
          <w:p w14:paraId="43D4607A">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一片：500kV高压走廊的东侧，在现状村庄的基础上，按照美丽乡村的思路，推进农村特色产业建设，实现乡村经济产业美，人居环境美，生态环境美，形成园区东侧一片美丽乡村建设区。</w:t>
            </w:r>
          </w:p>
          <w:p w14:paraId="3D0D6136">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③环状隔离</w:t>
            </w:r>
          </w:p>
          <w:p w14:paraId="3AA9BEC8">
            <w:pPr>
              <w:spacing w:line="360" w:lineRule="auto"/>
              <w:ind w:firstLine="420" w:firstLineChars="200"/>
              <w:textAlignment w:val="baseline"/>
              <w:rPr>
                <w:rFonts w:hint="eastAsia"/>
                <w:color w:val="auto"/>
                <w:sz w:val="21"/>
                <w:szCs w:val="21"/>
                <w:highlight w:val="none"/>
                <w:lang w:val="en-US" w:eastAsia="zh-CN"/>
              </w:rPr>
            </w:pPr>
            <w:r>
              <w:rPr>
                <w:rFonts w:hint="eastAsia" w:ascii="Times New Roman" w:eastAsia="宋体"/>
                <w:color w:val="auto"/>
                <w:sz w:val="21"/>
                <w:szCs w:val="21"/>
                <w:highlight w:val="none"/>
                <w:lang w:val="en-US" w:eastAsia="zh-CN"/>
              </w:rPr>
              <w:t>环状隔离带根据环保及安全防护的相关要求，在产业核心发展区外围设置环状隔离带，有效隔离产业核心发展区与周边城镇生活区、美丽乡村建设区，打造安全、绿色、环保的现代化新型园区。</w:t>
            </w:r>
          </w:p>
          <w:p w14:paraId="1A5AD2A6">
            <w:pPr>
              <w:spacing w:line="360" w:lineRule="auto"/>
              <w:ind w:firstLine="422" w:firstLineChars="200"/>
              <w:textAlignment w:val="baseline"/>
              <w:rPr>
                <w:rFonts w:hint="eastAsia"/>
                <w:color w:val="auto"/>
                <w:highlight w:val="none"/>
                <w:lang w:eastAsia="zh-CN"/>
              </w:rPr>
            </w:pPr>
            <w:r>
              <w:rPr>
                <w:rFonts w:hint="eastAsia" w:eastAsia="宋体"/>
                <w:b/>
                <w:bCs/>
                <w:color w:val="auto"/>
                <w:sz w:val="21"/>
                <w:szCs w:val="21"/>
                <w:highlight w:val="none"/>
                <w:lang w:eastAsia="zh-CN"/>
              </w:rPr>
              <w:t>本项目在石家庄东华金龙化工有限公司厂区内进行建设，厂区占地为工业用地，企业已取得土地证，符合园区总体规划。</w:t>
            </w:r>
            <w:commentRangeStart w:id="0"/>
            <w:r>
              <w:rPr>
                <w:rFonts w:hint="eastAsia" w:eastAsia="宋体"/>
                <w:b/>
                <w:bCs/>
                <w:color w:val="auto"/>
                <w:sz w:val="21"/>
                <w:szCs w:val="21"/>
                <w:highlight w:val="none"/>
                <w:lang w:eastAsia="zh-CN"/>
              </w:rPr>
              <w:t>本项目生产食品添加剂甘氨</w:t>
            </w:r>
            <w:r>
              <w:rPr>
                <w:rFonts w:hint="eastAsia"/>
                <w:b/>
                <w:bCs/>
                <w:color w:val="auto"/>
                <w:sz w:val="21"/>
                <w:szCs w:val="21"/>
                <w:highlight w:val="none"/>
                <w:lang w:val="en-US" w:eastAsia="zh-CN"/>
              </w:rPr>
              <w:t>酸亚铁</w:t>
            </w:r>
            <w:r>
              <w:rPr>
                <w:rFonts w:hint="eastAsia" w:ascii="Times New Roman" w:eastAsia="宋体"/>
                <w:b/>
                <w:bCs/>
                <w:color w:val="auto"/>
                <w:sz w:val="21"/>
                <w:szCs w:val="21"/>
                <w:highlight w:val="none"/>
                <w:lang w:val="en-US" w:eastAsia="zh-CN"/>
              </w:rPr>
              <w:t>，厂址位于园区精细化工产业片区</w:t>
            </w:r>
            <w:r>
              <w:rPr>
                <w:b/>
                <w:bCs/>
                <w:color w:val="auto"/>
                <w:sz w:val="21"/>
                <w:szCs w:val="21"/>
                <w:highlight w:val="none"/>
              </w:rPr>
              <w:t>，</w:t>
            </w:r>
            <w:commentRangeEnd w:id="0"/>
            <w:r>
              <w:commentReference w:id="0"/>
            </w:r>
            <w:r>
              <w:rPr>
                <w:rFonts w:hint="eastAsia" w:ascii="Times New Roman" w:eastAsia="宋体"/>
                <w:b/>
                <w:bCs/>
                <w:color w:val="auto"/>
                <w:sz w:val="21"/>
                <w:szCs w:val="21"/>
                <w:highlight w:val="none"/>
                <w:lang w:val="en-US" w:eastAsia="zh-CN"/>
              </w:rPr>
              <w:t>符合石家庄循环化工园区总体规划中产业定位</w:t>
            </w:r>
            <w:r>
              <w:rPr>
                <w:b/>
                <w:bCs/>
                <w:color w:val="auto"/>
                <w:sz w:val="21"/>
                <w:szCs w:val="21"/>
                <w:highlight w:val="none"/>
              </w:rPr>
              <w:t>。</w:t>
            </w:r>
          </w:p>
          <w:p w14:paraId="5317B5E4">
            <w:pPr>
              <w:keepNext w:val="0"/>
              <w:keepLines w:val="0"/>
              <w:pageBreakBefore w:val="0"/>
              <w:kinsoku/>
              <w:wordWrap/>
              <w:overflowPunct/>
              <w:topLinePunct w:val="0"/>
              <w:autoSpaceDE/>
              <w:autoSpaceDN/>
              <w:bidi w:val="0"/>
              <w:adjustRightInd/>
              <w:snapToGrid/>
              <w:spacing w:line="360" w:lineRule="auto"/>
              <w:ind w:firstLine="420" w:firstLineChars="200"/>
              <w:textAlignment w:val="baseline"/>
              <w:rPr>
                <w:color w:val="auto"/>
                <w:sz w:val="21"/>
                <w:szCs w:val="21"/>
                <w:highlight w:val="none"/>
              </w:rPr>
            </w:pPr>
            <w:r>
              <w:rPr>
                <w:rFonts w:hint="eastAsia" w:ascii="Times New Roman" w:eastAsia="宋体"/>
                <w:color w:val="auto"/>
                <w:sz w:val="21"/>
                <w:szCs w:val="21"/>
                <w:highlight w:val="none"/>
                <w:lang w:val="en-US" w:eastAsia="zh-CN"/>
              </w:rPr>
              <w:t>3</w:t>
            </w:r>
            <w:r>
              <w:rPr>
                <w:color w:val="auto"/>
                <w:sz w:val="21"/>
                <w:szCs w:val="21"/>
                <w:highlight w:val="none"/>
              </w:rPr>
              <w:t>、基础设施建设及运行情况</w:t>
            </w:r>
          </w:p>
          <w:p w14:paraId="690155D0">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（1）供水</w:t>
            </w:r>
          </w:p>
          <w:p w14:paraId="37950925">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园区新鲜水由良村开发区地表水厂供应（30万m</w:t>
            </w:r>
            <w:r>
              <w:rPr>
                <w:rFonts w:hint="default" w:ascii="Times New Roman" w:hAnsi="Times New Roman" w:eastAsia="宋体" w:cs="Times New Roman"/>
                <w:color w:val="auto"/>
                <w:spacing w:val="0"/>
                <w:w w:val="100"/>
                <w:position w:val="0"/>
                <w:sz w:val="21"/>
                <w:szCs w:val="21"/>
                <w:highlight w:val="none"/>
                <w:vertAlign w:val="superscript"/>
                <w:lang w:val="en-US" w:eastAsia="zh-CN" w:bidi="ar-SA"/>
              </w:rPr>
              <w:t>3</w:t>
            </w:r>
            <w:r>
              <w:rPr>
                <w:rFonts w:hint="default" w:ascii="Times New Roman" w:hAnsi="Times New Roman" w:eastAsia="宋体" w:cs="Times New Roman"/>
                <w:color w:val="auto"/>
                <w:spacing w:val="0"/>
                <w:w w:val="100"/>
                <w:position w:val="0"/>
                <w:sz w:val="21"/>
                <w:szCs w:val="21"/>
                <w:highlight w:val="none"/>
                <w:lang w:val="en-US" w:eastAsia="zh-CN" w:bidi="ar-SA"/>
              </w:rPr>
              <w:t>/d）。</w:t>
            </w:r>
          </w:p>
          <w:p w14:paraId="686A65E5">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目前，园区内主要企业均采用南水北调工程地表水作为主要用水水源，良村开发区地表水厂总设计规模为30万m</w:t>
            </w:r>
            <w:r>
              <w:rPr>
                <w:rFonts w:hint="default" w:ascii="Times New Roman" w:hAnsi="Times New Roman" w:eastAsia="宋体" w:cs="Times New Roman"/>
                <w:color w:val="auto"/>
                <w:spacing w:val="0"/>
                <w:w w:val="100"/>
                <w:position w:val="0"/>
                <w:sz w:val="21"/>
                <w:szCs w:val="21"/>
                <w:highlight w:val="none"/>
                <w:vertAlign w:val="superscript"/>
                <w:lang w:val="en-US" w:eastAsia="zh-CN" w:bidi="ar-SA"/>
              </w:rPr>
              <w:t>3</w:t>
            </w:r>
            <w:r>
              <w:rPr>
                <w:rFonts w:hint="default" w:ascii="Times New Roman" w:hAnsi="Times New Roman" w:eastAsia="宋体" w:cs="Times New Roman"/>
                <w:color w:val="auto"/>
                <w:spacing w:val="0"/>
                <w:w w:val="100"/>
                <w:position w:val="0"/>
                <w:sz w:val="21"/>
                <w:szCs w:val="21"/>
                <w:highlight w:val="none"/>
                <w:lang w:val="en-US" w:eastAsia="zh-CN" w:bidi="ar-SA"/>
              </w:rPr>
              <w:t>/d，现在一期工程建设规模15万m</w:t>
            </w:r>
            <w:r>
              <w:rPr>
                <w:rFonts w:hint="default" w:ascii="Times New Roman" w:hAnsi="Times New Roman" w:eastAsia="宋体" w:cs="Times New Roman"/>
                <w:color w:val="auto"/>
                <w:spacing w:val="0"/>
                <w:w w:val="100"/>
                <w:position w:val="0"/>
                <w:sz w:val="21"/>
                <w:szCs w:val="21"/>
                <w:highlight w:val="none"/>
                <w:vertAlign w:val="superscript"/>
                <w:lang w:val="en-US" w:eastAsia="zh-CN" w:bidi="ar-SA"/>
              </w:rPr>
              <w:t>3</w:t>
            </w:r>
            <w:r>
              <w:rPr>
                <w:rFonts w:hint="default" w:ascii="Times New Roman" w:hAnsi="Times New Roman" w:eastAsia="宋体" w:cs="Times New Roman"/>
                <w:color w:val="auto"/>
                <w:spacing w:val="0"/>
                <w:w w:val="100"/>
                <w:position w:val="0"/>
                <w:sz w:val="21"/>
                <w:szCs w:val="21"/>
                <w:highlight w:val="none"/>
                <w:lang w:val="en-US" w:eastAsia="zh-CN" w:bidi="ar-SA"/>
              </w:rPr>
              <w:t>/d，水源为南水北调水。</w:t>
            </w:r>
            <w:r>
              <w:rPr>
                <w:rFonts w:hint="eastAsia" w:cs="Times New Roman"/>
                <w:color w:val="auto"/>
                <w:spacing w:val="0"/>
                <w:w w:val="100"/>
                <w:position w:val="0"/>
                <w:sz w:val="21"/>
                <w:szCs w:val="21"/>
                <w:highlight w:val="none"/>
                <w:lang w:val="en-US" w:eastAsia="zh-CN" w:bidi="ar-SA"/>
              </w:rPr>
              <w:t>现有工程</w:t>
            </w:r>
            <w:r>
              <w:rPr>
                <w:rFonts w:hint="default" w:ascii="Times New Roman" w:hAnsi="Times New Roman" w:eastAsia="宋体" w:cs="Times New Roman"/>
                <w:color w:val="auto"/>
                <w:spacing w:val="0"/>
                <w:w w:val="100"/>
                <w:position w:val="0"/>
                <w:sz w:val="21"/>
                <w:szCs w:val="21"/>
                <w:highlight w:val="none"/>
                <w:lang w:val="zh-CN" w:eastAsia="zh-CN" w:bidi="ar-SA"/>
              </w:rPr>
              <w:t>水源来</w:t>
            </w:r>
            <w:r>
              <w:rPr>
                <w:rFonts w:hint="default" w:ascii="Times New Roman" w:hAnsi="Times New Roman" w:eastAsia="宋体" w:cs="Times New Roman"/>
                <w:color w:val="auto"/>
                <w:spacing w:val="0"/>
                <w:w w:val="100"/>
                <w:position w:val="0"/>
                <w:sz w:val="21"/>
                <w:szCs w:val="21"/>
                <w:highlight w:val="none"/>
                <w:lang w:val="en-US" w:eastAsia="zh-CN" w:bidi="ar-SA"/>
              </w:rPr>
              <w:t>自</w:t>
            </w:r>
            <w:r>
              <w:rPr>
                <w:rFonts w:hint="default" w:ascii="Times New Roman" w:hAnsi="Times New Roman" w:eastAsia="宋体" w:cs="Times New Roman"/>
                <w:color w:val="auto"/>
                <w:spacing w:val="0"/>
                <w:w w:val="100"/>
                <w:position w:val="0"/>
                <w:sz w:val="21"/>
                <w:szCs w:val="21"/>
                <w:highlight w:val="none"/>
                <w:lang w:val="zh-CN" w:eastAsia="zh-CN" w:bidi="ar-SA"/>
              </w:rPr>
              <w:t>于东汇化工园区供水有限公司，直接采用管道输</w:t>
            </w:r>
            <w:r>
              <w:rPr>
                <w:rFonts w:hint="default" w:ascii="Times New Roman" w:hAnsi="Times New Roman" w:eastAsia="宋体" w:cs="Times New Roman"/>
                <w:color w:val="auto"/>
                <w:spacing w:val="0"/>
                <w:w w:val="100"/>
                <w:position w:val="0"/>
                <w:sz w:val="21"/>
                <w:szCs w:val="21"/>
                <w:highlight w:val="none"/>
                <w:lang w:val="en-US" w:eastAsia="zh-CN" w:bidi="ar-SA"/>
              </w:rPr>
              <w:t>送至厂区，</w:t>
            </w:r>
            <w:r>
              <w:rPr>
                <w:rFonts w:hint="default" w:ascii="Times New Roman" w:hAnsi="Times New Roman" w:eastAsia="宋体" w:cs="Times New Roman"/>
                <w:color w:val="auto"/>
                <w:spacing w:val="0"/>
                <w:w w:val="100"/>
                <w:position w:val="0"/>
                <w:sz w:val="21"/>
                <w:szCs w:val="21"/>
                <w:highlight w:val="none"/>
                <w:lang w:val="zh-CN" w:eastAsia="zh-CN" w:bidi="ar-SA"/>
              </w:rPr>
              <w:t>供水压力为0.3MPa。</w:t>
            </w:r>
            <w:r>
              <w:rPr>
                <w:rFonts w:hint="default" w:ascii="Times New Roman" w:hAnsi="Times New Roman" w:eastAsia="宋体" w:cs="Times New Roman"/>
                <w:color w:val="auto"/>
                <w:spacing w:val="0"/>
                <w:w w:val="100"/>
                <w:position w:val="0"/>
                <w:sz w:val="21"/>
                <w:szCs w:val="21"/>
                <w:highlight w:val="none"/>
                <w:lang w:val="en-US" w:eastAsia="zh-CN" w:bidi="ar-SA"/>
              </w:rPr>
              <w:t>本项目</w:t>
            </w:r>
            <w:r>
              <w:rPr>
                <w:rFonts w:hint="eastAsia" w:cs="Times New Roman"/>
                <w:color w:val="auto"/>
                <w:spacing w:val="0"/>
                <w:w w:val="100"/>
                <w:position w:val="0"/>
                <w:sz w:val="21"/>
                <w:szCs w:val="21"/>
                <w:highlight w:val="none"/>
                <w:lang w:val="en-US" w:eastAsia="zh-CN" w:bidi="ar-SA"/>
              </w:rPr>
              <w:t>新增</w:t>
            </w:r>
            <w:r>
              <w:rPr>
                <w:rFonts w:hint="default" w:ascii="Times New Roman" w:hAnsi="Times New Roman" w:eastAsia="宋体" w:cs="Times New Roman"/>
                <w:color w:val="auto"/>
                <w:spacing w:val="0"/>
                <w:w w:val="100"/>
                <w:position w:val="0"/>
                <w:sz w:val="21"/>
                <w:szCs w:val="21"/>
                <w:highlight w:val="none"/>
                <w:lang w:val="zh-CN" w:eastAsia="zh-CN" w:bidi="ar-SA"/>
              </w:rPr>
              <w:t>新鲜水用量为</w:t>
            </w:r>
            <w:r>
              <w:rPr>
                <w:rFonts w:hint="eastAsia" w:cs="Times New Roman"/>
                <w:color w:val="auto"/>
                <w:spacing w:val="0"/>
                <w:w w:val="100"/>
                <w:position w:val="0"/>
                <w:sz w:val="21"/>
                <w:szCs w:val="21"/>
                <w:highlight w:val="none"/>
                <w:lang w:val="en-US" w:eastAsia="zh-CN" w:bidi="ar-SA"/>
              </w:rPr>
              <w:t>12.11</w:t>
            </w:r>
            <w:r>
              <w:rPr>
                <w:rFonts w:hint="default" w:ascii="Times New Roman" w:hAnsi="Times New Roman" w:eastAsia="宋体" w:cs="Times New Roman"/>
                <w:color w:val="auto"/>
                <w:spacing w:val="0"/>
                <w:w w:val="100"/>
                <w:position w:val="0"/>
                <w:sz w:val="21"/>
                <w:szCs w:val="21"/>
                <w:highlight w:val="none"/>
                <w:lang w:val="zh-CN" w:eastAsia="zh-CN" w:bidi="ar-SA"/>
              </w:rPr>
              <w:t>m</w:t>
            </w:r>
            <w:r>
              <w:rPr>
                <w:rFonts w:hint="default" w:ascii="Times New Roman" w:hAnsi="Times New Roman" w:eastAsia="宋体" w:cs="Times New Roman"/>
                <w:color w:val="auto"/>
                <w:spacing w:val="0"/>
                <w:w w:val="100"/>
                <w:position w:val="0"/>
                <w:sz w:val="21"/>
                <w:szCs w:val="21"/>
                <w:highlight w:val="none"/>
                <w:vertAlign w:val="superscript"/>
                <w:lang w:val="zh-CN" w:eastAsia="zh-CN" w:bidi="ar-SA"/>
              </w:rPr>
              <w:t>3</w:t>
            </w:r>
            <w:r>
              <w:rPr>
                <w:rFonts w:hint="default" w:ascii="Times New Roman" w:hAnsi="Times New Roman" w:eastAsia="宋体" w:cs="Times New Roman"/>
                <w:color w:val="auto"/>
                <w:spacing w:val="0"/>
                <w:w w:val="100"/>
                <w:position w:val="0"/>
                <w:sz w:val="21"/>
                <w:szCs w:val="21"/>
                <w:highlight w:val="none"/>
                <w:lang w:val="zh-CN" w:eastAsia="zh-CN" w:bidi="ar-SA"/>
              </w:rPr>
              <w:t>/h</w:t>
            </w:r>
            <w:r>
              <w:rPr>
                <w:rFonts w:hint="default" w:ascii="Times New Roman" w:hAnsi="Times New Roman" w:eastAsia="宋体" w:cs="Times New Roman"/>
                <w:color w:val="auto"/>
                <w:spacing w:val="0"/>
                <w:w w:val="100"/>
                <w:position w:val="0"/>
                <w:sz w:val="21"/>
                <w:szCs w:val="21"/>
                <w:highlight w:val="none"/>
                <w:lang w:val="en-US" w:eastAsia="zh-CN" w:bidi="ar-SA"/>
              </w:rPr>
              <w:t>。厂区现有富余量64.83</w:t>
            </w:r>
            <w:r>
              <w:rPr>
                <w:rFonts w:hint="default" w:ascii="Times New Roman" w:hAnsi="Times New Roman" w:eastAsia="宋体" w:cs="Times New Roman"/>
                <w:color w:val="auto"/>
                <w:spacing w:val="0"/>
                <w:w w:val="100"/>
                <w:position w:val="0"/>
                <w:sz w:val="21"/>
                <w:szCs w:val="21"/>
                <w:highlight w:val="none"/>
                <w:lang w:val="zh-CN" w:eastAsia="zh-CN" w:bidi="ar-SA"/>
              </w:rPr>
              <w:t>m</w:t>
            </w:r>
            <w:r>
              <w:rPr>
                <w:rFonts w:hint="default" w:ascii="Times New Roman" w:hAnsi="Times New Roman" w:eastAsia="宋体" w:cs="Times New Roman"/>
                <w:color w:val="auto"/>
                <w:spacing w:val="0"/>
                <w:w w:val="100"/>
                <w:position w:val="0"/>
                <w:sz w:val="21"/>
                <w:szCs w:val="21"/>
                <w:highlight w:val="none"/>
                <w:vertAlign w:val="superscript"/>
                <w:lang w:val="zh-CN" w:eastAsia="zh-CN" w:bidi="ar-SA"/>
              </w:rPr>
              <w:t>3</w:t>
            </w:r>
            <w:r>
              <w:rPr>
                <w:rFonts w:hint="default" w:ascii="Times New Roman" w:hAnsi="Times New Roman" w:eastAsia="宋体" w:cs="Times New Roman"/>
                <w:color w:val="auto"/>
                <w:spacing w:val="0"/>
                <w:w w:val="100"/>
                <w:position w:val="0"/>
                <w:sz w:val="21"/>
                <w:szCs w:val="21"/>
                <w:highlight w:val="none"/>
                <w:lang w:val="zh-CN" w:eastAsia="zh-CN" w:bidi="ar-SA"/>
              </w:rPr>
              <w:t>/h，</w:t>
            </w:r>
            <w:r>
              <w:rPr>
                <w:rFonts w:hint="default" w:ascii="Times New Roman" w:hAnsi="Times New Roman" w:eastAsia="宋体" w:cs="Times New Roman"/>
                <w:color w:val="auto"/>
                <w:spacing w:val="0"/>
                <w:w w:val="100"/>
                <w:position w:val="0"/>
                <w:sz w:val="21"/>
                <w:szCs w:val="21"/>
                <w:highlight w:val="none"/>
                <w:lang w:val="en-US" w:eastAsia="zh-CN" w:bidi="ar-SA"/>
              </w:rPr>
              <w:t>现有</w:t>
            </w:r>
            <w:r>
              <w:rPr>
                <w:rFonts w:hint="default" w:ascii="Times New Roman" w:hAnsi="Times New Roman" w:eastAsia="宋体" w:cs="Times New Roman"/>
                <w:color w:val="auto"/>
                <w:spacing w:val="0"/>
                <w:w w:val="100"/>
                <w:position w:val="0"/>
                <w:sz w:val="21"/>
                <w:szCs w:val="21"/>
                <w:highlight w:val="none"/>
                <w:lang w:val="zh-CN" w:eastAsia="zh-CN" w:bidi="ar-SA"/>
              </w:rPr>
              <w:t>供水能力</w:t>
            </w:r>
            <w:r>
              <w:rPr>
                <w:rFonts w:hint="default" w:ascii="Times New Roman" w:hAnsi="Times New Roman" w:eastAsia="宋体" w:cs="Times New Roman"/>
                <w:color w:val="auto"/>
                <w:spacing w:val="0"/>
                <w:w w:val="100"/>
                <w:position w:val="0"/>
                <w:sz w:val="21"/>
                <w:szCs w:val="21"/>
                <w:highlight w:val="none"/>
                <w:lang w:val="en-US" w:eastAsia="zh-CN" w:bidi="ar-SA"/>
              </w:rPr>
              <w:t>能够满足该项目使用。</w:t>
            </w:r>
          </w:p>
          <w:p w14:paraId="6D5519B5">
            <w:pPr>
              <w:keepNext w:val="0"/>
              <w:keepLines w:val="0"/>
              <w:pageBreakBefore w:val="0"/>
              <w:widowControl/>
              <w:kinsoku/>
              <w:wordWrap/>
              <w:overflowPunct/>
              <w:topLinePunct w:val="0"/>
              <w:autoSpaceDE/>
              <w:autoSpaceDN/>
              <w:bidi w:val="0"/>
              <w:adjustRightInd/>
              <w:snapToGrid/>
              <w:spacing w:line="360" w:lineRule="auto"/>
              <w:ind w:firstLine="422" w:firstLineChars="200"/>
              <w:jc w:val="both"/>
              <w:rPr>
                <w:rFonts w:hint="default" w:ascii="Times New Roman" w:hAnsi="Times New Roman" w:eastAsia="宋体" w:cs="Times New Roman"/>
                <w:b/>
                <w:bCs/>
                <w:color w:val="auto"/>
                <w:spacing w:val="0"/>
                <w:w w:val="100"/>
                <w:position w:val="0"/>
                <w:sz w:val="21"/>
                <w:szCs w:val="21"/>
                <w:highlight w:val="none"/>
                <w:lang w:val="en-US" w:eastAsia="zh-CN" w:bidi="ar-SA"/>
              </w:rPr>
            </w:pPr>
            <w:r>
              <w:rPr>
                <w:rFonts w:hint="default" w:ascii="Times New Roman" w:hAnsi="Times New Roman" w:eastAsia="宋体" w:cs="Times New Roman"/>
                <w:b/>
                <w:bCs/>
                <w:color w:val="auto"/>
                <w:spacing w:val="0"/>
                <w:w w:val="100"/>
                <w:position w:val="0"/>
                <w:sz w:val="21"/>
                <w:szCs w:val="21"/>
                <w:highlight w:val="none"/>
                <w:lang w:val="en-US" w:eastAsia="zh-CN" w:bidi="ar-SA"/>
              </w:rPr>
              <w:t>本项目供水由石家庄高新技术产业开发区循环化工园区集中供水管网供给。</w:t>
            </w:r>
          </w:p>
          <w:p w14:paraId="3FCEC483">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（2）排水</w:t>
            </w:r>
          </w:p>
          <w:p w14:paraId="75D5816D">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①</w:t>
            </w:r>
            <w:bookmarkStart w:id="2" w:name="_Hlk22665415"/>
            <w:r>
              <w:rPr>
                <w:rFonts w:hint="default" w:ascii="Times New Roman" w:hAnsi="Times New Roman" w:eastAsia="宋体" w:cs="Times New Roman"/>
                <w:color w:val="auto"/>
                <w:spacing w:val="0"/>
                <w:w w:val="100"/>
                <w:position w:val="0"/>
                <w:sz w:val="21"/>
                <w:szCs w:val="21"/>
                <w:highlight w:val="none"/>
                <w:lang w:val="en-US" w:eastAsia="zh-CN" w:bidi="ar-SA"/>
              </w:rPr>
              <w:t>规划区内实施清污分流、雨污分流。园区生产废水、生活污水排至良村南污水处理厂集中处理，部分废水经再生水处理系统处理达到回用水标准后回用于工业用水、园区绿化等，剩余部分排入汪洋沟。</w:t>
            </w:r>
            <w:bookmarkEnd w:id="2"/>
            <w:r>
              <w:rPr>
                <w:rFonts w:hint="default" w:ascii="Times New Roman" w:hAnsi="Times New Roman" w:eastAsia="宋体" w:cs="Times New Roman"/>
                <w:color w:val="auto"/>
                <w:spacing w:val="0"/>
                <w:w w:val="100"/>
                <w:position w:val="0"/>
                <w:sz w:val="21"/>
                <w:szCs w:val="21"/>
                <w:highlight w:val="none"/>
                <w:lang w:val="en-US" w:eastAsia="zh-CN" w:bidi="ar-SA"/>
              </w:rPr>
              <w:t>②生活区、村庄地区根据地形地势，雨水通过管渠收集后就近排入周边水体、绿地、农田等。工业区雨水统一收集，检测达标后排放。结合良村南污水处理厂设置雨水监测池、公共应急池等。工业区雨水通过雨水管收集后排入雨水监测池。若雨水经检测达到排放标准则直接排入汪洋沟；若未达排放标准则进入公共应急池，通过加压泵站将雨水送至污水处理厂处理达标后排入汪洋沟。在工业区化工北路与塔西大街东南侧设置雨水泵站，雨水泵站规模为12m</w:t>
            </w:r>
            <w:r>
              <w:rPr>
                <w:rFonts w:hint="default" w:ascii="Times New Roman" w:hAnsi="Times New Roman" w:eastAsia="宋体" w:cs="Times New Roman"/>
                <w:color w:val="auto"/>
                <w:spacing w:val="0"/>
                <w:w w:val="100"/>
                <w:position w:val="0"/>
                <w:sz w:val="21"/>
                <w:szCs w:val="21"/>
                <w:highlight w:val="none"/>
                <w:vertAlign w:val="superscript"/>
                <w:lang w:val="en-US" w:eastAsia="zh-CN" w:bidi="ar-SA"/>
              </w:rPr>
              <w:t>3</w:t>
            </w:r>
            <w:r>
              <w:rPr>
                <w:rFonts w:hint="default" w:ascii="Times New Roman" w:hAnsi="Times New Roman" w:eastAsia="宋体" w:cs="Times New Roman"/>
                <w:color w:val="auto"/>
                <w:spacing w:val="0"/>
                <w:w w:val="100"/>
                <w:position w:val="0"/>
                <w:sz w:val="21"/>
                <w:szCs w:val="21"/>
                <w:highlight w:val="none"/>
                <w:lang w:val="en-US" w:eastAsia="zh-CN" w:bidi="ar-SA"/>
              </w:rPr>
              <w:t>/s。③排水管网：规划污水主干管敷设在园区主要道路上，与道路平行布置，敷设管道时尽可能利用道路的自然坡；规划区范围内污水管道总长9896米。</w:t>
            </w:r>
          </w:p>
          <w:p w14:paraId="57ED8628">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污水处理厂：</w:t>
            </w:r>
            <w:r>
              <w:rPr>
                <w:rFonts w:hint="eastAsia" w:cs="Times New Roman"/>
                <w:color w:val="auto"/>
                <w:spacing w:val="0"/>
                <w:w w:val="100"/>
                <w:position w:val="0"/>
                <w:sz w:val="21"/>
                <w:szCs w:val="21"/>
                <w:highlight w:val="none"/>
                <w:lang w:val="en-US"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1"/>
                <w:highlight w:val="none"/>
                <w:lang w:val="en-US" w:eastAsia="zh-CN" w:bidi="ar-SA"/>
              </w:rPr>
              <w:t>设置在南塔东大街以东、机场路以北。集污水处理、再生回用功能为一体，</w:t>
            </w:r>
            <w:r>
              <w:rPr>
                <w:rFonts w:hint="eastAsia" w:cs="Times New Roman"/>
                <w:color w:val="auto"/>
                <w:spacing w:val="0"/>
                <w:w w:val="100"/>
                <w:position w:val="0"/>
                <w:sz w:val="21"/>
                <w:szCs w:val="21"/>
                <w:highlight w:val="none"/>
                <w:lang w:val="en-US" w:eastAsia="zh-CN" w:bidi="ar-SA"/>
              </w:rPr>
              <w:t>一期已建设完成，</w:t>
            </w:r>
            <w:r>
              <w:rPr>
                <w:rFonts w:hint="default" w:ascii="Times New Roman" w:hAnsi="Times New Roman" w:eastAsia="宋体" w:cs="Times New Roman"/>
                <w:color w:val="auto"/>
                <w:spacing w:val="0"/>
                <w:w w:val="100"/>
                <w:position w:val="0"/>
                <w:sz w:val="21"/>
                <w:szCs w:val="21"/>
                <w:highlight w:val="none"/>
                <w:lang w:val="en-US" w:eastAsia="zh-CN" w:bidi="ar-SA"/>
              </w:rPr>
              <w:t>设计处理能力为5万m</w:t>
            </w:r>
            <w:r>
              <w:rPr>
                <w:rFonts w:hint="default" w:ascii="Times New Roman" w:hAnsi="Times New Roman" w:eastAsia="宋体" w:cs="Times New Roman"/>
                <w:color w:val="auto"/>
                <w:spacing w:val="0"/>
                <w:w w:val="100"/>
                <w:position w:val="0"/>
                <w:sz w:val="21"/>
                <w:szCs w:val="21"/>
                <w:highlight w:val="none"/>
                <w:vertAlign w:val="superscript"/>
                <w:lang w:val="en-US" w:eastAsia="zh-CN" w:bidi="ar-SA"/>
              </w:rPr>
              <w:t>3</w:t>
            </w:r>
            <w:r>
              <w:rPr>
                <w:rFonts w:hint="default" w:ascii="Times New Roman" w:hAnsi="Times New Roman" w:eastAsia="宋体" w:cs="Times New Roman"/>
                <w:color w:val="auto"/>
                <w:spacing w:val="0"/>
                <w:w w:val="100"/>
                <w:position w:val="0"/>
                <w:sz w:val="21"/>
                <w:szCs w:val="21"/>
                <w:highlight w:val="none"/>
                <w:lang w:val="en-US" w:eastAsia="zh-CN" w:bidi="ar-SA"/>
              </w:rPr>
              <w:t>/d。</w:t>
            </w:r>
          </w:p>
          <w:p w14:paraId="67BBE09C">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目前，园区内排水实行</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雨污分流</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，现有</w:t>
            </w:r>
            <w:r>
              <w:rPr>
                <w:rFonts w:hint="eastAsia" w:cs="Times New Roman"/>
                <w:color w:val="auto"/>
                <w:spacing w:val="0"/>
                <w:w w:val="100"/>
                <w:position w:val="0"/>
                <w:sz w:val="21"/>
                <w:szCs w:val="21"/>
                <w:highlight w:val="none"/>
                <w:lang w:val="en-US" w:eastAsia="zh-CN" w:bidi="ar-SA"/>
              </w:rPr>
              <w:t>工程</w:t>
            </w:r>
            <w:r>
              <w:rPr>
                <w:rFonts w:hint="default" w:ascii="Times New Roman" w:hAnsi="Times New Roman" w:eastAsia="宋体" w:cs="Times New Roman"/>
                <w:color w:val="auto"/>
                <w:spacing w:val="0"/>
                <w:w w:val="100"/>
                <w:position w:val="0"/>
                <w:sz w:val="21"/>
                <w:szCs w:val="21"/>
                <w:highlight w:val="none"/>
                <w:lang w:val="en-US" w:eastAsia="zh-CN" w:bidi="ar-SA"/>
              </w:rPr>
              <w:t>生产废水经自建污水处理厂处理后排入园区污水管网，经区内污水泵站提升至</w:t>
            </w:r>
            <w:r>
              <w:rPr>
                <w:rFonts w:hint="eastAsia" w:cs="Times New Roman"/>
                <w:color w:val="auto"/>
                <w:spacing w:val="0"/>
                <w:w w:val="100"/>
                <w:position w:val="0"/>
                <w:sz w:val="21"/>
                <w:szCs w:val="21"/>
                <w:highlight w:val="none"/>
                <w:lang w:val="en-US"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1"/>
                <w:highlight w:val="none"/>
                <w:lang w:val="en-US" w:eastAsia="zh-CN" w:bidi="ar-SA"/>
              </w:rPr>
              <w:t>进一步处理，处理后的废水达标排入汪洋沟；初期雨水经收集后通过雨水加压泵站提升至良村南污水处理。</w:t>
            </w:r>
          </w:p>
          <w:p w14:paraId="3A9DE3F8">
            <w:pPr>
              <w:keepNext w:val="0"/>
              <w:keepLines w:val="0"/>
              <w:pageBreakBefore w:val="0"/>
              <w:widowControl/>
              <w:kinsoku/>
              <w:wordWrap/>
              <w:overflowPunct/>
              <w:topLinePunct w:val="0"/>
              <w:autoSpaceDE/>
              <w:autoSpaceDN/>
              <w:bidi w:val="0"/>
              <w:adjustRightInd/>
              <w:snapToGrid/>
              <w:spacing w:line="360" w:lineRule="auto"/>
              <w:ind w:firstLine="422"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b/>
                <w:bCs/>
                <w:color w:val="auto"/>
                <w:spacing w:val="0"/>
                <w:w w:val="100"/>
                <w:position w:val="0"/>
                <w:sz w:val="21"/>
                <w:szCs w:val="21"/>
                <w:highlight w:val="none"/>
                <w:lang w:val="en-US" w:eastAsia="zh-CN" w:bidi="ar-SA"/>
              </w:rPr>
              <w:t>本项目厂址位于</w:t>
            </w:r>
            <w:r>
              <w:rPr>
                <w:rFonts w:hint="eastAsia" w:cs="Times New Roman"/>
                <w:b/>
                <w:bCs/>
                <w:color w:val="auto"/>
                <w:spacing w:val="0"/>
                <w:w w:val="100"/>
                <w:position w:val="0"/>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bCs/>
                <w:color w:val="auto"/>
                <w:spacing w:val="0"/>
                <w:w w:val="100"/>
                <w:position w:val="0"/>
                <w:sz w:val="21"/>
                <w:szCs w:val="21"/>
                <w:highlight w:val="none"/>
                <w:lang w:val="en-US" w:eastAsia="zh-CN" w:bidi="ar-SA"/>
              </w:rPr>
              <w:t>收水范围内，污水管网已铺设至项目厂址。</w:t>
            </w:r>
          </w:p>
          <w:p w14:paraId="115A99AE">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（3）供电工程规划</w:t>
            </w:r>
          </w:p>
          <w:p w14:paraId="078426E8">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规划保留廉州变电站（500kV）和丽阳变电站（35kV）；在周家村北、京港澳高速以西建设</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50MW光伏农业科技大棚并网发电电站</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项目；将现状220kV石化基地变电站容量扩大到3*180MVA；在城镇生活区新建2座110kV变电站。</w:t>
            </w:r>
          </w:p>
          <w:p w14:paraId="6155C1CE">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目前，园区内有</w:t>
            </w:r>
            <w:r>
              <w:rPr>
                <w:rFonts w:hint="eastAsia" w:cs="Times New Roman"/>
                <w:color w:val="auto"/>
                <w:spacing w:val="0"/>
                <w:w w:val="100"/>
                <w:position w:val="0"/>
                <w:sz w:val="21"/>
                <w:szCs w:val="21"/>
                <w:highlight w:val="none"/>
                <w:lang w:val="en-US" w:eastAsia="zh-CN" w:bidi="ar-SA"/>
              </w:rPr>
              <w:t>5座</w:t>
            </w:r>
            <w:r>
              <w:rPr>
                <w:rFonts w:hint="default" w:ascii="Times New Roman" w:hAnsi="Times New Roman" w:eastAsia="宋体" w:cs="Times New Roman"/>
                <w:color w:val="auto"/>
                <w:spacing w:val="0"/>
                <w:w w:val="100"/>
                <w:position w:val="0"/>
                <w:sz w:val="21"/>
                <w:szCs w:val="21"/>
                <w:highlight w:val="none"/>
                <w:lang w:val="en-US" w:eastAsia="zh-CN" w:bidi="ar-SA"/>
              </w:rPr>
              <w:t>变电站，</w:t>
            </w:r>
            <w:r>
              <w:rPr>
                <w:rFonts w:hint="eastAsia" w:cs="Times New Roman"/>
                <w:color w:val="auto"/>
                <w:spacing w:val="0"/>
                <w:w w:val="100"/>
                <w:position w:val="0"/>
                <w:sz w:val="21"/>
                <w:szCs w:val="21"/>
                <w:highlight w:val="none"/>
                <w:lang w:val="en-US" w:eastAsia="zh-CN" w:bidi="ar-SA"/>
              </w:rPr>
              <w:t>其中</w:t>
            </w:r>
            <w:r>
              <w:rPr>
                <w:rFonts w:hint="default" w:ascii="Times New Roman" w:hAnsi="Times New Roman" w:eastAsia="宋体" w:cs="Times New Roman"/>
                <w:color w:val="auto"/>
                <w:spacing w:val="0"/>
                <w:w w:val="100"/>
                <w:position w:val="0"/>
                <w:sz w:val="21"/>
                <w:szCs w:val="21"/>
                <w:highlight w:val="none"/>
                <w:lang w:val="en-US" w:eastAsia="zh-CN" w:bidi="ar-SA"/>
              </w:rPr>
              <w:t>一座220kV变电站、4座110kV变电站。厂区现有</w:t>
            </w:r>
            <w:r>
              <w:rPr>
                <w:rFonts w:hint="eastAsia" w:cs="Times New Roman"/>
                <w:color w:val="auto"/>
                <w:spacing w:val="0"/>
                <w:w w:val="100"/>
                <w:position w:val="0"/>
                <w:sz w:val="21"/>
                <w:szCs w:val="21"/>
                <w:highlight w:val="none"/>
                <w:lang w:val="en-US" w:eastAsia="zh-CN" w:bidi="ar-SA"/>
              </w:rPr>
              <w:t>工程</w:t>
            </w:r>
            <w:r>
              <w:rPr>
                <w:rFonts w:hint="default" w:ascii="Times New Roman" w:hAnsi="Times New Roman" w:eastAsia="宋体" w:cs="Times New Roman"/>
                <w:color w:val="auto"/>
                <w:spacing w:val="0"/>
                <w:w w:val="100"/>
                <w:position w:val="0"/>
                <w:sz w:val="21"/>
                <w:szCs w:val="21"/>
                <w:highlight w:val="none"/>
                <w:lang w:val="en-US" w:eastAsia="zh-CN" w:bidi="ar-SA"/>
              </w:rPr>
              <w:t>电源引自化工园区220kV变电站，采用双回路10kV电力线路直埋敷设至东华金龙公司变配电所进线开关柜。该10kV双回路电源引自不同变压器，一主一备，供电质量安全可靠。厂区现有变配电所总容量为13000kVA，内设SCB10-2000/10 2000kVA干式变压器4台及SCB10-2000/10 2500kVA干式变压器2台及相应的高低压配电设备，高、低压母线为单母线接线。6台变压器在用，富余电量为1628.55kW。本项目需电量约为235kW，厂区内现有供电能力可以满足本次用电需求。</w:t>
            </w:r>
          </w:p>
          <w:p w14:paraId="3402D03B">
            <w:pPr>
              <w:keepNext w:val="0"/>
              <w:keepLines w:val="0"/>
              <w:pageBreakBefore w:val="0"/>
              <w:widowControl/>
              <w:kinsoku/>
              <w:wordWrap/>
              <w:overflowPunct/>
              <w:topLinePunct w:val="0"/>
              <w:autoSpaceDE/>
              <w:autoSpaceDN/>
              <w:bidi w:val="0"/>
              <w:adjustRightInd/>
              <w:snapToGrid/>
              <w:spacing w:line="360" w:lineRule="auto"/>
              <w:ind w:firstLine="422" w:firstLineChars="200"/>
              <w:jc w:val="both"/>
              <w:rPr>
                <w:rFonts w:hint="default" w:ascii="Times New Roman" w:hAnsi="Times New Roman" w:eastAsia="宋体" w:cs="Times New Roman"/>
                <w:b/>
                <w:bCs/>
                <w:color w:val="auto"/>
                <w:spacing w:val="0"/>
                <w:w w:val="100"/>
                <w:position w:val="0"/>
                <w:sz w:val="21"/>
                <w:szCs w:val="21"/>
                <w:highlight w:val="none"/>
                <w:lang w:val="en-US" w:eastAsia="zh-CN" w:bidi="ar-SA"/>
              </w:rPr>
            </w:pPr>
            <w:r>
              <w:rPr>
                <w:rFonts w:hint="default" w:ascii="Times New Roman" w:hAnsi="Times New Roman" w:eastAsia="宋体" w:cs="Times New Roman"/>
                <w:b/>
                <w:bCs/>
                <w:color w:val="auto"/>
                <w:spacing w:val="0"/>
                <w:w w:val="100"/>
                <w:position w:val="0"/>
                <w:sz w:val="21"/>
                <w:szCs w:val="21"/>
                <w:highlight w:val="none"/>
                <w:lang w:val="en-US" w:eastAsia="zh-CN" w:bidi="ar-SA"/>
              </w:rPr>
              <w:t>项目由园区电网供电，能够满足项目用电要求。</w:t>
            </w:r>
          </w:p>
          <w:p w14:paraId="007E55D5">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（4）供热工程规划</w:t>
            </w:r>
          </w:p>
          <w:p w14:paraId="3CD9D01F">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规划以石家庄</w:t>
            </w:r>
            <w:r>
              <w:rPr>
                <w:rFonts w:hint="eastAsia" w:cs="Times New Roman"/>
                <w:color w:val="auto"/>
                <w:spacing w:val="0"/>
                <w:w w:val="100"/>
                <w:position w:val="0"/>
                <w:sz w:val="21"/>
                <w:szCs w:val="21"/>
                <w:highlight w:val="none"/>
                <w:lang w:val="en-US" w:eastAsia="zh-CN" w:bidi="ar-SA"/>
              </w:rPr>
              <w:t>鑫燃</w:t>
            </w:r>
            <w:r>
              <w:rPr>
                <w:rFonts w:hint="default" w:ascii="Times New Roman" w:hAnsi="Times New Roman" w:eastAsia="宋体" w:cs="Times New Roman"/>
                <w:color w:val="auto"/>
                <w:spacing w:val="0"/>
                <w:w w:val="100"/>
                <w:position w:val="0"/>
                <w:sz w:val="21"/>
                <w:szCs w:val="21"/>
                <w:highlight w:val="none"/>
                <w:lang w:val="en-US" w:eastAsia="zh-CN" w:bidi="ar-SA"/>
              </w:rPr>
              <w:t>热力有限公司、晋煤金石化工投资集团有限公司石家庄循环化工园区分公司（以下简称</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晋煤金石</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余热利用、河北旭隆化工有限公司和石家庄白龙化工股份有限公司工业余热利用、石家庄炼化分公司余热利用和燃气热电厂作为园区供暖热源。园区供热管网采用枝状为主，部分地段采用环状；新建输送热水管网以采用无补偿直埋敷设方式为主，对管径小于等于DN700的蒸汽管道及其所配套凝结水管道均采用直埋敷设；管径大于DN700的蒸汽主干管采用通行地沟的敷设方式，其凝结水管道同沟敷设。</w:t>
            </w:r>
          </w:p>
          <w:p w14:paraId="73D2C6E6">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目前，园区内各企业中生产用热主要由晋煤金石集中供热站及各企业生产余热提供，晋煤金石现有4台（3开1备）260t/h循环流化床锅炉，配套安装2台装机容量50MW供热机组，该公司最大供热能力960t/h，除生产工艺用气量591t/h，目前剩余量为369t/h。另外河北旭隆化工有限公司和石家庄白龙化工股份有限公司装置副产的余热满足自用外分别为园区提供65t/h和40t/h余热副产中压蒸汽。</w:t>
            </w:r>
          </w:p>
          <w:p w14:paraId="291B68B7">
            <w:pPr>
              <w:keepNext w:val="0"/>
              <w:keepLines w:val="0"/>
              <w:pageBreakBefore w:val="0"/>
              <w:widowControl/>
              <w:kinsoku/>
              <w:wordWrap/>
              <w:overflowPunct/>
              <w:topLinePunct w:val="0"/>
              <w:autoSpaceDE/>
              <w:autoSpaceDN/>
              <w:bidi w:val="0"/>
              <w:adjustRightInd/>
              <w:snapToGrid/>
              <w:spacing w:line="360" w:lineRule="auto"/>
              <w:ind w:firstLine="422" w:firstLineChars="200"/>
              <w:jc w:val="both"/>
              <w:rPr>
                <w:rFonts w:hint="default" w:ascii="Times New Roman" w:hAnsi="Times New Roman" w:eastAsia="宋体" w:cs="Times New Roman"/>
                <w:b/>
                <w:bCs/>
                <w:color w:val="auto"/>
                <w:spacing w:val="0"/>
                <w:w w:val="100"/>
                <w:position w:val="0"/>
                <w:sz w:val="21"/>
                <w:szCs w:val="21"/>
                <w:highlight w:val="none"/>
                <w:lang w:val="en-US" w:eastAsia="zh-CN" w:bidi="ar-SA"/>
              </w:rPr>
            </w:pPr>
            <w:r>
              <w:rPr>
                <w:rFonts w:hint="default" w:ascii="Times New Roman" w:hAnsi="Times New Roman" w:eastAsia="宋体" w:cs="Times New Roman"/>
                <w:b/>
                <w:bCs/>
                <w:color w:val="auto"/>
                <w:spacing w:val="0"/>
                <w:w w:val="100"/>
                <w:position w:val="0"/>
                <w:sz w:val="21"/>
                <w:szCs w:val="21"/>
                <w:highlight w:val="none"/>
                <w:lang w:val="en-US" w:eastAsia="zh-CN" w:bidi="ar-SA"/>
              </w:rPr>
              <w:t>本项目蒸汽需求量0.353t/h，年消耗蒸汽量2543.21t，压力为0.3MPa依托厂区原有蒸汽系统</w:t>
            </w:r>
            <w:r>
              <w:rPr>
                <w:rFonts w:hint="eastAsia" w:cs="Times New Roman"/>
                <w:b/>
                <w:bCs/>
                <w:color w:val="auto"/>
                <w:spacing w:val="0"/>
                <w:w w:val="100"/>
                <w:position w:val="0"/>
                <w:sz w:val="21"/>
                <w:szCs w:val="21"/>
                <w:highlight w:val="none"/>
                <w:lang w:val="en-US" w:eastAsia="zh-CN" w:bidi="ar-SA"/>
              </w:rPr>
              <w:t>，原换热站设计能力150t/h，现有工程满负荷使用92t/h，尚有余量。原蒸汽系统供汽余量可满足本项目需求。</w:t>
            </w:r>
          </w:p>
          <w:p w14:paraId="05EA8126">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（5）</w:t>
            </w:r>
            <w:r>
              <w:rPr>
                <w:rFonts w:hint="eastAsia" w:cs="Times New Roman"/>
                <w:color w:val="auto"/>
                <w:spacing w:val="0"/>
                <w:w w:val="100"/>
                <w:position w:val="0"/>
                <w:sz w:val="21"/>
                <w:szCs w:val="21"/>
                <w:highlight w:val="none"/>
                <w:lang w:val="en-US" w:eastAsia="zh-CN" w:bidi="ar-SA"/>
              </w:rPr>
              <w:t>石家庄高新区循化环境水务有限公司（良村南污水处理厂）</w:t>
            </w:r>
          </w:p>
          <w:p w14:paraId="2CDCFC1F">
            <w:pPr>
              <w:keepNext w:val="0"/>
              <w:keepLines w:val="0"/>
              <w:pageBreakBefore w:val="0"/>
              <w:widowControl/>
              <w:kinsoku/>
              <w:wordWrap/>
              <w:overflowPunct/>
              <w:topLinePunct w:val="0"/>
              <w:autoSpaceDE/>
              <w:autoSpaceDN/>
              <w:bidi w:val="0"/>
              <w:adjustRightInd/>
              <w:snapToGrid/>
              <w:spacing w:line="360" w:lineRule="auto"/>
              <w:ind w:firstLine="420" w:firstLineChars="200"/>
              <w:jc w:val="both"/>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bidi="ar-SA"/>
              </w:rPr>
              <w:t>良村南污水处理厂</w:t>
            </w:r>
            <w:r>
              <w:rPr>
                <w:rFonts w:hint="default" w:ascii="Times New Roman" w:hAnsi="Times New Roman" w:eastAsia="宋体" w:cs="Times New Roman"/>
                <w:color w:val="auto"/>
                <w:spacing w:val="0"/>
                <w:w w:val="100"/>
                <w:position w:val="0"/>
                <w:sz w:val="21"/>
                <w:szCs w:val="21"/>
                <w:highlight w:val="none"/>
                <w:lang w:val="en-US" w:eastAsia="zh-CN" w:bidi="ar-SA"/>
              </w:rPr>
              <w:t>项目环评报告书于2011年6月由石家庄市环境保护局批复（石环保[2011]274号），并于2013年9月开始试运行。</w:t>
            </w:r>
            <w:r>
              <w:rPr>
                <w:rFonts w:hint="eastAsia" w:ascii="Times New Roman" w:hAnsi="Times New Roman" w:cs="Times New Roman"/>
                <w:color w:val="auto"/>
                <w:spacing w:val="0"/>
                <w:w w:val="100"/>
                <w:position w:val="0"/>
                <w:sz w:val="21"/>
                <w:szCs w:val="21"/>
                <w:highlight w:val="none"/>
                <w:lang w:val="en-US" w:eastAsia="zh-CN" w:bidi="ar-SA"/>
              </w:rPr>
              <w:t>目前</w:t>
            </w:r>
            <w:r>
              <w:rPr>
                <w:rFonts w:hint="eastAsia" w:cs="Times New Roman"/>
                <w:color w:val="auto"/>
                <w:spacing w:val="0"/>
                <w:w w:val="100"/>
                <w:position w:val="0"/>
                <w:sz w:val="21"/>
                <w:szCs w:val="21"/>
                <w:highlight w:val="none"/>
                <w:lang w:val="en-US" w:eastAsia="zh-CN" w:bidi="ar-SA"/>
              </w:rPr>
              <w:t>良村南污水处理厂</w:t>
            </w:r>
            <w:r>
              <w:rPr>
                <w:rFonts w:hint="eastAsia" w:ascii="Times New Roman" w:hAnsi="Times New Roman" w:cs="Times New Roman"/>
                <w:color w:val="auto"/>
                <w:spacing w:val="0"/>
                <w:w w:val="100"/>
                <w:position w:val="0"/>
                <w:sz w:val="21"/>
                <w:szCs w:val="21"/>
                <w:highlight w:val="none"/>
                <w:lang w:val="en-US" w:eastAsia="zh-CN" w:bidi="ar-SA"/>
              </w:rPr>
              <w:t>运行单位为</w:t>
            </w:r>
            <w:r>
              <w:rPr>
                <w:rFonts w:hint="eastAsia" w:cs="Times New Roman"/>
                <w:color w:val="auto"/>
                <w:spacing w:val="0"/>
                <w:w w:val="100"/>
                <w:position w:val="0"/>
                <w:sz w:val="21"/>
                <w:szCs w:val="21"/>
                <w:highlight w:val="none"/>
                <w:lang w:val="en-US" w:eastAsia="zh-CN" w:bidi="ar-SA"/>
              </w:rPr>
              <w:t>石家庄高新区循化环境水务有限公司</w:t>
            </w:r>
            <w:r>
              <w:rPr>
                <w:rFonts w:hint="eastAsia" w:ascii="Times New Roman" w:hAnsi="Times New Roman" w:cs="Times New Roman"/>
                <w:color w:val="auto"/>
                <w:spacing w:val="0"/>
                <w:w w:val="100"/>
                <w:position w:val="0"/>
                <w:sz w:val="21"/>
                <w:szCs w:val="21"/>
                <w:highlight w:val="none"/>
                <w:lang w:val="en-US" w:eastAsia="zh-CN" w:bidi="ar-SA"/>
              </w:rPr>
              <w:t>。</w:t>
            </w:r>
          </w:p>
          <w:p w14:paraId="6B8AC922">
            <w:pPr>
              <w:keepNext w:val="0"/>
              <w:keepLines w:val="0"/>
              <w:pageBreakBefore w:val="0"/>
              <w:kinsoku/>
              <w:wordWrap/>
              <w:overflowPunct/>
              <w:topLinePunct w:val="0"/>
              <w:autoSpaceDE/>
              <w:autoSpaceDN/>
              <w:bidi w:val="0"/>
              <w:adjustRightInd/>
              <w:snapToGrid/>
              <w:spacing w:line="360" w:lineRule="auto"/>
              <w:ind w:firstLine="420" w:firstLineChars="200"/>
              <w:textAlignment w:val="baseline"/>
              <w:rPr>
                <w:rFonts w:hint="default" w:ascii="Times New Roman" w:hAnsi="Times New Roman" w:eastAsia="宋体" w:cs="Times New Roman"/>
                <w:color w:val="auto"/>
                <w:spacing w:val="0"/>
                <w:w w:val="100"/>
                <w:position w:val="0"/>
                <w:sz w:val="24"/>
                <w:szCs w:val="24"/>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良村南污水处理厂位于藁城区丘头镇丽阳村北，汪洋沟北侧，新赵公路以西，占地110亩，现建成一期工程，处理能力为5万m³/d，现状实际运行能力3万m³/d，该污水处理厂工艺采用</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预处理+水解酸化池+脱氮除磷生物池+二沉池+混凝气浮池+高级催化氧化站+曝气生物滤池+紫外消毒池</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经处理后，出水水质达到《城镇污水处理厂污染物排放标准》（GB18918-2002）中一级A标准及《子牙河流域水污染物排放标准》（DB13/2796-2018）相应标准要求（COD≤40mg/L，氨氮≤2.0mg/L），部分废水经再生水处理后满足《城市污水再生利用 工业用水水质》（GB/T19923-2005）及《城市污水再生利用 城市杂用水水质》（GB/T18920-2002）相应标准后回用，剩余部分排入汪洋沟</w:t>
            </w:r>
            <w:r>
              <w:rPr>
                <w:rFonts w:hint="default" w:ascii="Times New Roman" w:hAnsi="Times New Roman" w:eastAsia="宋体" w:cs="Times New Roman"/>
                <w:color w:val="auto"/>
                <w:spacing w:val="0"/>
                <w:w w:val="100"/>
                <w:position w:val="0"/>
                <w:sz w:val="24"/>
                <w:szCs w:val="24"/>
                <w:highlight w:val="none"/>
                <w:lang w:val="en-US" w:eastAsia="zh-CN" w:bidi="ar-SA"/>
              </w:rPr>
              <w:t>。</w:t>
            </w:r>
          </w:p>
          <w:p w14:paraId="1B34601B">
            <w:pPr>
              <w:keepNext w:val="0"/>
              <w:keepLines w:val="0"/>
              <w:pageBreakBefore w:val="0"/>
              <w:kinsoku/>
              <w:wordWrap/>
              <w:overflowPunct/>
              <w:topLinePunct w:val="0"/>
              <w:autoSpaceDE/>
              <w:autoSpaceDN/>
              <w:bidi w:val="0"/>
              <w:adjustRightInd/>
              <w:snapToGrid/>
              <w:spacing w:line="360" w:lineRule="auto"/>
              <w:ind w:firstLine="420" w:firstLineChars="200"/>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现有工程废水经厂内预处理后，废水出水质满足《污水综合排放标准》</w:t>
            </w:r>
          </w:p>
          <w:p w14:paraId="08028FC6">
            <w:pPr>
              <w:keepNext w:val="0"/>
              <w:keepLines w:val="0"/>
              <w:pageBreakBefore w:val="0"/>
              <w:kinsoku/>
              <w:wordWrap/>
              <w:overflowPunct/>
              <w:topLinePunct w:val="0"/>
              <w:autoSpaceDE/>
              <w:autoSpaceDN/>
              <w:bidi w:val="0"/>
              <w:adjustRightInd/>
              <w:snapToGrid/>
              <w:spacing w:line="360" w:lineRule="auto"/>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GB8978－1996)表4三级标准要求，同时满足石家庄高新区循化环境水务有限公司(良村南污水处理厂)进水水质要求，排入石家庄高新区循化环境水务有限公司(良村南污水处理厂)进一步处理，达到《城镇污水处理厂污染物排放标准》(GB18918－2002)一级A标准及《子牙河流域水污染物排放标准》(DB13/2796-2018)相应标准要求后，达标排放。进水水质具体要求</w:t>
            </w:r>
            <w:r>
              <w:rPr>
                <w:rFonts w:hint="eastAsia" w:cs="Times New Roman"/>
                <w:color w:val="auto"/>
                <w:spacing w:val="0"/>
                <w:w w:val="100"/>
                <w:position w:val="0"/>
                <w:sz w:val="21"/>
                <w:szCs w:val="21"/>
                <w:highlight w:val="none"/>
                <w:lang w:val="en-US" w:eastAsia="zh-CN" w:bidi="ar-SA"/>
              </w:rPr>
              <w:t>：COD≤500mg/L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BOD</w:t>
            </w:r>
            <w:r>
              <w:rPr>
                <w:rFonts w:hint="eastAsia" w:cs="Times New Roman"/>
                <w:color w:val="auto"/>
                <w:spacing w:val="0"/>
                <w:w w:val="100"/>
                <w:position w:val="0"/>
                <w:sz w:val="21"/>
                <w:szCs w:val="21"/>
                <w:highlight w:val="none"/>
                <w:vertAlign w:val="subscript"/>
                <w:lang w:val="en-US" w:eastAsia="zh-CN" w:bidi="ar-SA"/>
              </w:rPr>
              <w:t>5</w:t>
            </w:r>
            <w:r>
              <w:rPr>
                <w:rFonts w:hint="eastAsia" w:cs="Times New Roman"/>
                <w:color w:val="auto"/>
                <w:spacing w:val="0"/>
                <w:w w:val="100"/>
                <w:position w:val="0"/>
                <w:sz w:val="21"/>
                <w:szCs w:val="21"/>
                <w:highlight w:val="none"/>
                <w:lang w:val="en-US" w:eastAsia="zh-CN" w:bidi="ar-SA"/>
              </w:rPr>
              <w:t>≤180mg/L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SS≤200mg/L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NH</w:t>
            </w:r>
            <w:r>
              <w:rPr>
                <w:rFonts w:hint="eastAsia" w:cs="Times New Roman"/>
                <w:color w:val="auto"/>
                <w:spacing w:val="0"/>
                <w:w w:val="100"/>
                <w:position w:val="0"/>
                <w:sz w:val="21"/>
                <w:szCs w:val="21"/>
                <w:highlight w:val="none"/>
                <w:vertAlign w:val="subscript"/>
                <w:lang w:val="en-US" w:eastAsia="zh-CN" w:bidi="ar-SA"/>
              </w:rPr>
              <w:t>3</w:t>
            </w:r>
            <w:r>
              <w:rPr>
                <w:rFonts w:hint="eastAsia" w:cs="Times New Roman"/>
                <w:color w:val="auto"/>
                <w:spacing w:val="0"/>
                <w:w w:val="100"/>
                <w:position w:val="0"/>
                <w:sz w:val="21"/>
                <w:szCs w:val="21"/>
                <w:highlight w:val="none"/>
                <w:lang w:val="en-US" w:eastAsia="zh-CN" w:bidi="ar-SA"/>
              </w:rPr>
              <w:t>-N≤48mg/L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总磷≤3mg/L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总氮≤40mg/L；出水水质具体要求：COD≤40mg/L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BOD</w:t>
            </w:r>
            <w:r>
              <w:rPr>
                <w:rFonts w:hint="eastAsia" w:cs="Times New Roman"/>
                <w:color w:val="auto"/>
                <w:spacing w:val="0"/>
                <w:w w:val="100"/>
                <w:position w:val="0"/>
                <w:sz w:val="21"/>
                <w:szCs w:val="21"/>
                <w:highlight w:val="none"/>
                <w:vertAlign w:val="subscript"/>
                <w:lang w:val="en-US" w:eastAsia="zh-CN" w:bidi="ar-SA"/>
              </w:rPr>
              <w:t>5</w:t>
            </w:r>
            <w:r>
              <w:rPr>
                <w:rFonts w:hint="eastAsia" w:cs="Times New Roman"/>
                <w:color w:val="auto"/>
                <w:spacing w:val="0"/>
                <w:w w:val="100"/>
                <w:position w:val="0"/>
                <w:sz w:val="21"/>
                <w:szCs w:val="21"/>
                <w:highlight w:val="none"/>
                <w:lang w:val="en-US" w:eastAsia="zh-CN" w:bidi="ar-SA"/>
              </w:rPr>
              <w:t>≤10mg/L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SS≤10mg/L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NH</w:t>
            </w:r>
            <w:r>
              <w:rPr>
                <w:rFonts w:hint="eastAsia" w:cs="Times New Roman"/>
                <w:color w:val="auto"/>
                <w:spacing w:val="0"/>
                <w:w w:val="100"/>
                <w:position w:val="0"/>
                <w:sz w:val="21"/>
                <w:szCs w:val="21"/>
                <w:highlight w:val="none"/>
                <w:vertAlign w:val="subscript"/>
                <w:lang w:val="en-US" w:eastAsia="zh-CN" w:bidi="ar-SA"/>
              </w:rPr>
              <w:t>3</w:t>
            </w:r>
            <w:r>
              <w:rPr>
                <w:rFonts w:hint="eastAsia" w:cs="Times New Roman"/>
                <w:color w:val="auto"/>
                <w:spacing w:val="0"/>
                <w:w w:val="100"/>
                <w:position w:val="0"/>
                <w:sz w:val="21"/>
                <w:szCs w:val="21"/>
                <w:highlight w:val="none"/>
                <w:lang w:val="en-US" w:eastAsia="zh-CN" w:bidi="ar-SA"/>
              </w:rPr>
              <w:t>-N≤2.0mg/L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总磷≤0.4mg/L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总氮≤15mg/L</w:t>
            </w:r>
            <w:r>
              <w:rPr>
                <w:rFonts w:hint="default" w:ascii="Times New Roman" w:hAnsi="Times New Roman" w:eastAsia="宋体" w:cs="Times New Roman"/>
                <w:color w:val="auto"/>
                <w:spacing w:val="0"/>
                <w:w w:val="100"/>
                <w:position w:val="0"/>
                <w:sz w:val="21"/>
                <w:szCs w:val="21"/>
                <w:highlight w:val="none"/>
                <w:lang w:val="en-US" w:eastAsia="zh-CN" w:bidi="ar-SA"/>
              </w:rPr>
              <w:t>。</w:t>
            </w:r>
          </w:p>
          <w:p w14:paraId="7843BFDD">
            <w:pPr>
              <w:keepNext w:val="0"/>
              <w:keepLines w:val="0"/>
              <w:pageBreakBefore w:val="0"/>
              <w:widowControl/>
              <w:kinsoku/>
              <w:wordWrap/>
              <w:overflowPunct/>
              <w:topLinePunct w:val="0"/>
              <w:autoSpaceDE/>
              <w:autoSpaceDN/>
              <w:bidi w:val="0"/>
              <w:adjustRightInd/>
              <w:snapToGrid/>
              <w:spacing w:line="360" w:lineRule="auto"/>
              <w:ind w:firstLine="422" w:firstLineChars="200"/>
              <w:jc w:val="both"/>
              <w:rPr>
                <w:rFonts w:hint="default" w:ascii="Times New Roman" w:hAnsi="Times New Roman" w:eastAsia="宋体" w:cs="Times New Roman"/>
                <w:b/>
                <w:bCs/>
                <w:color w:val="auto"/>
                <w:spacing w:val="0"/>
                <w:w w:val="100"/>
                <w:position w:val="0"/>
                <w:sz w:val="21"/>
                <w:szCs w:val="21"/>
                <w:highlight w:val="none"/>
                <w:lang w:val="en-US" w:eastAsia="zh-CN" w:bidi="ar-SA"/>
              </w:rPr>
            </w:pPr>
            <w:r>
              <w:rPr>
                <w:rFonts w:hint="default" w:ascii="Times New Roman" w:hAnsi="Times New Roman" w:eastAsia="宋体" w:cs="Times New Roman"/>
                <w:b/>
                <w:bCs/>
                <w:color w:val="auto"/>
                <w:spacing w:val="0"/>
                <w:w w:val="100"/>
                <w:position w:val="0"/>
                <w:sz w:val="21"/>
                <w:szCs w:val="21"/>
                <w:highlight w:val="none"/>
                <w:lang w:val="en-US" w:eastAsia="zh-CN" w:bidi="ar-SA"/>
              </w:rPr>
              <w:t>本项目</w:t>
            </w:r>
            <w:r>
              <w:rPr>
                <w:rFonts w:hint="eastAsia" w:ascii="Times New Roman" w:hAnsi="Times New Roman" w:eastAsia="宋体" w:cs="Times New Roman"/>
                <w:b/>
                <w:bCs/>
                <w:color w:val="auto"/>
                <w:spacing w:val="0"/>
                <w:w w:val="100"/>
                <w:position w:val="0"/>
                <w:sz w:val="21"/>
                <w:szCs w:val="21"/>
                <w:highlight w:val="none"/>
                <w:lang w:val="en-US" w:eastAsia="zh-CN" w:bidi="ar-SA"/>
              </w:rPr>
              <w:t>废水经</w:t>
            </w:r>
            <w:r>
              <w:rPr>
                <w:rFonts w:hint="eastAsia" w:cs="Times New Roman"/>
                <w:b/>
                <w:bCs/>
                <w:color w:val="auto"/>
                <w:spacing w:val="0"/>
                <w:w w:val="100"/>
                <w:position w:val="0"/>
                <w:sz w:val="21"/>
                <w:szCs w:val="21"/>
                <w:highlight w:val="none"/>
                <w:lang w:val="en-US" w:eastAsia="zh-CN" w:bidi="ar-SA"/>
              </w:rPr>
              <w:t>厂综合污水处理站</w:t>
            </w:r>
            <w:r>
              <w:rPr>
                <w:rFonts w:hint="eastAsia" w:ascii="Times New Roman" w:hAnsi="Times New Roman" w:eastAsia="宋体" w:cs="Times New Roman"/>
                <w:b/>
                <w:bCs/>
                <w:color w:val="auto"/>
                <w:spacing w:val="0"/>
                <w:w w:val="100"/>
                <w:position w:val="0"/>
                <w:sz w:val="21"/>
                <w:szCs w:val="21"/>
                <w:highlight w:val="none"/>
                <w:lang w:val="en-US" w:eastAsia="zh-CN" w:bidi="ar-SA"/>
              </w:rPr>
              <w:t>处理后，最终通过园区污水管网，排入</w:t>
            </w:r>
            <w:r>
              <w:rPr>
                <w:rFonts w:hint="eastAsia" w:cs="Times New Roman"/>
                <w:b/>
                <w:bCs/>
                <w:color w:val="auto"/>
                <w:spacing w:val="0"/>
                <w:w w:val="100"/>
                <w:position w:val="0"/>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bCs/>
                <w:color w:val="auto"/>
                <w:spacing w:val="0"/>
                <w:w w:val="100"/>
                <w:position w:val="0"/>
                <w:sz w:val="21"/>
                <w:szCs w:val="21"/>
                <w:highlight w:val="none"/>
                <w:lang w:val="en-US" w:eastAsia="zh-CN" w:bidi="ar-SA"/>
              </w:rPr>
              <w:t>。</w:t>
            </w:r>
          </w:p>
          <w:p w14:paraId="0E73D60E">
            <w:pPr>
              <w:numPr>
                <w:ilvl w:val="0"/>
                <w:numId w:val="4"/>
              </w:numPr>
              <w:autoSpaceDE/>
              <w:autoSpaceDN/>
              <w:spacing w:line="360" w:lineRule="auto"/>
              <w:ind w:firstLine="422" w:firstLineChars="200"/>
              <w:rPr>
                <w:rFonts w:hint="eastAsia"/>
                <w:b/>
                <w:color w:val="auto"/>
                <w:sz w:val="21"/>
                <w:szCs w:val="21"/>
                <w:highlight w:val="none"/>
              </w:rPr>
            </w:pPr>
            <w:r>
              <w:rPr>
                <w:rFonts w:hint="eastAsia"/>
                <w:b/>
                <w:color w:val="auto"/>
                <w:sz w:val="21"/>
                <w:szCs w:val="21"/>
                <w:highlight w:val="none"/>
              </w:rPr>
              <w:t>与《河北石家庄循环化工园区总体规划（2016-2035）环境影响报告书》结论及审查意见的符合性分析</w:t>
            </w:r>
          </w:p>
          <w:p w14:paraId="14ED5A39">
            <w:pPr>
              <w:keepNext w:val="0"/>
              <w:keepLines w:val="0"/>
              <w:pageBreakBefore w:val="0"/>
              <w:widowControl/>
              <w:numPr>
                <w:ilvl w:val="0"/>
                <w:numId w:val="5"/>
              </w:numPr>
              <w:kinsoku/>
              <w:wordWrap/>
              <w:overflowPunct/>
              <w:topLinePunct w:val="0"/>
              <w:autoSpaceDE/>
              <w:autoSpaceDN/>
              <w:bidi w:val="0"/>
              <w:adjustRightInd w:val="0"/>
              <w:snapToGrid w:val="0"/>
              <w:spacing w:line="360" w:lineRule="auto"/>
              <w:ind w:firstLine="422" w:firstLineChars="200"/>
              <w:jc w:val="both"/>
              <w:textAlignment w:val="auto"/>
              <w:rPr>
                <w:rFonts w:hint="eastAsia" w:ascii="Times New Roman" w:hAnsi="Times New Roman"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规划环评结论符合性分析</w:t>
            </w:r>
          </w:p>
          <w:p w14:paraId="281233E3">
            <w:pPr>
              <w:pStyle w:val="2"/>
              <w:keepNext w:val="0"/>
              <w:keepLines w:val="0"/>
              <w:pageBreakBefore w:val="0"/>
              <w:widowControl w:val="0"/>
              <w:numPr>
                <w:ilvl w:val="0"/>
                <w:numId w:val="6"/>
              </w:numPr>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color w:val="auto"/>
                <w:kern w:val="2"/>
                <w:sz w:val="21"/>
                <w:szCs w:val="21"/>
                <w:highlight w:val="none"/>
                <w:lang w:val="en-US" w:eastAsia="zh-CN" w:bidi="ar"/>
              </w:rPr>
            </w:pPr>
            <w:r>
              <w:rPr>
                <w:rFonts w:hint="default" w:ascii="Times New Roman" w:hAnsi="Times New Roman" w:cs="Times New Roman"/>
                <w:bCs/>
                <w:color w:val="auto"/>
                <w:sz w:val="21"/>
                <w:szCs w:val="21"/>
                <w:highlight w:val="none"/>
              </w:rPr>
              <w:t>规划园区产业核心区重点发展基础化工、精细化工、新材料制品、新能源等产业，配套产业园区发展产学研基地及无污染的一类工业产业；丘头镇现代工业园重点发展农副产品加工及储藏等产业。</w:t>
            </w:r>
          </w:p>
          <w:p w14:paraId="0C9612C7">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b/>
                <w:bCs/>
                <w:color w:val="auto"/>
                <w:kern w:val="2"/>
                <w:sz w:val="21"/>
                <w:szCs w:val="21"/>
                <w:highlight w:val="none"/>
                <w:lang w:val="en-US" w:eastAsia="zh-CN" w:bidi="ar-SA"/>
              </w:rPr>
              <w:t>本项目位于石家庄高新区化工中路100号石家庄东华金龙化工有限公司厂区内，</w:t>
            </w:r>
            <w:r>
              <w:rPr>
                <w:rFonts w:hint="eastAsia" w:ascii="Times New Roman" w:hAnsi="Times New Roman" w:eastAsia="宋体" w:cs="Times New Roman"/>
                <w:b/>
                <w:bCs/>
                <w:color w:val="auto"/>
                <w:kern w:val="2"/>
                <w:sz w:val="21"/>
                <w:szCs w:val="21"/>
                <w:highlight w:val="none"/>
                <w:lang w:val="en-US" w:eastAsia="zh-CN" w:bidi="ar-SA"/>
              </w:rPr>
              <w:t>为改扩建</w:t>
            </w:r>
            <w:r>
              <w:rPr>
                <w:rFonts w:hint="default" w:ascii="Times New Roman" w:hAnsi="Times New Roman" w:eastAsia="宋体" w:cs="Times New Roman"/>
                <w:b/>
                <w:bCs/>
                <w:color w:val="auto"/>
                <w:kern w:val="2"/>
                <w:sz w:val="21"/>
                <w:szCs w:val="21"/>
                <w:highlight w:val="none"/>
                <w:lang w:val="en-US" w:eastAsia="zh-CN" w:bidi="ar-SA"/>
              </w:rPr>
              <w:t>项目，属于</w:t>
            </w:r>
            <w:r>
              <w:rPr>
                <w:rFonts w:hint="eastAsia" w:ascii="Times New Roman" w:hAnsi="Times New Roman" w:eastAsia="宋体" w:cs="Times New Roman"/>
                <w:b/>
                <w:bCs/>
                <w:color w:val="auto"/>
                <w:kern w:val="2"/>
                <w:sz w:val="21"/>
                <w:szCs w:val="21"/>
                <w:highlight w:val="none"/>
                <w:lang w:val="en-US" w:eastAsia="zh-CN" w:bidi="ar-SA"/>
              </w:rPr>
              <w:t>食品及饲料添加剂制造业</w:t>
            </w:r>
            <w:r>
              <w:rPr>
                <w:rFonts w:hint="default" w:ascii="Times New Roman" w:hAnsi="Times New Roman" w:eastAsia="宋体" w:cs="Times New Roman"/>
                <w:b/>
                <w:bCs/>
                <w:color w:val="auto"/>
                <w:kern w:val="2"/>
                <w:sz w:val="21"/>
                <w:szCs w:val="21"/>
                <w:highlight w:val="none"/>
                <w:lang w:val="en-US" w:eastAsia="zh-CN" w:bidi="ar-SA"/>
              </w:rPr>
              <w:t>，位于总体规划产业核心区内，符合规划要求。</w:t>
            </w:r>
          </w:p>
          <w:p w14:paraId="7C40C9F6">
            <w:pPr>
              <w:pStyle w:val="2"/>
              <w:keepNext w:val="0"/>
              <w:keepLines w:val="0"/>
              <w:pageBreakBefore w:val="0"/>
              <w:widowControl w:val="0"/>
              <w:numPr>
                <w:ilvl w:val="0"/>
                <w:numId w:val="6"/>
              </w:numPr>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color w:val="auto"/>
                <w:kern w:val="2"/>
                <w:sz w:val="21"/>
                <w:szCs w:val="21"/>
                <w:highlight w:val="none"/>
                <w:lang w:val="en-US" w:eastAsia="zh-CN" w:bidi="ar"/>
              </w:rPr>
            </w:pPr>
            <w:r>
              <w:rPr>
                <w:rFonts w:hint="default" w:ascii="Times New Roman" w:hAnsi="Times New Roman" w:cs="Times New Roman"/>
                <w:bCs/>
                <w:color w:val="auto"/>
                <w:sz w:val="21"/>
                <w:szCs w:val="21"/>
                <w:highlight w:val="none"/>
              </w:rPr>
              <w:t>园区内项目准入条件为：①符合相关产业政策要求；②符合规划的产业类别；③清洁生产水平达到国内先进水平；④符合聚集区规划指标要求</w:t>
            </w:r>
            <w:r>
              <w:rPr>
                <w:rFonts w:hint="eastAsia" w:ascii="Times New Roman" w:hAnsi="Times New Roman" w:eastAsia="宋体" w:cs="Times New Roman"/>
                <w:color w:val="auto"/>
                <w:kern w:val="2"/>
                <w:sz w:val="21"/>
                <w:szCs w:val="21"/>
                <w:highlight w:val="none"/>
                <w:lang w:val="en-US" w:eastAsia="zh-CN" w:bidi="ar"/>
              </w:rPr>
              <w:t>。</w:t>
            </w:r>
          </w:p>
          <w:p w14:paraId="33C5FF5A">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b/>
                <w:bCs/>
                <w:color w:val="auto"/>
                <w:kern w:val="2"/>
                <w:sz w:val="21"/>
                <w:szCs w:val="21"/>
                <w:highlight w:val="none"/>
                <w:lang w:val="en-US" w:eastAsia="zh-CN" w:bidi="ar-SA"/>
              </w:rPr>
              <w:t>①本项目</w:t>
            </w:r>
            <w:r>
              <w:rPr>
                <w:rFonts w:hint="eastAsia" w:ascii="Times New Roman" w:hAnsi="Times New Roman" w:eastAsia="宋体" w:cs="Times New Roman"/>
                <w:b/>
                <w:bCs/>
                <w:color w:val="auto"/>
                <w:kern w:val="2"/>
                <w:sz w:val="21"/>
                <w:szCs w:val="21"/>
                <w:highlight w:val="none"/>
                <w:lang w:val="en-US" w:eastAsia="zh-CN" w:bidi="ar-SA"/>
              </w:rPr>
              <w:t>符合</w:t>
            </w:r>
            <w:r>
              <w:rPr>
                <w:rFonts w:hint="default" w:ascii="Times New Roman" w:hAnsi="Times New Roman" w:eastAsia="宋体" w:cs="Times New Roman"/>
                <w:b/>
                <w:bCs/>
                <w:color w:val="auto"/>
                <w:kern w:val="2"/>
                <w:sz w:val="21"/>
                <w:szCs w:val="21"/>
                <w:highlight w:val="none"/>
                <w:lang w:val="en-US" w:eastAsia="zh-CN" w:bidi="ar-SA"/>
              </w:rPr>
              <w:t>产业政策要求。②本项目符合园区规划。③本项目建成后实施清洁生产。④符合聚集区规划指标要求。</w:t>
            </w:r>
          </w:p>
          <w:p w14:paraId="2B8F5A0B">
            <w:pPr>
              <w:pStyle w:val="2"/>
              <w:keepNext w:val="0"/>
              <w:keepLines w:val="0"/>
              <w:pageBreakBefore w:val="0"/>
              <w:widowControl w:val="0"/>
              <w:numPr>
                <w:ilvl w:val="0"/>
                <w:numId w:val="6"/>
              </w:numPr>
              <w:kinsoku/>
              <w:wordWrap/>
              <w:overflowPunct/>
              <w:topLinePunct w:val="0"/>
              <w:autoSpaceDE/>
              <w:autoSpaceDN/>
              <w:bidi w:val="0"/>
              <w:adjustRightInd/>
              <w:snapToGrid/>
              <w:spacing w:line="360" w:lineRule="auto"/>
              <w:textAlignment w:val="auto"/>
              <w:rPr>
                <w:rFonts w:hint="eastAsia"/>
                <w:color w:val="auto"/>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bidi="ar"/>
              </w:rPr>
              <w:t>河北石家庄循环化工园区负面清单：①国家《产业结构调整指导目录》中限制类的新建项目和淘汰类项目，禁止在园区投资建设；②属于《河北省禁止投资的产业目录》（2014年版）中的项目，禁止在园区投资建设；③不符合园区“三化合一”产业链规划的项目不得在核心产业区投资建设；④清洁生产水平达不到国内先进及以上的新建精细化工项目。</w:t>
            </w:r>
          </w:p>
          <w:p w14:paraId="50CBE6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2" w:firstLineChars="20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本项目</w:t>
            </w:r>
            <w:r>
              <w:rPr>
                <w:rFonts w:hint="default" w:ascii="Times New Roman" w:hAnsi="Times New Roman" w:eastAsia="宋体" w:cs="Times New Roman"/>
                <w:b/>
                <w:bCs/>
                <w:color w:val="auto"/>
                <w:kern w:val="2"/>
                <w:sz w:val="21"/>
                <w:szCs w:val="21"/>
                <w:highlight w:val="none"/>
                <w:lang w:val="en-US" w:eastAsia="zh-CN" w:bidi="ar-SA"/>
              </w:rPr>
              <w:t>①不属于《产业结构调整指导目录（2024年本）》中限制类和淘汰类项目；②不属于河北省禁止投资的产业；③</w:t>
            </w:r>
            <w:r>
              <w:rPr>
                <w:rFonts w:hint="eastAsia" w:ascii="Times New Roman" w:hAnsi="Times New Roman" w:eastAsia="宋体" w:cs="Times New Roman"/>
                <w:b/>
                <w:bCs/>
                <w:color w:val="auto"/>
                <w:kern w:val="2"/>
                <w:sz w:val="21"/>
                <w:szCs w:val="21"/>
                <w:highlight w:val="none"/>
                <w:lang w:val="en-US" w:eastAsia="zh-CN" w:bidi="ar-SA"/>
              </w:rPr>
              <w:t>本项目</w:t>
            </w:r>
            <w:r>
              <w:rPr>
                <w:rFonts w:hint="default" w:ascii="Times New Roman" w:hAnsi="Times New Roman" w:eastAsia="宋体" w:cs="Times New Roman"/>
                <w:b/>
                <w:bCs/>
                <w:color w:val="auto"/>
                <w:kern w:val="2"/>
                <w:sz w:val="21"/>
                <w:szCs w:val="21"/>
                <w:highlight w:val="none"/>
                <w:lang w:val="en-US" w:eastAsia="zh-CN" w:bidi="ar-SA"/>
              </w:rPr>
              <w:t>为</w:t>
            </w:r>
            <w:r>
              <w:rPr>
                <w:rFonts w:hint="eastAsia" w:ascii="Times New Roman" w:hAnsi="Times New Roman" w:eastAsia="宋体" w:cs="Times New Roman"/>
                <w:b/>
                <w:bCs/>
                <w:color w:val="auto"/>
                <w:kern w:val="2"/>
                <w:sz w:val="21"/>
                <w:szCs w:val="21"/>
                <w:highlight w:val="none"/>
                <w:lang w:val="en-US" w:eastAsia="zh-CN" w:bidi="ar-SA"/>
              </w:rPr>
              <w:t>现有工程扩建项目，</w:t>
            </w:r>
            <w:r>
              <w:rPr>
                <w:rFonts w:hint="default" w:ascii="Times New Roman" w:hAnsi="Times New Roman" w:eastAsia="宋体" w:cs="Times New Roman"/>
                <w:b/>
                <w:bCs/>
                <w:color w:val="auto"/>
                <w:kern w:val="2"/>
                <w:sz w:val="21"/>
                <w:szCs w:val="21"/>
                <w:highlight w:val="none"/>
                <w:lang w:val="en-US" w:eastAsia="zh-CN" w:bidi="ar-SA"/>
              </w:rPr>
              <w:t>属于</w:t>
            </w:r>
            <w:r>
              <w:rPr>
                <w:rFonts w:hint="eastAsia" w:ascii="Times New Roman" w:hAnsi="Times New Roman" w:eastAsia="宋体" w:cs="Times New Roman"/>
                <w:b/>
                <w:bCs/>
                <w:color w:val="auto"/>
                <w:kern w:val="2"/>
                <w:sz w:val="21"/>
                <w:szCs w:val="21"/>
                <w:highlight w:val="none"/>
                <w:lang w:val="en-US" w:eastAsia="zh-CN" w:bidi="ar-SA"/>
              </w:rPr>
              <w:t>食品及饲料添</w:t>
            </w:r>
            <w:r>
              <w:rPr>
                <w:rFonts w:hint="eastAsia" w:cs="Times New Roman"/>
                <w:b/>
                <w:bCs/>
                <w:color w:val="auto"/>
                <w:kern w:val="2"/>
                <w:sz w:val="21"/>
                <w:szCs w:val="21"/>
                <w:highlight w:val="none"/>
                <w:lang w:val="en-US" w:eastAsia="zh-CN" w:bidi="ar-SA"/>
              </w:rPr>
              <w:t>加</w:t>
            </w:r>
            <w:r>
              <w:rPr>
                <w:rFonts w:hint="eastAsia" w:ascii="Times New Roman" w:hAnsi="Times New Roman" w:eastAsia="宋体" w:cs="Times New Roman"/>
                <w:b/>
                <w:bCs/>
                <w:color w:val="auto"/>
                <w:kern w:val="2"/>
                <w:sz w:val="21"/>
                <w:szCs w:val="21"/>
                <w:highlight w:val="none"/>
                <w:lang w:val="en-US" w:eastAsia="zh-CN" w:bidi="ar-SA"/>
              </w:rPr>
              <w:t>剂制造业，</w:t>
            </w:r>
            <w:r>
              <w:rPr>
                <w:rFonts w:hint="default" w:ascii="Times New Roman" w:hAnsi="Times New Roman" w:eastAsia="宋体" w:cs="Times New Roman"/>
                <w:b/>
                <w:bCs/>
                <w:color w:val="auto"/>
                <w:kern w:val="2"/>
                <w:sz w:val="21"/>
                <w:szCs w:val="21"/>
                <w:highlight w:val="none"/>
                <w:lang w:val="en-US" w:eastAsia="zh-CN" w:bidi="ar-SA"/>
              </w:rPr>
              <w:t>符合</w:t>
            </w:r>
            <w:r>
              <w:rPr>
                <w:rFonts w:hint="eastAsia" w:ascii="Times New Roman" w:hAnsi="Times New Roman" w:eastAsia="宋体" w:cs="Times New Roman"/>
                <w:b/>
                <w:bCs/>
                <w:color w:val="auto"/>
                <w:kern w:val="2"/>
                <w:sz w:val="21"/>
                <w:szCs w:val="21"/>
                <w:highlight w:val="none"/>
                <w:lang w:val="en-US" w:eastAsia="zh-CN" w:bidi="ar-SA"/>
              </w:rPr>
              <w:t>园区“三化合一”产业链规划的项目</w:t>
            </w:r>
            <w:r>
              <w:rPr>
                <w:rFonts w:hint="default" w:ascii="Times New Roman" w:hAnsi="Times New Roman" w:eastAsia="宋体" w:cs="Times New Roman"/>
                <w:b/>
                <w:bCs/>
                <w:color w:val="auto"/>
                <w:kern w:val="2"/>
                <w:sz w:val="21"/>
                <w:szCs w:val="21"/>
                <w:highlight w:val="none"/>
                <w:lang w:val="en-US" w:eastAsia="zh-CN" w:bidi="ar-SA"/>
              </w:rPr>
              <w:t>；④本项目不属于精细化工项目。</w:t>
            </w:r>
          </w:p>
          <w:p w14:paraId="16968EB3">
            <w:pPr>
              <w:keepNext w:val="0"/>
              <w:keepLines w:val="0"/>
              <w:pageBreakBefore w:val="0"/>
              <w:widowControl/>
              <w:kinsoku/>
              <w:wordWrap/>
              <w:overflowPunct/>
              <w:topLinePunct w:val="0"/>
              <w:autoSpaceDE/>
              <w:autoSpaceDN/>
              <w:bidi w:val="0"/>
              <w:adjustRightInd w:val="0"/>
              <w:snapToGrid w:val="0"/>
              <w:spacing w:line="360" w:lineRule="auto"/>
              <w:ind w:firstLine="422" w:firstLineChars="200"/>
              <w:jc w:val="both"/>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2、规划环评审查意见的符合性分析</w:t>
            </w:r>
          </w:p>
          <w:p w14:paraId="06D651F2">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《石家庄高新区循环化工园区总体规划（2016-2035）环境影响报告书》于2019年12月31日通过了河北省生态环境厅审查（冀环环评函[2019]1580号），审查意见中与拟建项目有关内容包括：</w:t>
            </w:r>
          </w:p>
          <w:p w14:paraId="693DD04C">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①严格环境准入，推动化工产业转型升级的绿色发展。按照环评报告书提出的</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三线一单</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管理要求，以资源利用上线、环境质量底线为约束，入区企业应符合《关于促进京津冀地区经济社会与生态环境保护协调发展的指导意见》（环办环评[2018]24号）、《产业结构调整指导目录（2024年本）》等文件规定要求，严格落实环评报告中生态环境准入清单要求。</w:t>
            </w:r>
          </w:p>
          <w:p w14:paraId="121BBAD4">
            <w:pPr>
              <w:widowControl w:val="0"/>
              <w:spacing w:line="360" w:lineRule="auto"/>
              <w:ind w:left="0" w:leftChars="0" w:firstLine="422"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本项目为</w:t>
            </w:r>
            <w:r>
              <w:rPr>
                <w:rFonts w:hint="eastAsia" w:cs="Times New Roman"/>
                <w:b/>
                <w:bCs/>
                <w:color w:val="auto"/>
                <w:kern w:val="2"/>
                <w:sz w:val="21"/>
                <w:szCs w:val="21"/>
                <w:highlight w:val="none"/>
                <w:lang w:val="en-US" w:eastAsia="zh-CN" w:bidi="ar-SA"/>
              </w:rPr>
              <w:t>改</w:t>
            </w:r>
            <w:r>
              <w:rPr>
                <w:rFonts w:hint="eastAsia" w:ascii="Times New Roman" w:hAnsi="Times New Roman" w:eastAsia="宋体" w:cs="Times New Roman"/>
                <w:b/>
                <w:bCs/>
                <w:color w:val="auto"/>
                <w:kern w:val="2"/>
                <w:sz w:val="21"/>
                <w:szCs w:val="21"/>
                <w:highlight w:val="none"/>
                <w:lang w:val="en-US" w:eastAsia="zh-CN" w:bidi="ar-SA"/>
              </w:rPr>
              <w:t>扩建</w:t>
            </w:r>
            <w:r>
              <w:rPr>
                <w:rFonts w:hint="default" w:ascii="Times New Roman" w:hAnsi="Times New Roman" w:eastAsia="宋体" w:cs="Times New Roman"/>
                <w:b/>
                <w:bCs/>
                <w:color w:val="auto"/>
                <w:kern w:val="2"/>
                <w:sz w:val="21"/>
                <w:szCs w:val="21"/>
                <w:highlight w:val="none"/>
                <w:lang w:val="en-US" w:eastAsia="zh-CN" w:bidi="ar-SA"/>
              </w:rPr>
              <w:t>项目，属于</w:t>
            </w:r>
            <w:r>
              <w:rPr>
                <w:rFonts w:hint="eastAsia" w:ascii="Times New Roman" w:hAnsi="Times New Roman" w:eastAsia="宋体" w:cs="Times New Roman"/>
                <w:b/>
                <w:bCs/>
                <w:color w:val="auto"/>
                <w:kern w:val="2"/>
                <w:sz w:val="21"/>
                <w:szCs w:val="21"/>
                <w:highlight w:val="none"/>
                <w:lang w:val="en-US" w:eastAsia="zh-CN" w:bidi="ar-SA"/>
              </w:rPr>
              <w:t>食品及饲料添</w:t>
            </w:r>
            <w:r>
              <w:rPr>
                <w:rFonts w:hint="eastAsia" w:cs="Times New Roman"/>
                <w:b/>
                <w:bCs/>
                <w:color w:val="auto"/>
                <w:kern w:val="2"/>
                <w:sz w:val="21"/>
                <w:szCs w:val="21"/>
                <w:highlight w:val="none"/>
                <w:lang w:val="en-US" w:eastAsia="zh-CN" w:bidi="ar-SA"/>
              </w:rPr>
              <w:t>加</w:t>
            </w:r>
            <w:r>
              <w:rPr>
                <w:rFonts w:hint="eastAsia" w:ascii="Times New Roman" w:hAnsi="Times New Roman" w:eastAsia="宋体" w:cs="Times New Roman"/>
                <w:b/>
                <w:bCs/>
                <w:color w:val="auto"/>
                <w:kern w:val="2"/>
                <w:sz w:val="21"/>
                <w:szCs w:val="21"/>
                <w:highlight w:val="none"/>
                <w:lang w:val="en-US" w:eastAsia="zh-CN" w:bidi="ar-SA"/>
              </w:rPr>
              <w:t>剂制造业</w:t>
            </w:r>
            <w:r>
              <w:rPr>
                <w:rFonts w:hint="default" w:ascii="Times New Roman" w:hAnsi="Times New Roman" w:eastAsia="宋体" w:cs="Times New Roman"/>
                <w:b/>
                <w:bCs/>
                <w:color w:val="auto"/>
                <w:kern w:val="2"/>
                <w:sz w:val="21"/>
                <w:szCs w:val="21"/>
                <w:highlight w:val="none"/>
                <w:lang w:val="en-US" w:eastAsia="zh-CN" w:bidi="ar-SA"/>
              </w:rPr>
              <w:t>，位于石家庄高新区循环化工园区精细化工产业片区内的三类工业用地，项目建设内容符合园区规划环评</w:t>
            </w:r>
            <w:r>
              <w:rPr>
                <w:rFonts w:hint="eastAsia" w:cs="Times New Roman"/>
                <w:b/>
                <w:bCs/>
                <w:color w:val="auto"/>
                <w:kern w:val="2"/>
                <w:sz w:val="21"/>
                <w:szCs w:val="21"/>
                <w:highlight w:val="none"/>
                <w:lang w:val="en-US" w:eastAsia="zh-CN" w:bidi="ar-SA"/>
              </w:rPr>
              <w:t>“</w:t>
            </w:r>
            <w:r>
              <w:rPr>
                <w:rFonts w:hint="default" w:ascii="Times New Roman" w:hAnsi="Times New Roman" w:eastAsia="宋体" w:cs="Times New Roman"/>
                <w:b/>
                <w:bCs/>
                <w:color w:val="auto"/>
                <w:kern w:val="2"/>
                <w:sz w:val="21"/>
                <w:szCs w:val="21"/>
                <w:highlight w:val="none"/>
                <w:lang w:val="en-US" w:eastAsia="zh-CN" w:bidi="ar-SA"/>
              </w:rPr>
              <w:t>三线一单</w:t>
            </w:r>
            <w:r>
              <w:rPr>
                <w:rFonts w:hint="eastAsia" w:cs="Times New Roman"/>
                <w:b/>
                <w:bCs/>
                <w:color w:val="auto"/>
                <w:kern w:val="2"/>
                <w:sz w:val="21"/>
                <w:szCs w:val="21"/>
                <w:highlight w:val="none"/>
                <w:lang w:val="en-US" w:eastAsia="zh-CN" w:bidi="ar-SA"/>
              </w:rPr>
              <w:t>”</w:t>
            </w:r>
            <w:r>
              <w:rPr>
                <w:rFonts w:hint="default" w:ascii="Times New Roman" w:hAnsi="Times New Roman" w:eastAsia="宋体" w:cs="Times New Roman"/>
                <w:b/>
                <w:bCs/>
                <w:color w:val="auto"/>
                <w:kern w:val="2"/>
                <w:sz w:val="21"/>
                <w:szCs w:val="21"/>
                <w:highlight w:val="none"/>
                <w:lang w:val="en-US" w:eastAsia="zh-CN" w:bidi="ar-SA"/>
              </w:rPr>
              <w:t>要求，符合《关于促进京津冀地区经济社会与生态环境保护协调发展的指导意见》（环办环评[2018]24号）、《产业结构调整指导目录（2024年本）》等文件规定要求。</w:t>
            </w:r>
          </w:p>
          <w:p w14:paraId="00DD2062">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②加强空间管制，优化生产空间和生活空间。促进工业区、城镇建设区和美丽乡村规划区和谐发展，严格落实园区城乡统筹规划，有序做好园区内村庄搬迁工作。控制园区工业区外居民点向工业区方向发展，确保区内企业与敏感点保持足够的环境防护距离，减少突发事件可能对居民区环境产生的影响，严格落实环评报告中生态空间管控要求。</w:t>
            </w:r>
          </w:p>
          <w:p w14:paraId="08E43456">
            <w:pPr>
              <w:widowControl w:val="0"/>
              <w:spacing w:line="360" w:lineRule="auto"/>
              <w:ind w:left="0" w:leftChars="0" w:firstLine="422"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本项目位于石家庄高新区循环化工园区精细化工产业片区内的三类工业用地，属于规划的</w:t>
            </w:r>
            <w:r>
              <w:rPr>
                <w:rFonts w:hint="eastAsia" w:cs="Times New Roman"/>
                <w:b/>
                <w:bCs/>
                <w:color w:val="auto"/>
                <w:kern w:val="2"/>
                <w:sz w:val="21"/>
                <w:szCs w:val="21"/>
                <w:highlight w:val="none"/>
                <w:lang w:val="en-US" w:eastAsia="zh-CN" w:bidi="ar-SA"/>
              </w:rPr>
              <w:t>“</w:t>
            </w:r>
            <w:r>
              <w:rPr>
                <w:rFonts w:hint="default" w:ascii="Times New Roman" w:hAnsi="Times New Roman" w:eastAsia="宋体" w:cs="Times New Roman"/>
                <w:b/>
                <w:bCs/>
                <w:color w:val="auto"/>
                <w:kern w:val="2"/>
                <w:sz w:val="21"/>
                <w:szCs w:val="21"/>
                <w:highlight w:val="none"/>
                <w:lang w:val="en-US" w:eastAsia="zh-CN" w:bidi="ar-SA"/>
              </w:rPr>
              <w:t>一核</w:t>
            </w:r>
            <w:r>
              <w:rPr>
                <w:rFonts w:hint="eastAsia" w:cs="Times New Roman"/>
                <w:b/>
                <w:bCs/>
                <w:color w:val="auto"/>
                <w:kern w:val="2"/>
                <w:sz w:val="21"/>
                <w:szCs w:val="21"/>
                <w:highlight w:val="none"/>
                <w:lang w:val="en-US" w:eastAsia="zh-CN" w:bidi="ar-SA"/>
              </w:rPr>
              <w:t>”</w:t>
            </w:r>
            <w:r>
              <w:rPr>
                <w:rFonts w:hint="default" w:ascii="Times New Roman" w:hAnsi="Times New Roman" w:eastAsia="宋体" w:cs="Times New Roman"/>
                <w:b/>
                <w:bCs/>
                <w:color w:val="auto"/>
                <w:kern w:val="2"/>
                <w:sz w:val="21"/>
                <w:szCs w:val="21"/>
                <w:highlight w:val="none"/>
                <w:lang w:val="en-US" w:eastAsia="zh-CN" w:bidi="ar-SA"/>
              </w:rPr>
              <w:t>即产业核心发展区内，符合园区总体布局规划，符合园区的发展和产业定位。同时，项目采取了一系列环境风险防范措施，在采取并落实相关风险防范措施后，项目存在的环境风险可防可控。</w:t>
            </w:r>
          </w:p>
          <w:p w14:paraId="3FEA026F">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③加强总量管控，促进环境质量改善。按照最不利条件并预留一定安全余量的原则，提出的污染物排放总量控制上限作为园区污染物总量管控限值。严格落实区域污染物削减方案，并提升技术工艺及节能节水控污水平，不断改善环境质量。</w:t>
            </w:r>
          </w:p>
          <w:p w14:paraId="4644BAE0">
            <w:pPr>
              <w:widowControl w:val="0"/>
              <w:spacing w:line="360" w:lineRule="auto"/>
              <w:ind w:left="0" w:leftChars="0" w:firstLine="422" w:firstLineChars="200"/>
              <w:jc w:val="both"/>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本项目采用生产工艺成熟稳定，采用先进废气、废水治理技术，项目建成后新增污染物</w:t>
            </w:r>
            <w:r>
              <w:rPr>
                <w:rFonts w:hint="eastAsia" w:cs="Times New Roman"/>
                <w:b/>
                <w:bCs/>
                <w:color w:val="auto"/>
                <w:kern w:val="2"/>
                <w:sz w:val="21"/>
                <w:szCs w:val="21"/>
                <w:highlight w:val="none"/>
                <w:lang w:val="en-US" w:eastAsia="zh-CN" w:bidi="ar-SA"/>
              </w:rPr>
              <w:t>量未突破</w:t>
            </w:r>
            <w:r>
              <w:rPr>
                <w:rFonts w:hint="default" w:ascii="Times New Roman" w:hAnsi="Times New Roman" w:eastAsia="宋体" w:cs="Times New Roman"/>
                <w:b/>
                <w:bCs/>
                <w:color w:val="auto"/>
                <w:kern w:val="2"/>
                <w:sz w:val="21"/>
                <w:szCs w:val="21"/>
                <w:highlight w:val="none"/>
                <w:lang w:val="en-US" w:eastAsia="zh-CN" w:bidi="ar-SA"/>
              </w:rPr>
              <w:t>总量</w:t>
            </w:r>
            <w:r>
              <w:rPr>
                <w:rFonts w:hint="eastAsia" w:cs="Times New Roman"/>
                <w:b/>
                <w:bCs/>
                <w:color w:val="auto"/>
                <w:kern w:val="2"/>
                <w:sz w:val="21"/>
                <w:szCs w:val="21"/>
                <w:highlight w:val="none"/>
                <w:lang w:val="en-US" w:eastAsia="zh-CN" w:bidi="ar-SA"/>
              </w:rPr>
              <w:t>控制指标</w:t>
            </w:r>
            <w:r>
              <w:rPr>
                <w:rFonts w:hint="default" w:ascii="Times New Roman" w:hAnsi="Times New Roman" w:eastAsia="宋体" w:cs="Times New Roman"/>
                <w:b/>
                <w:bCs/>
                <w:color w:val="auto"/>
                <w:kern w:val="2"/>
                <w:sz w:val="21"/>
                <w:szCs w:val="21"/>
                <w:highlight w:val="none"/>
                <w:lang w:val="en-US" w:eastAsia="zh-CN" w:bidi="ar-SA"/>
              </w:rPr>
              <w:t>。</w:t>
            </w:r>
          </w:p>
          <w:p w14:paraId="3A972DA1">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④加强规划环评与项目环评联动，切实发挥规划和项目环评预防环境污染和生态破坏的作用。项目环评文件应落实规划环评提出的各项要求，选址符合性分析、区域大气环境容量、配套基础设施可行性可适当简化；重点开展项目准入条件符合性、工程分析、布局合理性、环保措施的可行性论证、污染物排放量与总量控制指标、大气环境防护距离符合性、清洁生产水平分析，并关注园区基础设施及应急体系保障能力，强化环境监测和环境保护相关措施的落实。</w:t>
            </w:r>
          </w:p>
          <w:p w14:paraId="055B7DE4">
            <w:pPr>
              <w:widowControl w:val="0"/>
              <w:spacing w:line="360" w:lineRule="auto"/>
              <w:ind w:left="0" w:leftChars="0" w:firstLine="422"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本项目落实了规划环评提出的各项要求，经分析，项目选址符合园区产业定位和用地布局规划，园区供排水、供电、供气能力符合项目实施需求。本项目符合园区准入条件，不在园区环境准入负面清单之列；项目环评开展了工程分析，核算了污染物排放量与总量控制指标，经分析，企业布局合理性、环保措施可行，园区基础设施满足企业需求，提出了合理可靠的环境风险防范措施、环境监测计划和环境保护要求。</w:t>
            </w:r>
          </w:p>
          <w:p w14:paraId="0F7CB0A9">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⑤注重园区发展与区域资源承载力相协调，统筹规划建设园区配套的基础设施。园区企业生产用新水由良村开发区地表水厂供给，水源为南水北调地表水，现工业区和城镇建设区已实现供水，美丽乡村规划区配套管网于2025年底前建成；加快园区污水处理厂提标改造进度，至2020年底外排废水水质满足《城镇污水处理厂污染物排放标准》（GB18918-2002）一级A标准要求，同时化学需氧量、五日生化需氧量、氨氮、总氮、总磷满足《子牙河流域水污染物排放标准》（DB13/2796-2018）表1重点控制区排放限值；加快污水处理厂扩建和再生水厂的建设进度，污水处理厂二期工程（10万立方米/天）及配套管网应于2025年底前建成投运，再生水循环项目一期工程（5万立方米/天）及配套管网应于2022年底前建成投运，污水处理厂部分出水经再生水循环项目处理后回用，剩余部分外排汪洋沟；再生水循环项目建成前，使用中水量大的入区项目应暂缓建设；园区除依托现状热源外，燃气热电厂一期工程（330t/h供热能力）于2020年底前建成投运；园区规划建设八方分输站1座，供气能力为85.4万标立方米/天，于2025年底前建成投运；依托园区内现有铁路货运专线，进一步推动</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公转铁</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，大宗物料和产品采用铁路、管道或管状带式输送机等清洁方式运输比例不低于80%，汽车运输部分应采用新能源汽车或达到国六排放标准的汽车，禁止使用柴油车及国五标准以下汽车。</w:t>
            </w:r>
          </w:p>
          <w:p w14:paraId="6CCAB31D">
            <w:pPr>
              <w:widowControl w:val="0"/>
              <w:spacing w:line="360" w:lineRule="auto"/>
              <w:ind w:left="0" w:leftChars="0" w:firstLine="422" w:firstLineChars="200"/>
              <w:jc w:val="both"/>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本项目建成后，项目用水由园区地表水厂统一供给；企业原料及产品采用达到国六排放标准的汽车进行运输。</w:t>
            </w:r>
          </w:p>
          <w:p w14:paraId="37AFE47A">
            <w:pPr>
              <w:widowControl w:val="0"/>
              <w:spacing w:line="360" w:lineRule="auto"/>
              <w:ind w:left="0" w:leftChars="0" w:firstLine="420" w:firstLineChars="200"/>
              <w:jc w:val="both"/>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⑥加强区域环境污染防治和应急措施。强化区域环境大气、水污染防治措施，加强固体废物管理，危险废物坚持无害化、减量化、资源化原则，妥善利用或处置，确保环境安全。严格落实环评报告书中提出的各项环境风险防范措施，加强风险事故情况下的环境污染防范、应急响应和协同处置，防止对区域周边环境敏感点造成影响。</w:t>
            </w:r>
          </w:p>
          <w:p w14:paraId="57FD8407">
            <w:pPr>
              <w:widowControl w:val="0"/>
              <w:spacing w:line="360" w:lineRule="auto"/>
              <w:ind w:left="0" w:leftChars="0" w:firstLine="422" w:firstLineChars="200"/>
              <w:jc w:val="both"/>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本项目制定了风险防范措施，并加强与园区联动。</w:t>
            </w:r>
          </w:p>
          <w:p w14:paraId="2FB3352B">
            <w:pPr>
              <w:widowControl w:val="0"/>
              <w:spacing w:line="360" w:lineRule="auto"/>
              <w:ind w:left="0" w:leftChars="0" w:firstLine="422" w:firstLineChars="200"/>
              <w:jc w:val="both"/>
              <w:rPr>
                <w:rFonts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综上分析，本项目符合规划、规划环评及审查意见的要求。</w:t>
            </w:r>
          </w:p>
          <w:p w14:paraId="2748D056">
            <w:pPr>
              <w:adjustRightInd/>
              <w:snapToGrid/>
              <w:spacing w:line="360" w:lineRule="auto"/>
              <w:ind w:firstLine="422" w:firstLineChars="200"/>
              <w:rPr>
                <w:rFonts w:hint="eastAsia"/>
                <w:b/>
                <w:color w:val="auto"/>
                <w:sz w:val="21"/>
                <w:szCs w:val="21"/>
                <w:highlight w:val="none"/>
              </w:rPr>
            </w:pPr>
            <w:r>
              <w:rPr>
                <w:rFonts w:hint="eastAsia" w:eastAsia="宋体"/>
                <w:b/>
                <w:color w:val="auto"/>
                <w:sz w:val="21"/>
                <w:szCs w:val="21"/>
                <w:highlight w:val="none"/>
                <w:lang w:eastAsia="zh-CN"/>
              </w:rPr>
              <w:t>（</w:t>
            </w:r>
            <w:r>
              <w:rPr>
                <w:rFonts w:hint="eastAsia" w:ascii="Times New Roman" w:eastAsia="宋体"/>
                <w:b/>
                <w:color w:val="auto"/>
                <w:sz w:val="21"/>
                <w:szCs w:val="21"/>
                <w:highlight w:val="none"/>
                <w:lang w:val="en-US" w:eastAsia="zh-CN"/>
              </w:rPr>
              <w:t>三</w:t>
            </w:r>
            <w:r>
              <w:rPr>
                <w:rFonts w:hint="eastAsia" w:eastAsia="宋体"/>
                <w:b/>
                <w:color w:val="auto"/>
                <w:sz w:val="21"/>
                <w:szCs w:val="21"/>
                <w:highlight w:val="none"/>
                <w:lang w:eastAsia="zh-CN"/>
              </w:rPr>
              <w:t>）</w:t>
            </w:r>
            <w:r>
              <w:rPr>
                <w:rFonts w:hint="eastAsia"/>
                <w:b/>
                <w:color w:val="auto"/>
                <w:sz w:val="21"/>
                <w:szCs w:val="21"/>
                <w:highlight w:val="none"/>
              </w:rPr>
              <w:t>与</w:t>
            </w:r>
            <w:r>
              <w:rPr>
                <w:rFonts w:hint="eastAsia" w:eastAsia="宋体"/>
                <w:b/>
                <w:color w:val="auto"/>
                <w:sz w:val="21"/>
                <w:szCs w:val="21"/>
                <w:highlight w:val="none"/>
                <w:lang w:eastAsia="zh-CN"/>
              </w:rPr>
              <w:t>园区三线一单及准入条件的</w:t>
            </w:r>
            <w:r>
              <w:rPr>
                <w:rFonts w:hint="eastAsia"/>
                <w:b/>
                <w:color w:val="auto"/>
                <w:sz w:val="21"/>
                <w:szCs w:val="21"/>
                <w:highlight w:val="none"/>
              </w:rPr>
              <w:t>符合性分析</w:t>
            </w:r>
          </w:p>
          <w:p w14:paraId="3547CFCA">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1、园区生态管控</w:t>
            </w:r>
          </w:p>
          <w:p w14:paraId="23D25FF3">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3" w:name="_Toc19441"/>
            <w:r>
              <w:rPr>
                <w:rFonts w:hint="default" w:ascii="Times New Roman" w:hAnsi="Times New Roman" w:eastAsia="宋体" w:cs="Times New Roman"/>
                <w:color w:val="auto"/>
                <w:kern w:val="0"/>
                <w:sz w:val="21"/>
                <w:szCs w:val="21"/>
                <w:highlight w:val="none"/>
                <w:lang w:val="en-US" w:eastAsia="zh-CN"/>
              </w:rPr>
              <w:t>（1）生态保护红线</w:t>
            </w:r>
            <w:bookmarkEnd w:id="3"/>
          </w:p>
          <w:p w14:paraId="461C0E53">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根据《河北省生态保护红线》及《石家庄市生态保护红线划定方案》，距离项目最近的生态保护红线为</w:t>
            </w:r>
            <w:r>
              <w:rPr>
                <w:rFonts w:hint="eastAsia" w:cs="Times New Roman"/>
                <w:color w:val="auto"/>
                <w:kern w:val="0"/>
                <w:sz w:val="21"/>
                <w:szCs w:val="21"/>
                <w:highlight w:val="none"/>
                <w:lang w:val="en-US" w:eastAsia="zh-CN"/>
              </w:rPr>
              <w:t>西</w:t>
            </w:r>
            <w:r>
              <w:rPr>
                <w:rFonts w:hint="default" w:ascii="Times New Roman" w:hAnsi="Times New Roman" w:eastAsia="宋体" w:cs="Times New Roman"/>
                <w:color w:val="auto"/>
                <w:kern w:val="0"/>
                <w:sz w:val="21"/>
                <w:szCs w:val="21"/>
                <w:highlight w:val="none"/>
                <w:lang w:val="en-US" w:eastAsia="zh-CN"/>
              </w:rPr>
              <w:t>侧约</w:t>
            </w:r>
            <w:r>
              <w:rPr>
                <w:rFonts w:hint="eastAsia" w:cs="Times New Roman"/>
                <w:color w:val="auto"/>
                <w:kern w:val="0"/>
                <w:sz w:val="21"/>
                <w:szCs w:val="21"/>
                <w:highlight w:val="none"/>
                <w:lang w:val="en-US" w:eastAsia="zh-CN"/>
              </w:rPr>
              <w:t>24</w:t>
            </w:r>
            <w:r>
              <w:rPr>
                <w:rFonts w:hint="default" w:ascii="Times New Roman" w:hAnsi="Times New Roman" w:eastAsia="宋体" w:cs="Times New Roman"/>
                <w:color w:val="auto"/>
                <w:kern w:val="0"/>
                <w:sz w:val="21"/>
                <w:szCs w:val="21"/>
                <w:highlight w:val="none"/>
                <w:lang w:val="en-US" w:eastAsia="zh-CN"/>
              </w:rPr>
              <w:t>km处的</w:t>
            </w:r>
            <w:r>
              <w:rPr>
                <w:rFonts w:hint="eastAsia" w:cs="Times New Roman"/>
                <w:color w:val="auto"/>
                <w:kern w:val="0"/>
                <w:sz w:val="21"/>
                <w:szCs w:val="21"/>
                <w:highlight w:val="none"/>
                <w:lang w:val="en-US" w:eastAsia="zh-CN"/>
              </w:rPr>
              <w:t>南水北调工程</w:t>
            </w:r>
            <w:r>
              <w:rPr>
                <w:rFonts w:hint="default" w:ascii="Times New Roman" w:hAnsi="Times New Roman" w:eastAsia="宋体" w:cs="Times New Roman"/>
                <w:color w:val="auto"/>
                <w:kern w:val="0"/>
                <w:sz w:val="21"/>
                <w:szCs w:val="21"/>
                <w:highlight w:val="none"/>
                <w:lang w:val="en-US" w:eastAsia="zh-CN"/>
              </w:rPr>
              <w:t>，因此，本项目评价范围内不涉及生态保护红线。</w:t>
            </w:r>
          </w:p>
          <w:p w14:paraId="668876AE">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4" w:name="_Toc16023"/>
            <w:r>
              <w:rPr>
                <w:rFonts w:hint="default" w:ascii="Times New Roman" w:hAnsi="Times New Roman" w:eastAsia="宋体" w:cs="Times New Roman"/>
                <w:color w:val="auto"/>
                <w:kern w:val="0"/>
                <w:sz w:val="21"/>
                <w:szCs w:val="21"/>
                <w:highlight w:val="none"/>
                <w:lang w:val="en-US" w:eastAsia="zh-CN"/>
              </w:rPr>
              <w:t>（2）生态空间管制</w:t>
            </w:r>
            <w:bookmarkEnd w:id="4"/>
          </w:p>
          <w:p w14:paraId="6F7B27C3">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根据园区规划环评中关于生态空间管制要求，园区包括禁止建设区、限制建设区、允许建设区等生态空间。</w:t>
            </w:r>
          </w:p>
          <w:p w14:paraId="2EE72812">
            <w:pPr>
              <w:spacing w:beforeLines="0" w:afterLines="0" w:line="360" w:lineRule="auto"/>
              <w:ind w:firstLine="422"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b/>
                <w:bCs/>
                <w:color w:val="auto"/>
                <w:kern w:val="0"/>
                <w:sz w:val="21"/>
                <w:szCs w:val="21"/>
                <w:highlight w:val="none"/>
                <w:lang w:val="en-US" w:eastAsia="zh-CN"/>
              </w:rPr>
              <w:t>本项目位于石家庄高新区循环化工园区精细化工产业片区内的三类工业用地，不属于园区禁止建设区、限制建设区范围，属于允许建设区域。</w:t>
            </w:r>
          </w:p>
          <w:p w14:paraId="44B3AEF8">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2、</w:t>
            </w:r>
            <w:r>
              <w:rPr>
                <w:rFonts w:hint="default" w:ascii="Times New Roman" w:hAnsi="Times New Roman" w:eastAsia="宋体" w:cs="Times New Roman"/>
                <w:color w:val="auto"/>
                <w:kern w:val="0"/>
                <w:sz w:val="21"/>
                <w:szCs w:val="21"/>
                <w:highlight w:val="none"/>
                <w:lang w:val="en-US" w:eastAsia="zh-CN"/>
              </w:rPr>
              <w:t>环境质量底线</w:t>
            </w:r>
          </w:p>
          <w:p w14:paraId="33271B44">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园区规划环评中提出的环境质量底线要求如下：</w:t>
            </w:r>
          </w:p>
          <w:p w14:paraId="48250EAC">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5" w:name="_Toc10468"/>
            <w:r>
              <w:rPr>
                <w:rFonts w:hint="default" w:ascii="Times New Roman" w:hAnsi="Times New Roman" w:eastAsia="宋体" w:cs="Times New Roman"/>
                <w:color w:val="auto"/>
                <w:kern w:val="0"/>
                <w:sz w:val="21"/>
                <w:szCs w:val="21"/>
                <w:highlight w:val="none"/>
                <w:lang w:val="en-US" w:eastAsia="zh-CN"/>
              </w:rPr>
              <w:t>（1）大气环境质量</w:t>
            </w:r>
            <w:bookmarkEnd w:id="5"/>
          </w:p>
          <w:p w14:paraId="28625C5C">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管控内容：①需重点控制排放污染物包括：颗粒物、SO</w:t>
            </w:r>
            <w:r>
              <w:rPr>
                <w:rFonts w:hint="default" w:ascii="Times New Roman" w:hAnsi="Times New Roman" w:eastAsia="宋体" w:cs="Times New Roman"/>
                <w:color w:val="auto"/>
                <w:kern w:val="0"/>
                <w:sz w:val="21"/>
                <w:szCs w:val="21"/>
                <w:highlight w:val="none"/>
                <w:vertAlign w:val="subscript"/>
                <w:lang w:val="en-US" w:eastAsia="zh-CN"/>
              </w:rPr>
              <w:t>2</w:t>
            </w:r>
            <w:r>
              <w:rPr>
                <w:rFonts w:hint="default" w:ascii="Times New Roman" w:hAnsi="Times New Roman" w:eastAsia="宋体" w:cs="Times New Roman"/>
                <w:color w:val="auto"/>
                <w:kern w:val="0"/>
                <w:sz w:val="21"/>
                <w:szCs w:val="21"/>
                <w:highlight w:val="none"/>
                <w:lang w:val="en-US" w:eastAsia="zh-CN"/>
              </w:rPr>
              <w:t>、NOx、VOCs；②各类环境要素达到大气环境功能区要求，满足《石家庄市打赢蓝天保卫战三年行动计划（2018-2020年）》要求。</w:t>
            </w:r>
          </w:p>
          <w:p w14:paraId="0F3ED620">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要求：①石化化工行业达到《石油化学工业污染物排放标准》（GB31571-2015）中大气污染物特别排放限值要求标准要求；无机化工行业达到《无机化工行业污染物排放标准》（GB31573-2015）中大气污染物特别排放限值要求标准要求②使用清洁能源，禁止增加园区燃煤量；③园区环境准入清单以外的产业不准入园，实现园区所在区域大气污染因子环境质量达标及排放总量削减。</w:t>
            </w:r>
          </w:p>
          <w:p w14:paraId="32F859F4">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6" w:name="_Toc23028"/>
            <w:r>
              <w:rPr>
                <w:rFonts w:hint="default" w:ascii="Times New Roman" w:hAnsi="Times New Roman" w:eastAsia="宋体" w:cs="Times New Roman"/>
                <w:color w:val="auto"/>
                <w:kern w:val="0"/>
                <w:sz w:val="21"/>
                <w:szCs w:val="21"/>
                <w:highlight w:val="none"/>
                <w:lang w:val="en-US" w:eastAsia="zh-CN"/>
              </w:rPr>
              <w:t>（2）地表水环境质量</w:t>
            </w:r>
            <w:bookmarkEnd w:id="6"/>
          </w:p>
          <w:p w14:paraId="7A5022D2">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管控内容：园区内实现雨污分流，园区内生产废水及生活污水禁止直接排入汪洋沟。</w:t>
            </w:r>
          </w:p>
          <w:p w14:paraId="6EB87F30">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管控要求：确保废水达标外排，不恶化现状水质。</w:t>
            </w:r>
          </w:p>
          <w:p w14:paraId="5FFC6795">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7" w:name="_Toc4817"/>
            <w:r>
              <w:rPr>
                <w:rFonts w:hint="default" w:ascii="Times New Roman" w:hAnsi="Times New Roman" w:eastAsia="宋体" w:cs="Times New Roman"/>
                <w:color w:val="auto"/>
                <w:kern w:val="0"/>
                <w:sz w:val="21"/>
                <w:szCs w:val="21"/>
                <w:highlight w:val="none"/>
                <w:lang w:val="en-US" w:eastAsia="zh-CN"/>
              </w:rPr>
              <w:t>（3）地下水环境质量</w:t>
            </w:r>
            <w:bookmarkEnd w:id="7"/>
          </w:p>
          <w:p w14:paraId="69EA4334">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管控内容：重点控制水质指标包括：总硬度、溶解性总固体、氨氮、硝酸盐（以N计）、亚硝酸盐（以N计）、挥发酚、氰化物、氟化物、苯、甲苯、乙苯、苯乙烯、二甲苯、甲醛、石油类、三氯甲烷、四氯化碳。</w:t>
            </w:r>
          </w:p>
          <w:p w14:paraId="642DDD4C">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管控要求：①禁止企业开采地下水；②严格地下水环境管理，强化源头治理、分区防渗及应急响应等措施。</w:t>
            </w:r>
          </w:p>
          <w:p w14:paraId="1B698BCE">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8" w:name="_Toc28738"/>
            <w:r>
              <w:rPr>
                <w:rFonts w:hint="default" w:ascii="Times New Roman" w:hAnsi="Times New Roman" w:eastAsia="宋体" w:cs="Times New Roman"/>
                <w:color w:val="auto"/>
                <w:kern w:val="0"/>
                <w:sz w:val="21"/>
                <w:szCs w:val="21"/>
                <w:highlight w:val="none"/>
                <w:lang w:val="en-US" w:eastAsia="zh-CN"/>
              </w:rPr>
              <w:t>（4）声环境质量</w:t>
            </w:r>
            <w:bookmarkEnd w:id="8"/>
          </w:p>
          <w:p w14:paraId="4262C607">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管控内容：严格工业企业噪声、交通噪声管制。</w:t>
            </w:r>
          </w:p>
          <w:p w14:paraId="6A0B62F7">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管控要求：规划评价范围内声环境质量达标率100%。</w:t>
            </w:r>
          </w:p>
          <w:p w14:paraId="1B34AA4B">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9" w:name="_Toc15173"/>
            <w:r>
              <w:rPr>
                <w:rFonts w:hint="default" w:ascii="Times New Roman" w:hAnsi="Times New Roman" w:eastAsia="宋体" w:cs="Times New Roman"/>
                <w:color w:val="auto"/>
                <w:kern w:val="0"/>
                <w:sz w:val="21"/>
                <w:szCs w:val="21"/>
                <w:highlight w:val="none"/>
                <w:lang w:val="en-US" w:eastAsia="zh-CN"/>
              </w:rPr>
              <w:t>（5）土壤环境质量</w:t>
            </w:r>
            <w:bookmarkEnd w:id="9"/>
          </w:p>
          <w:p w14:paraId="348BF372">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管控内容：严格执行相关行业企业布局选址要求，禁止在居民区、学校、医疗等周边新建石化、化工、医药、农药等污染严重项目。</w:t>
            </w:r>
          </w:p>
          <w:p w14:paraId="5E376AEA">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要求：①园区内现有企业及新建企业按照《工况用地管理办法（试行）》的相关要求及配套技术文件，开展厂区土壤及地下水环境质量现状调查并形成调查报告，上报环境影响评价基础数据库；②规划区域内建设用地土壤环境质量低于《土壤环境质量标准建设用地土壤污染风险管控标准》风险管控值标准达标率100%</w:t>
            </w:r>
          </w:p>
          <w:p w14:paraId="05CF5C60">
            <w:pPr>
              <w:spacing w:beforeLines="0" w:afterLines="0" w:line="360" w:lineRule="auto"/>
              <w:ind w:firstLine="422" w:firstLineChars="200"/>
              <w:jc w:val="both"/>
              <w:rPr>
                <w:rFonts w:hint="default" w:ascii="Times New Roman" w:hAnsi="Times New Roman" w:eastAsia="宋体" w:cs="Times New Roman"/>
                <w:b/>
                <w:bCs/>
                <w:color w:val="auto"/>
                <w:kern w:val="0"/>
                <w:sz w:val="21"/>
                <w:szCs w:val="21"/>
                <w:highlight w:val="none"/>
                <w:lang w:val="en-US" w:eastAsia="zh-CN"/>
              </w:rPr>
            </w:pPr>
            <w:r>
              <w:rPr>
                <w:rFonts w:hint="default" w:ascii="Times New Roman" w:hAnsi="Times New Roman" w:eastAsia="宋体" w:cs="Times New Roman"/>
                <w:b/>
                <w:bCs/>
                <w:color w:val="auto"/>
                <w:kern w:val="0"/>
                <w:sz w:val="21"/>
                <w:szCs w:val="21"/>
                <w:highlight w:val="none"/>
                <w:lang w:val="en-US" w:eastAsia="zh-CN"/>
              </w:rPr>
              <w:t>本项目与规划环评中环境质量底线对比情况如下：</w:t>
            </w:r>
          </w:p>
          <w:p w14:paraId="508D3482">
            <w:pPr>
              <w:spacing w:beforeLines="0" w:afterLines="0" w:line="360" w:lineRule="auto"/>
              <w:ind w:firstLine="422" w:firstLineChars="200"/>
              <w:jc w:val="both"/>
              <w:rPr>
                <w:rFonts w:hint="default" w:ascii="Times New Roman" w:hAnsi="Times New Roman" w:eastAsia="宋体" w:cs="Times New Roman"/>
                <w:b/>
                <w:bCs/>
                <w:color w:val="auto"/>
                <w:kern w:val="0"/>
                <w:sz w:val="21"/>
                <w:szCs w:val="21"/>
                <w:highlight w:val="none"/>
                <w:lang w:val="en-US" w:eastAsia="zh-CN"/>
              </w:rPr>
            </w:pPr>
            <w:r>
              <w:rPr>
                <w:rFonts w:hint="default" w:ascii="Times New Roman" w:hAnsi="Times New Roman" w:eastAsia="宋体" w:cs="Times New Roman"/>
                <w:b/>
                <w:bCs/>
                <w:color w:val="auto"/>
                <w:kern w:val="0"/>
                <w:sz w:val="21"/>
                <w:szCs w:val="21"/>
                <w:highlight w:val="none"/>
                <w:lang w:val="en-US" w:eastAsia="zh-CN"/>
              </w:rPr>
              <w:t>本项目完成后，各废气排放口、厂界均可实现达标排放；本项目采用园区集中供热，不使用燃煤；本项目满足园区环境准入清单要求</w:t>
            </w:r>
            <w:r>
              <w:rPr>
                <w:rFonts w:hint="eastAsia" w:cs="Times New Roman"/>
                <w:b/>
                <w:bCs/>
                <w:color w:val="auto"/>
                <w:kern w:val="0"/>
                <w:sz w:val="21"/>
                <w:szCs w:val="21"/>
                <w:highlight w:val="none"/>
                <w:lang w:val="en-US" w:eastAsia="zh-CN"/>
              </w:rPr>
              <w:t>，</w:t>
            </w:r>
            <w:r>
              <w:rPr>
                <w:rFonts w:hint="default" w:ascii="Times New Roman" w:hAnsi="Times New Roman" w:eastAsia="宋体" w:cs="Times New Roman"/>
                <w:b/>
                <w:bCs/>
                <w:color w:val="auto"/>
                <w:kern w:val="0"/>
                <w:sz w:val="21"/>
                <w:szCs w:val="21"/>
                <w:highlight w:val="none"/>
                <w:lang w:val="en-US" w:eastAsia="zh-CN"/>
              </w:rPr>
              <w:t>项目供水来自园区集中供水，全部使用地表水，不开采地下水；厂区废水经厂区污水站处理达标后排入</w:t>
            </w:r>
            <w:r>
              <w:rPr>
                <w:rFonts w:hint="eastAsia" w:cs="Times New Roman"/>
                <w:b/>
                <w:bCs/>
                <w:color w:val="auto"/>
                <w:kern w:val="0"/>
                <w:sz w:val="21"/>
                <w:szCs w:val="21"/>
                <w:highlight w:val="none"/>
                <w:lang w:val="en-US" w:eastAsia="zh-CN"/>
              </w:rPr>
              <w:t>石家庄高新区循化环境水务有限公司</w:t>
            </w:r>
            <w:r>
              <w:rPr>
                <w:rFonts w:hint="default" w:ascii="Times New Roman" w:hAnsi="Times New Roman" w:eastAsia="宋体" w:cs="Times New Roman"/>
                <w:b/>
                <w:bCs/>
                <w:color w:val="auto"/>
                <w:kern w:val="0"/>
                <w:sz w:val="21"/>
                <w:szCs w:val="21"/>
                <w:highlight w:val="none"/>
                <w:lang w:val="en-US" w:eastAsia="zh-CN"/>
              </w:rPr>
              <w:t>（良村南污水处理厂）进一步处理，不直排汪洋沟；本项目严格地下水环境管理，强化源头治理、分区防渗及应急响应等措施。本项目完成后，声环境质量可满足《声环境质量标准》（GB3096-2008）相应标准要求。</w:t>
            </w:r>
          </w:p>
          <w:p w14:paraId="4CF5A4A8">
            <w:pPr>
              <w:spacing w:beforeLines="0" w:afterLines="0" w:line="360" w:lineRule="auto"/>
              <w:ind w:firstLine="422" w:firstLineChars="200"/>
              <w:jc w:val="both"/>
              <w:rPr>
                <w:rFonts w:hint="default" w:ascii="Times New Roman" w:hAnsi="Times New Roman" w:eastAsia="宋体" w:cs="Times New Roman"/>
                <w:b/>
                <w:bCs/>
                <w:color w:val="auto"/>
                <w:kern w:val="0"/>
                <w:sz w:val="21"/>
                <w:szCs w:val="21"/>
                <w:highlight w:val="none"/>
                <w:lang w:val="en-US" w:eastAsia="zh-CN"/>
              </w:rPr>
            </w:pPr>
            <w:r>
              <w:rPr>
                <w:rFonts w:hint="default" w:ascii="Times New Roman" w:hAnsi="Times New Roman" w:eastAsia="宋体" w:cs="Times New Roman"/>
                <w:b/>
                <w:bCs/>
                <w:color w:val="auto"/>
                <w:kern w:val="0"/>
                <w:sz w:val="21"/>
                <w:szCs w:val="21"/>
                <w:highlight w:val="none"/>
                <w:lang w:val="en-US" w:eastAsia="zh-CN"/>
              </w:rPr>
              <w:t>根据《石家庄东华金龙化工有限公司环境质量现状监测报告》（ZWJC22J479H）土壤现状监测结果，本项目及周边农用地土壤满足《土壤环境质量标准农用地土壤污染风险管控标准（试行）》（GB15618-2018）中其他类农用地土壤污染风险筛选值标准，建设用地土壤满足《土壤环境质量建设用地土壤污染风险管控标准（试行）》（GB36600-2018）中第一、二类建设用地土壤污染风险筛选值标准及河北省地方标准《建设用地土壤污染风险筛选值》（DB13/T 5216-2022）第一、二类用地筛选值。</w:t>
            </w:r>
          </w:p>
          <w:p w14:paraId="2DE4F4DB">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3</w:t>
            </w:r>
            <w:r>
              <w:rPr>
                <w:rFonts w:hint="eastAsia"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资源利用上线</w:t>
            </w:r>
          </w:p>
          <w:p w14:paraId="7AB53AF9">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本项目与园区资源利用上线对比情况见下表：</w:t>
            </w:r>
          </w:p>
          <w:p w14:paraId="46D7CFAC">
            <w:pPr>
              <w:spacing w:beforeLines="0" w:afterLines="0" w:line="360" w:lineRule="auto"/>
              <w:ind w:firstLine="422" w:firstLineChars="200"/>
              <w:jc w:val="center"/>
              <w:rPr>
                <w:rFonts w:hint="default" w:ascii="Times New Roman" w:hAnsi="Times New Roman" w:eastAsia="宋体" w:cs="Times New Roman"/>
                <w:b/>
                <w:bCs/>
                <w:color w:val="auto"/>
                <w:kern w:val="0"/>
                <w:sz w:val="21"/>
                <w:szCs w:val="21"/>
                <w:highlight w:val="none"/>
                <w:lang w:val="en-US" w:eastAsia="zh-CN"/>
              </w:rPr>
            </w:pPr>
            <w:bookmarkStart w:id="10" w:name="_Toc32230"/>
            <w:r>
              <w:rPr>
                <w:rFonts w:hint="eastAsia" w:ascii="Times New Roman" w:hAnsi="Times New Roman" w:eastAsia="宋体" w:cs="Times New Roman"/>
                <w:b/>
                <w:bCs/>
                <w:color w:val="auto"/>
                <w:kern w:val="0"/>
                <w:sz w:val="21"/>
                <w:szCs w:val="21"/>
                <w:highlight w:val="none"/>
                <w:lang w:val="en-US" w:eastAsia="zh-CN"/>
              </w:rPr>
              <w:t xml:space="preserve">表1-1  </w:t>
            </w:r>
            <w:r>
              <w:rPr>
                <w:rFonts w:hint="default" w:ascii="Times New Roman" w:hAnsi="Times New Roman" w:eastAsia="宋体" w:cs="Times New Roman"/>
                <w:b/>
                <w:bCs/>
                <w:color w:val="auto"/>
                <w:kern w:val="0"/>
                <w:sz w:val="21"/>
                <w:szCs w:val="21"/>
                <w:highlight w:val="none"/>
                <w:lang w:val="en-US" w:eastAsia="zh-CN"/>
              </w:rPr>
              <w:t>本项目与园区资源利用上线对比情况一览表</w:t>
            </w:r>
            <w:bookmarkEnd w:id="10"/>
          </w:p>
          <w:tbl>
            <w:tblPr>
              <w:tblStyle w:val="25"/>
              <w:tblW w:w="672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7"/>
              <w:gridCol w:w="600"/>
              <w:gridCol w:w="2755"/>
              <w:gridCol w:w="2269"/>
              <w:gridCol w:w="542"/>
            </w:tblGrid>
            <w:tr w14:paraId="2921D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1157" w:type="dxa"/>
                  <w:gridSpan w:val="2"/>
                  <w:tcBorders>
                    <w:top w:val="single" w:color="auto" w:sz="4" w:space="0"/>
                  </w:tcBorders>
                  <w:noWrap w:val="0"/>
                  <w:vAlign w:val="center"/>
                </w:tcPr>
                <w:p w14:paraId="3108E21A">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类别</w:t>
                  </w:r>
                </w:p>
              </w:tc>
              <w:tc>
                <w:tcPr>
                  <w:tcW w:w="2755" w:type="dxa"/>
                  <w:tcBorders>
                    <w:top w:val="single" w:color="auto" w:sz="4" w:space="0"/>
                  </w:tcBorders>
                  <w:noWrap w:val="0"/>
                  <w:vAlign w:val="center"/>
                </w:tcPr>
                <w:p w14:paraId="3A98D0B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建议上限指标</w:t>
                  </w:r>
                </w:p>
              </w:tc>
              <w:tc>
                <w:tcPr>
                  <w:tcW w:w="2269" w:type="dxa"/>
                  <w:tcBorders>
                    <w:top w:val="single" w:color="auto" w:sz="4" w:space="0"/>
                  </w:tcBorders>
                  <w:noWrap w:val="0"/>
                  <w:vAlign w:val="center"/>
                </w:tcPr>
                <w:p w14:paraId="4544D61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本项目情况</w:t>
                  </w:r>
                </w:p>
              </w:tc>
              <w:tc>
                <w:tcPr>
                  <w:tcW w:w="542" w:type="dxa"/>
                  <w:tcBorders>
                    <w:top w:val="single" w:color="auto" w:sz="4" w:space="0"/>
                    <w:right w:val="single" w:color="auto" w:sz="4" w:space="0"/>
                  </w:tcBorders>
                  <w:noWrap w:val="0"/>
                  <w:vAlign w:val="center"/>
                </w:tcPr>
                <w:p w14:paraId="30C0899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符合性</w:t>
                  </w:r>
                </w:p>
              </w:tc>
            </w:tr>
            <w:tr w14:paraId="0FE3C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7" w:type="dxa"/>
                  <w:gridSpan w:val="2"/>
                  <w:noWrap w:val="0"/>
                  <w:vAlign w:val="center"/>
                </w:tcPr>
                <w:p w14:paraId="1ED6A88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能源利用上限</w:t>
                  </w:r>
                </w:p>
              </w:tc>
              <w:tc>
                <w:tcPr>
                  <w:tcW w:w="2755" w:type="dxa"/>
                  <w:noWrap w:val="0"/>
                  <w:vAlign w:val="center"/>
                </w:tcPr>
                <w:p w14:paraId="6840DCEF">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燃煤量为74.848万t/a，原料用煤量为72万t/a</w:t>
                  </w:r>
                </w:p>
              </w:tc>
              <w:tc>
                <w:tcPr>
                  <w:tcW w:w="2269" w:type="dxa"/>
                  <w:noWrap w:val="0"/>
                  <w:vAlign w:val="center"/>
                </w:tcPr>
                <w:p w14:paraId="56A0919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本项目不涉及用煤</w:t>
                  </w:r>
                </w:p>
              </w:tc>
              <w:tc>
                <w:tcPr>
                  <w:tcW w:w="542" w:type="dxa"/>
                  <w:tcBorders>
                    <w:right w:val="single" w:color="auto" w:sz="4" w:space="0"/>
                  </w:tcBorders>
                  <w:noWrap w:val="0"/>
                  <w:vAlign w:val="center"/>
                </w:tcPr>
                <w:p w14:paraId="4382A03C">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5BF50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57" w:type="dxa"/>
                  <w:vMerge w:val="restart"/>
                  <w:noWrap w:val="0"/>
                  <w:vAlign w:val="center"/>
                </w:tcPr>
                <w:p w14:paraId="174BBC5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水资源利用上线</w:t>
                  </w:r>
                </w:p>
              </w:tc>
              <w:tc>
                <w:tcPr>
                  <w:tcW w:w="600" w:type="dxa"/>
                  <w:noWrap w:val="0"/>
                  <w:vAlign w:val="center"/>
                </w:tcPr>
                <w:p w14:paraId="777DD3A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地下水</w:t>
                  </w:r>
                </w:p>
              </w:tc>
              <w:tc>
                <w:tcPr>
                  <w:tcW w:w="2755" w:type="dxa"/>
                  <w:noWrap w:val="0"/>
                  <w:vAlign w:val="center"/>
                </w:tcPr>
                <w:p w14:paraId="1A15C14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禁止开采地下水</w:t>
                  </w:r>
                </w:p>
              </w:tc>
              <w:tc>
                <w:tcPr>
                  <w:tcW w:w="2269" w:type="dxa"/>
                  <w:noWrap w:val="0"/>
                  <w:vAlign w:val="center"/>
                </w:tcPr>
                <w:p w14:paraId="78DF6FD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本项目供水来自园区集中供水，水源为南水北调地表水，不开采地下水</w:t>
                  </w:r>
                </w:p>
              </w:tc>
              <w:tc>
                <w:tcPr>
                  <w:tcW w:w="542" w:type="dxa"/>
                  <w:tcBorders>
                    <w:right w:val="single" w:color="auto" w:sz="4" w:space="0"/>
                  </w:tcBorders>
                  <w:noWrap w:val="0"/>
                  <w:vAlign w:val="center"/>
                </w:tcPr>
                <w:p w14:paraId="5DD7872C">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48FA5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57" w:type="dxa"/>
                  <w:vMerge w:val="continue"/>
                  <w:noWrap w:val="0"/>
                  <w:vAlign w:val="center"/>
                </w:tcPr>
                <w:p w14:paraId="040C81F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600" w:type="dxa"/>
                  <w:vMerge w:val="restart"/>
                  <w:noWrap w:val="0"/>
                  <w:vAlign w:val="center"/>
                </w:tcPr>
                <w:p w14:paraId="6B3040FF">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地表水</w:t>
                  </w:r>
                </w:p>
              </w:tc>
              <w:tc>
                <w:tcPr>
                  <w:tcW w:w="2755" w:type="dxa"/>
                  <w:noWrap w:val="0"/>
                  <w:vAlign w:val="center"/>
                </w:tcPr>
                <w:p w14:paraId="3A4D2ED7">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近期地表水新水用量1848.531万m</w:t>
                  </w:r>
                  <w:r>
                    <w:rPr>
                      <w:rFonts w:hint="default" w:ascii="Times New Roman" w:hAnsi="Times New Roman" w:eastAsia="宋体" w:cs="Times New Roman"/>
                      <w:color w:val="auto"/>
                      <w:kern w:val="0"/>
                      <w:sz w:val="21"/>
                      <w:szCs w:val="21"/>
                      <w:highlight w:val="none"/>
                      <w:vertAlign w:val="superscript"/>
                      <w:lang w:val="en-US" w:eastAsia="zh-CN"/>
                    </w:rPr>
                    <w:t>3</w:t>
                  </w:r>
                  <w:r>
                    <w:rPr>
                      <w:rFonts w:hint="default" w:ascii="Times New Roman" w:hAnsi="Times New Roman" w:eastAsia="宋体" w:cs="Times New Roman"/>
                      <w:color w:val="auto"/>
                      <w:kern w:val="0"/>
                      <w:sz w:val="21"/>
                      <w:szCs w:val="21"/>
                      <w:highlight w:val="none"/>
                      <w:lang w:val="en-US" w:eastAsia="zh-CN"/>
                    </w:rPr>
                    <w:t>/a</w:t>
                  </w:r>
                </w:p>
              </w:tc>
              <w:tc>
                <w:tcPr>
                  <w:tcW w:w="2269" w:type="dxa"/>
                  <w:vMerge w:val="restart"/>
                  <w:noWrap w:val="0"/>
                  <w:vAlign w:val="center"/>
                </w:tcPr>
                <w:p w14:paraId="0C0023C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本项目供水来自园区集中供水，供水管网已铺设至厂址区域，项目取水量</w:t>
                  </w:r>
                  <w:r>
                    <w:rPr>
                      <w:rFonts w:hint="eastAsia" w:cs="Times New Roman"/>
                      <w:color w:val="auto"/>
                      <w:kern w:val="0"/>
                      <w:sz w:val="21"/>
                      <w:szCs w:val="21"/>
                      <w:highlight w:val="none"/>
                      <w:lang w:val="en-US" w:eastAsia="zh-CN"/>
                    </w:rPr>
                    <w:t>较少，不会超过新水用量</w:t>
                  </w:r>
                </w:p>
              </w:tc>
              <w:tc>
                <w:tcPr>
                  <w:tcW w:w="542" w:type="dxa"/>
                  <w:vMerge w:val="restart"/>
                  <w:tcBorders>
                    <w:right w:val="single" w:color="auto" w:sz="4" w:space="0"/>
                  </w:tcBorders>
                  <w:noWrap w:val="0"/>
                  <w:vAlign w:val="center"/>
                </w:tcPr>
                <w:p w14:paraId="186B284F">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76F97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57" w:type="dxa"/>
                  <w:vMerge w:val="continue"/>
                  <w:noWrap w:val="0"/>
                  <w:vAlign w:val="center"/>
                </w:tcPr>
                <w:p w14:paraId="4207253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600" w:type="dxa"/>
                  <w:vMerge w:val="continue"/>
                  <w:noWrap w:val="0"/>
                  <w:vAlign w:val="center"/>
                </w:tcPr>
                <w:p w14:paraId="61780292">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2755" w:type="dxa"/>
                  <w:noWrap w:val="0"/>
                  <w:vAlign w:val="center"/>
                </w:tcPr>
                <w:p w14:paraId="590335DA">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远期地表水新水用量2572.334万m</w:t>
                  </w:r>
                  <w:r>
                    <w:rPr>
                      <w:rFonts w:hint="default" w:ascii="Times New Roman" w:hAnsi="Times New Roman" w:eastAsia="宋体" w:cs="Times New Roman"/>
                      <w:color w:val="auto"/>
                      <w:kern w:val="0"/>
                      <w:sz w:val="21"/>
                      <w:szCs w:val="21"/>
                      <w:highlight w:val="none"/>
                      <w:vertAlign w:val="superscript"/>
                      <w:lang w:val="en-US" w:eastAsia="zh-CN"/>
                    </w:rPr>
                    <w:t>3</w:t>
                  </w:r>
                  <w:r>
                    <w:rPr>
                      <w:rFonts w:hint="default" w:ascii="Times New Roman" w:hAnsi="Times New Roman" w:eastAsia="宋体" w:cs="Times New Roman"/>
                      <w:color w:val="auto"/>
                      <w:kern w:val="0"/>
                      <w:sz w:val="21"/>
                      <w:szCs w:val="21"/>
                      <w:highlight w:val="none"/>
                      <w:lang w:val="en-US" w:eastAsia="zh-CN"/>
                    </w:rPr>
                    <w:t>/a</w:t>
                  </w:r>
                </w:p>
              </w:tc>
              <w:tc>
                <w:tcPr>
                  <w:tcW w:w="2269" w:type="dxa"/>
                  <w:vMerge w:val="continue"/>
                  <w:noWrap w:val="0"/>
                  <w:vAlign w:val="center"/>
                </w:tcPr>
                <w:p w14:paraId="6E82EF6C">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c>
                <w:tcPr>
                  <w:tcW w:w="542" w:type="dxa"/>
                  <w:vMerge w:val="continue"/>
                  <w:tcBorders>
                    <w:right w:val="single" w:color="auto" w:sz="4" w:space="0"/>
                  </w:tcBorders>
                  <w:noWrap w:val="0"/>
                  <w:vAlign w:val="center"/>
                </w:tcPr>
                <w:p w14:paraId="6D51BE9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p>
              </w:tc>
            </w:tr>
            <w:tr w14:paraId="78358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57" w:type="dxa"/>
                  <w:gridSpan w:val="2"/>
                  <w:tcBorders>
                    <w:bottom w:val="single" w:color="auto" w:sz="4" w:space="0"/>
                  </w:tcBorders>
                  <w:noWrap w:val="0"/>
                  <w:vAlign w:val="center"/>
                </w:tcPr>
                <w:p w14:paraId="7C43E966">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土地资源利用上线</w:t>
                  </w:r>
                </w:p>
              </w:tc>
              <w:tc>
                <w:tcPr>
                  <w:tcW w:w="2755" w:type="dxa"/>
                  <w:tcBorders>
                    <w:bottom w:val="single" w:color="auto" w:sz="4" w:space="0"/>
                  </w:tcBorders>
                  <w:noWrap w:val="0"/>
                  <w:vAlign w:val="center"/>
                </w:tcPr>
                <w:p w14:paraId="0A9D120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及时通过土地置换，推动产业布局集中；对区内村庄进行搬迁安置，整理、合并，提高村庄建设集约化程度，并对农村废弃地进行整理，将未利用地及部分农村居民点用地转变为建设用地。同时加大对区域内未利用地的开发，增加后备建设用地面积。落实国家保护耕地的法律要求，对规划控制区内部分耕地实现</w:t>
                  </w:r>
                  <w:r>
                    <w:rPr>
                      <w:rFonts w:hint="eastAsia"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先补后占、占补平衡</w:t>
                  </w:r>
                  <w:r>
                    <w:rPr>
                      <w:rFonts w:hint="eastAsia"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，确保区域耕地数量不减少。</w:t>
                  </w:r>
                </w:p>
              </w:tc>
              <w:tc>
                <w:tcPr>
                  <w:tcW w:w="2269" w:type="dxa"/>
                  <w:tcBorders>
                    <w:bottom w:val="single" w:color="auto" w:sz="4" w:space="0"/>
                  </w:tcBorders>
                  <w:noWrap w:val="0"/>
                  <w:vAlign w:val="center"/>
                </w:tcPr>
                <w:p w14:paraId="39FE1AB0">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本项目位于石家庄高新区循环化工园区精细化工产业片区规划三类工业用地。</w:t>
                  </w:r>
                </w:p>
              </w:tc>
              <w:tc>
                <w:tcPr>
                  <w:tcW w:w="542" w:type="dxa"/>
                  <w:tcBorders>
                    <w:bottom w:val="single" w:color="auto" w:sz="4" w:space="0"/>
                    <w:right w:val="single" w:color="auto" w:sz="4" w:space="0"/>
                  </w:tcBorders>
                  <w:noWrap w:val="0"/>
                  <w:vAlign w:val="center"/>
                </w:tcPr>
                <w:p w14:paraId="2B87B43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bl>
          <w:p w14:paraId="442955FC">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根据上表可知，本项目满足园区资源利用上线要求。</w:t>
            </w:r>
          </w:p>
          <w:p w14:paraId="7527D2C9">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4、</w:t>
            </w:r>
            <w:r>
              <w:rPr>
                <w:rFonts w:hint="default" w:ascii="Times New Roman" w:hAnsi="Times New Roman" w:eastAsia="宋体" w:cs="Times New Roman"/>
                <w:color w:val="auto"/>
                <w:kern w:val="0"/>
                <w:sz w:val="21"/>
                <w:szCs w:val="21"/>
                <w:highlight w:val="none"/>
                <w:lang w:val="en-US" w:eastAsia="zh-CN"/>
              </w:rPr>
              <w:t>环境准入负面清单</w:t>
            </w:r>
          </w:p>
          <w:p w14:paraId="6325F743">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bookmarkStart w:id="11" w:name="_Toc8695"/>
            <w:r>
              <w:rPr>
                <w:rFonts w:hint="default" w:ascii="Times New Roman" w:hAnsi="Times New Roman" w:eastAsia="宋体" w:cs="Times New Roman"/>
                <w:color w:val="auto"/>
                <w:kern w:val="0"/>
                <w:sz w:val="21"/>
                <w:szCs w:val="21"/>
                <w:highlight w:val="none"/>
                <w:lang w:val="en-US" w:eastAsia="zh-CN"/>
              </w:rPr>
              <w:t>本项目与园区环境准入负面清单对比情况见下表</w:t>
            </w:r>
            <w:bookmarkEnd w:id="11"/>
            <w:r>
              <w:rPr>
                <w:rFonts w:hint="eastAsia" w:ascii="Times New Roman" w:hAnsi="Times New Roman" w:eastAsia="宋体" w:cs="Times New Roman"/>
                <w:color w:val="auto"/>
                <w:kern w:val="0"/>
                <w:sz w:val="21"/>
                <w:szCs w:val="21"/>
                <w:highlight w:val="none"/>
                <w:lang w:val="en-US" w:eastAsia="zh-CN"/>
              </w:rPr>
              <w:t>。</w:t>
            </w:r>
          </w:p>
          <w:p w14:paraId="3A120A5C">
            <w:pPr>
              <w:spacing w:beforeLines="0" w:afterLines="0" w:line="360" w:lineRule="auto"/>
              <w:ind w:firstLine="422" w:firstLineChars="200"/>
              <w:jc w:val="center"/>
              <w:rPr>
                <w:rFonts w:hint="default" w:ascii="Times New Roman" w:hAnsi="Times New Roman" w:eastAsia="宋体" w:cs="Times New Roman"/>
                <w:b/>
                <w:bCs/>
                <w:color w:val="auto"/>
                <w:kern w:val="0"/>
                <w:sz w:val="21"/>
                <w:szCs w:val="21"/>
                <w:highlight w:val="none"/>
                <w:lang w:val="en-US" w:eastAsia="zh-CN"/>
              </w:rPr>
            </w:pPr>
            <w:r>
              <w:rPr>
                <w:rFonts w:hint="eastAsia" w:ascii="Times New Roman" w:hAnsi="Times New Roman" w:eastAsia="宋体" w:cs="Times New Roman"/>
                <w:b/>
                <w:bCs/>
                <w:color w:val="auto"/>
                <w:kern w:val="0"/>
                <w:sz w:val="21"/>
                <w:szCs w:val="21"/>
                <w:highlight w:val="none"/>
                <w:lang w:val="en-US" w:eastAsia="zh-CN"/>
              </w:rPr>
              <w:t xml:space="preserve">表1-2  </w:t>
            </w:r>
            <w:r>
              <w:rPr>
                <w:rFonts w:hint="default" w:ascii="Times New Roman" w:hAnsi="Times New Roman" w:eastAsia="宋体" w:cs="Times New Roman"/>
                <w:b/>
                <w:bCs/>
                <w:color w:val="auto"/>
                <w:kern w:val="0"/>
                <w:sz w:val="21"/>
                <w:szCs w:val="21"/>
                <w:highlight w:val="none"/>
                <w:lang w:val="en-US" w:eastAsia="zh-CN"/>
              </w:rPr>
              <w:t>园区环境准入负面清单</w:t>
            </w:r>
          </w:p>
          <w:tbl>
            <w:tblPr>
              <w:tblStyle w:val="25"/>
              <w:tblW w:w="68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1"/>
              <w:gridCol w:w="3953"/>
              <w:gridCol w:w="1407"/>
              <w:gridCol w:w="872"/>
            </w:tblGrid>
            <w:tr w14:paraId="3DE9C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71" w:type="dxa"/>
                  <w:tcBorders>
                    <w:tl2br w:val="nil"/>
                    <w:tr2bl w:val="nil"/>
                  </w:tcBorders>
                  <w:noWrap w:val="0"/>
                  <w:vAlign w:val="center"/>
                </w:tcPr>
                <w:p w14:paraId="075CE5A2">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管控类型</w:t>
                  </w:r>
                </w:p>
              </w:tc>
              <w:tc>
                <w:tcPr>
                  <w:tcW w:w="3953" w:type="dxa"/>
                  <w:tcBorders>
                    <w:tl2br w:val="nil"/>
                    <w:tr2bl w:val="nil"/>
                  </w:tcBorders>
                  <w:noWrap w:val="0"/>
                  <w:vAlign w:val="center"/>
                </w:tcPr>
                <w:p w14:paraId="76A39BD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内容</w:t>
                  </w:r>
                </w:p>
              </w:tc>
              <w:tc>
                <w:tcPr>
                  <w:tcW w:w="1407" w:type="dxa"/>
                  <w:tcBorders>
                    <w:tl2br w:val="nil"/>
                    <w:tr2bl w:val="nil"/>
                  </w:tcBorders>
                  <w:noWrap w:val="0"/>
                  <w:vAlign w:val="center"/>
                </w:tcPr>
                <w:p w14:paraId="0512293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本项目内容</w:t>
                  </w:r>
                </w:p>
              </w:tc>
              <w:tc>
                <w:tcPr>
                  <w:tcW w:w="872" w:type="dxa"/>
                  <w:tcBorders>
                    <w:tl2br w:val="nil"/>
                    <w:tr2bl w:val="nil"/>
                  </w:tcBorders>
                  <w:noWrap w:val="0"/>
                  <w:vAlign w:val="center"/>
                </w:tcPr>
                <w:p w14:paraId="4BED06DC">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符合性</w:t>
                  </w:r>
                </w:p>
              </w:tc>
            </w:tr>
            <w:tr w14:paraId="4D4F1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restart"/>
                  <w:tcBorders>
                    <w:tl2br w:val="nil"/>
                    <w:tr2bl w:val="nil"/>
                  </w:tcBorders>
                  <w:noWrap w:val="0"/>
                  <w:vAlign w:val="center"/>
                </w:tcPr>
                <w:p w14:paraId="44140B4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产业政策准入</w:t>
                  </w:r>
                </w:p>
              </w:tc>
              <w:tc>
                <w:tcPr>
                  <w:tcW w:w="3953" w:type="dxa"/>
                  <w:tcBorders>
                    <w:tl2br w:val="nil"/>
                    <w:tr2bl w:val="nil"/>
                  </w:tcBorders>
                  <w:noWrap w:val="0"/>
                  <w:vAlign w:val="center"/>
                </w:tcPr>
                <w:p w14:paraId="4477C7AB">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《产业结构调整指导目录（2011年本）》（2013年修订）中限制类、淘汰类项目</w:t>
                  </w:r>
                </w:p>
              </w:tc>
              <w:tc>
                <w:tcPr>
                  <w:tcW w:w="1407" w:type="dxa"/>
                  <w:tcBorders>
                    <w:tl2br w:val="nil"/>
                    <w:tr2bl w:val="nil"/>
                  </w:tcBorders>
                  <w:noWrap w:val="0"/>
                  <w:vAlign w:val="center"/>
                </w:tcPr>
                <w:p w14:paraId="5EA8B5A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根据《产业结构调整指导目录(2024年本)》文件要求，本项目属于允许类</w:t>
                  </w:r>
                  <w:r>
                    <w:rPr>
                      <w:rFonts w:hint="default" w:ascii="Times New Roman" w:hAnsi="Times New Roman" w:eastAsia="宋体" w:cs="Times New Roman"/>
                      <w:color w:val="auto"/>
                      <w:kern w:val="0"/>
                      <w:sz w:val="21"/>
                      <w:szCs w:val="21"/>
                      <w:highlight w:val="none"/>
                      <w:lang w:val="en-US" w:eastAsia="zh-CN"/>
                    </w:rPr>
                    <w:t>项目</w:t>
                  </w:r>
                </w:p>
              </w:tc>
              <w:tc>
                <w:tcPr>
                  <w:tcW w:w="872" w:type="dxa"/>
                  <w:tcBorders>
                    <w:tl2br w:val="nil"/>
                    <w:tr2bl w:val="nil"/>
                  </w:tcBorders>
                  <w:noWrap w:val="0"/>
                  <w:vAlign w:val="center"/>
                </w:tcPr>
                <w:p w14:paraId="0AB76F75">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76D02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4007CC00">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425C000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属于《河北省禁止投资的产业目录（2014年版）》中明令禁止的建设项目</w:t>
                  </w:r>
                </w:p>
              </w:tc>
              <w:tc>
                <w:tcPr>
                  <w:tcW w:w="1407" w:type="dxa"/>
                  <w:tcBorders>
                    <w:tl2br w:val="nil"/>
                    <w:tr2bl w:val="nil"/>
                  </w:tcBorders>
                  <w:noWrap w:val="0"/>
                  <w:vAlign w:val="center"/>
                </w:tcPr>
                <w:p w14:paraId="69359A3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本项目不属于禁止建设项目</w:t>
                  </w:r>
                </w:p>
              </w:tc>
              <w:tc>
                <w:tcPr>
                  <w:tcW w:w="872" w:type="dxa"/>
                  <w:tcBorders>
                    <w:tl2br w:val="nil"/>
                    <w:tr2bl w:val="nil"/>
                  </w:tcBorders>
                  <w:noWrap w:val="0"/>
                  <w:vAlign w:val="center"/>
                </w:tcPr>
                <w:p w14:paraId="6BC66F3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2D5DF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5F2266CB">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273DDA5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清洁生产水平达不到国内先进水平及以上的新建精细化工项目</w:t>
                  </w:r>
                </w:p>
              </w:tc>
              <w:tc>
                <w:tcPr>
                  <w:tcW w:w="1407" w:type="dxa"/>
                  <w:tcBorders>
                    <w:tl2br w:val="nil"/>
                    <w:tr2bl w:val="nil"/>
                  </w:tcBorders>
                  <w:noWrap w:val="0"/>
                  <w:vAlign w:val="center"/>
                </w:tcPr>
                <w:p w14:paraId="340FE7F7">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commentRangeStart w:id="1"/>
                  <w:r>
                    <w:rPr>
                      <w:rFonts w:hint="default" w:ascii="Times New Roman" w:hAnsi="Times New Roman" w:eastAsia="宋体" w:cs="Times New Roman"/>
                      <w:color w:val="auto"/>
                      <w:kern w:val="0"/>
                      <w:sz w:val="21"/>
                      <w:szCs w:val="21"/>
                      <w:highlight w:val="none"/>
                      <w:lang w:val="en-US" w:eastAsia="zh-CN"/>
                    </w:rPr>
                    <w:t>本项目</w:t>
                  </w:r>
                  <w:r>
                    <w:rPr>
                      <w:rFonts w:hint="eastAsia" w:cs="Times New Roman"/>
                      <w:color w:val="auto"/>
                      <w:kern w:val="0"/>
                      <w:sz w:val="21"/>
                      <w:szCs w:val="21"/>
                      <w:highlight w:val="none"/>
                      <w:lang w:val="en-US" w:eastAsia="zh-CN"/>
                    </w:rPr>
                    <w:t>不属于</w:t>
                  </w:r>
                  <w:r>
                    <w:rPr>
                      <w:rFonts w:hint="default" w:ascii="Times New Roman" w:hAnsi="Times New Roman" w:eastAsia="宋体" w:cs="Times New Roman"/>
                      <w:color w:val="auto"/>
                      <w:kern w:val="0"/>
                      <w:sz w:val="21"/>
                      <w:szCs w:val="21"/>
                      <w:highlight w:val="none"/>
                      <w:lang w:val="en-US" w:eastAsia="zh-CN"/>
                    </w:rPr>
                    <w:t>新建精细化工项目</w:t>
                  </w:r>
                  <w:commentRangeEnd w:id="1"/>
                  <w:r>
                    <w:commentReference w:id="1"/>
                  </w:r>
                </w:p>
              </w:tc>
              <w:tc>
                <w:tcPr>
                  <w:tcW w:w="872" w:type="dxa"/>
                  <w:tcBorders>
                    <w:tl2br w:val="nil"/>
                    <w:tr2bl w:val="nil"/>
                  </w:tcBorders>
                  <w:noWrap w:val="0"/>
                  <w:vAlign w:val="center"/>
                </w:tcPr>
                <w:p w14:paraId="753ED33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2EA728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0917621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2B66CE9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不符合园区产业定位项目（拟入区项目）</w:t>
                  </w:r>
                </w:p>
              </w:tc>
              <w:tc>
                <w:tcPr>
                  <w:tcW w:w="1407" w:type="dxa"/>
                  <w:tcBorders>
                    <w:tl2br w:val="nil"/>
                    <w:tr2bl w:val="nil"/>
                  </w:tcBorders>
                  <w:noWrap w:val="0"/>
                  <w:vAlign w:val="center"/>
                </w:tcPr>
                <w:p w14:paraId="3584365B">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本项目</w:t>
                  </w:r>
                  <w:r>
                    <w:rPr>
                      <w:rFonts w:hint="default" w:ascii="Times New Roman" w:hAnsi="Times New Roman" w:eastAsia="宋体" w:cs="Times New Roman"/>
                      <w:color w:val="auto"/>
                      <w:kern w:val="0"/>
                      <w:sz w:val="21"/>
                      <w:szCs w:val="21"/>
                      <w:highlight w:val="none"/>
                      <w:lang w:val="en-US" w:eastAsia="zh-CN"/>
                    </w:rPr>
                    <w:t>符合园区产业定位</w:t>
                  </w:r>
                </w:p>
              </w:tc>
              <w:tc>
                <w:tcPr>
                  <w:tcW w:w="872" w:type="dxa"/>
                  <w:tcBorders>
                    <w:tl2br w:val="nil"/>
                    <w:tr2bl w:val="nil"/>
                  </w:tcBorders>
                  <w:noWrap w:val="0"/>
                  <w:vAlign w:val="center"/>
                </w:tcPr>
                <w:p w14:paraId="0B2A1296">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7EEDC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restart"/>
                  <w:tcBorders>
                    <w:tl2br w:val="nil"/>
                    <w:tr2bl w:val="nil"/>
                  </w:tcBorders>
                  <w:noWrap w:val="0"/>
                  <w:vAlign w:val="center"/>
                </w:tcPr>
                <w:p w14:paraId="79FD0716">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其他</w:t>
                  </w:r>
                </w:p>
              </w:tc>
              <w:tc>
                <w:tcPr>
                  <w:tcW w:w="3953" w:type="dxa"/>
                  <w:tcBorders>
                    <w:tl2br w:val="nil"/>
                    <w:tr2bl w:val="nil"/>
                  </w:tcBorders>
                  <w:noWrap w:val="0"/>
                  <w:vAlign w:val="center"/>
                </w:tcPr>
                <w:p w14:paraId="47330056">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禁止新建和扩建（等量置换除外）钢铁、火电（热电联产除外）、炼焦、水泥、石灰、石膏、氮肥、普通黑色金属铸造、铁合金冶炼、碳素、以煤为燃料的其他工业项目</w:t>
                  </w:r>
                </w:p>
              </w:tc>
              <w:tc>
                <w:tcPr>
                  <w:tcW w:w="1407" w:type="dxa"/>
                  <w:vMerge w:val="restart"/>
                  <w:tcBorders>
                    <w:tl2br w:val="nil"/>
                    <w:tr2bl w:val="nil"/>
                  </w:tcBorders>
                  <w:noWrap w:val="0"/>
                  <w:vAlign w:val="center"/>
                </w:tcPr>
                <w:p w14:paraId="7BC7F6C7">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本项目不涉及</w:t>
                  </w:r>
                </w:p>
              </w:tc>
              <w:tc>
                <w:tcPr>
                  <w:tcW w:w="872" w:type="dxa"/>
                  <w:vMerge w:val="restart"/>
                  <w:tcBorders>
                    <w:tl2br w:val="nil"/>
                    <w:tr2bl w:val="nil"/>
                  </w:tcBorders>
                  <w:noWrap w:val="0"/>
                  <w:vAlign w:val="center"/>
                </w:tcPr>
                <w:p w14:paraId="51EAC59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29D62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4D230B3A">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2E8D712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严控农药制造行业新增产能</w:t>
                  </w:r>
                </w:p>
              </w:tc>
              <w:tc>
                <w:tcPr>
                  <w:tcW w:w="1407" w:type="dxa"/>
                  <w:vMerge w:val="continue"/>
                  <w:tcBorders>
                    <w:tl2br w:val="nil"/>
                    <w:tr2bl w:val="nil"/>
                  </w:tcBorders>
                  <w:noWrap w:val="0"/>
                  <w:vAlign w:val="center"/>
                </w:tcPr>
                <w:p w14:paraId="6D810F7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1847B27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3469C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16A896C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07ADD71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全市禁止新建钢铁、焦化、水泥、平板玻璃、铸造、有色、碳素、钙镁、煤化工、砖瓦、陶瓷等高污染、高耗能项目。</w:t>
                  </w:r>
                </w:p>
              </w:tc>
              <w:tc>
                <w:tcPr>
                  <w:tcW w:w="1407" w:type="dxa"/>
                  <w:vMerge w:val="continue"/>
                  <w:tcBorders>
                    <w:tl2br w:val="nil"/>
                    <w:tr2bl w:val="nil"/>
                  </w:tcBorders>
                  <w:noWrap w:val="0"/>
                  <w:vAlign w:val="center"/>
                </w:tcPr>
                <w:p w14:paraId="3DC27E6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4C53C27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53673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514B2AD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62E8DF6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禁止新建和扩建产能严重过剩的大宗化学原料药</w:t>
                  </w:r>
                </w:p>
              </w:tc>
              <w:tc>
                <w:tcPr>
                  <w:tcW w:w="1407" w:type="dxa"/>
                  <w:vMerge w:val="continue"/>
                  <w:tcBorders>
                    <w:tl2br w:val="nil"/>
                    <w:tr2bl w:val="nil"/>
                  </w:tcBorders>
                  <w:noWrap w:val="0"/>
                  <w:vAlign w:val="center"/>
                </w:tcPr>
                <w:p w14:paraId="4015BA70">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01534B5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1CF72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5301A577">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7FB0C7F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禁止单纯扩大产能的新建和扩建农药制造业（新增高效、低毒、安全、新品种除外）</w:t>
                  </w:r>
                </w:p>
              </w:tc>
              <w:tc>
                <w:tcPr>
                  <w:tcW w:w="1407" w:type="dxa"/>
                  <w:vMerge w:val="continue"/>
                  <w:tcBorders>
                    <w:tl2br w:val="nil"/>
                    <w:tr2bl w:val="nil"/>
                  </w:tcBorders>
                  <w:noWrap w:val="0"/>
                  <w:vAlign w:val="center"/>
                </w:tcPr>
                <w:p w14:paraId="5E730736">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7397389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5169C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0986401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55699A3C">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严禁涉及屠宰及糖精等化学合成甜味剂等的项目。酒精生产、制糖、糖制品加工、肉禽类加工、调味品、发酵制品制造。</w:t>
                  </w:r>
                </w:p>
              </w:tc>
              <w:tc>
                <w:tcPr>
                  <w:tcW w:w="1407" w:type="dxa"/>
                  <w:vMerge w:val="continue"/>
                  <w:tcBorders>
                    <w:tl2br w:val="nil"/>
                    <w:tr2bl w:val="nil"/>
                  </w:tcBorders>
                  <w:noWrap w:val="0"/>
                  <w:vAlign w:val="center"/>
                </w:tcPr>
                <w:p w14:paraId="725EA7CB">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3A5B04CD">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4689C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43135DF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7E6CFD8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禁止引进含有电镀、阳极氧化、发黑等工艺的制造业项目</w:t>
                  </w:r>
                </w:p>
              </w:tc>
              <w:tc>
                <w:tcPr>
                  <w:tcW w:w="1407" w:type="dxa"/>
                  <w:vMerge w:val="continue"/>
                  <w:tcBorders>
                    <w:tl2br w:val="nil"/>
                    <w:tr2bl w:val="nil"/>
                  </w:tcBorders>
                  <w:noWrap w:val="0"/>
                  <w:vAlign w:val="center"/>
                </w:tcPr>
                <w:p w14:paraId="7B1E3DB2">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3612F2A5">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57274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0DC3062A">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1EBF02A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禁止引进单纯从事金属表面处理及热处理加工项目</w:t>
                  </w:r>
                </w:p>
              </w:tc>
              <w:tc>
                <w:tcPr>
                  <w:tcW w:w="1407" w:type="dxa"/>
                  <w:vMerge w:val="continue"/>
                  <w:tcBorders>
                    <w:tl2br w:val="nil"/>
                    <w:tr2bl w:val="nil"/>
                  </w:tcBorders>
                  <w:noWrap w:val="0"/>
                  <w:vAlign w:val="center"/>
                </w:tcPr>
                <w:p w14:paraId="5093850B">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456DF52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772D3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6CAF4C0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2E3FF8D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严格控制新建、改建、扩建钢铁、建材、石化、化工等行业中的大气重污染工业项目</w:t>
                  </w:r>
                </w:p>
              </w:tc>
              <w:tc>
                <w:tcPr>
                  <w:tcW w:w="1407" w:type="dxa"/>
                  <w:tcBorders>
                    <w:tl2br w:val="nil"/>
                    <w:tr2bl w:val="nil"/>
                  </w:tcBorders>
                  <w:noWrap w:val="0"/>
                  <w:vAlign w:val="center"/>
                </w:tcPr>
                <w:p w14:paraId="424BF8FB">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本项目不涉及</w:t>
                  </w:r>
                </w:p>
              </w:tc>
              <w:tc>
                <w:tcPr>
                  <w:tcW w:w="872" w:type="dxa"/>
                  <w:tcBorders>
                    <w:tl2br w:val="nil"/>
                    <w:tr2bl w:val="nil"/>
                  </w:tcBorders>
                  <w:noWrap w:val="0"/>
                  <w:vAlign w:val="center"/>
                </w:tcPr>
                <w:p w14:paraId="1678ADF0">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12352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305C9DFE">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1A6491B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严格限制高耗能、高污染的建设项目。严格产业政策名录中禁止和限制类项目、不符合国家准入条件项目和列入国家高污染名录的项目建设；</w:t>
                  </w:r>
                </w:p>
              </w:tc>
              <w:tc>
                <w:tcPr>
                  <w:tcW w:w="1407" w:type="dxa"/>
                  <w:tcBorders>
                    <w:tl2br w:val="nil"/>
                    <w:tr2bl w:val="nil"/>
                  </w:tcBorders>
                  <w:noWrap w:val="0"/>
                  <w:vAlign w:val="center"/>
                </w:tcPr>
                <w:p w14:paraId="7997A7D5">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本项目不涉及</w:t>
                  </w:r>
                </w:p>
              </w:tc>
              <w:tc>
                <w:tcPr>
                  <w:tcW w:w="872" w:type="dxa"/>
                  <w:tcBorders>
                    <w:tl2br w:val="nil"/>
                    <w:tr2bl w:val="nil"/>
                  </w:tcBorders>
                  <w:noWrap w:val="0"/>
                  <w:vAlign w:val="center"/>
                </w:tcPr>
                <w:p w14:paraId="309031F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235EA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49E557A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68AE6EF2">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禁止新建炼焦、水泥行业和新增钢铁产能的建设项目，限制在工业区外新建化学原料及化学制品、化学药品原药制造和化纤浆粕等行业以及其他非鼓励类行业的建设项目。</w:t>
                  </w:r>
                </w:p>
              </w:tc>
              <w:tc>
                <w:tcPr>
                  <w:tcW w:w="1407" w:type="dxa"/>
                  <w:vMerge w:val="restart"/>
                  <w:tcBorders>
                    <w:tl2br w:val="nil"/>
                    <w:tr2bl w:val="nil"/>
                  </w:tcBorders>
                  <w:noWrap w:val="0"/>
                  <w:vAlign w:val="center"/>
                </w:tcPr>
                <w:p w14:paraId="1833165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本项目位于石家庄高新区循环化工园区精细化工产业片区内</w:t>
                  </w:r>
                </w:p>
              </w:tc>
              <w:tc>
                <w:tcPr>
                  <w:tcW w:w="872" w:type="dxa"/>
                  <w:vMerge w:val="restart"/>
                  <w:tcBorders>
                    <w:tl2br w:val="nil"/>
                    <w:tr2bl w:val="nil"/>
                  </w:tcBorders>
                  <w:noWrap w:val="0"/>
                  <w:vAlign w:val="center"/>
                </w:tcPr>
                <w:p w14:paraId="61E1DAC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r w14:paraId="3470A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2D24CFE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43C2F927">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新增产业片区（包括新材料制品产业片区、农产品加工产业片区和产业隔离区）不得发展化工类项目</w:t>
                  </w:r>
                </w:p>
              </w:tc>
              <w:tc>
                <w:tcPr>
                  <w:tcW w:w="1407" w:type="dxa"/>
                  <w:vMerge w:val="continue"/>
                  <w:tcBorders>
                    <w:tl2br w:val="nil"/>
                    <w:tr2bl w:val="nil"/>
                  </w:tcBorders>
                  <w:noWrap w:val="0"/>
                  <w:vAlign w:val="center"/>
                </w:tcPr>
                <w:p w14:paraId="0C717345">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vMerge w:val="continue"/>
                  <w:tcBorders>
                    <w:tl2br w:val="nil"/>
                    <w:tr2bl w:val="nil"/>
                  </w:tcBorders>
                  <w:noWrap w:val="0"/>
                  <w:vAlign w:val="center"/>
                </w:tcPr>
                <w:p w14:paraId="726A98FD">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r>
            <w:tr w14:paraId="52B3F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1" w:type="dxa"/>
                  <w:vMerge w:val="continue"/>
                  <w:tcBorders>
                    <w:tl2br w:val="nil"/>
                    <w:tr2bl w:val="nil"/>
                  </w:tcBorders>
                  <w:noWrap w:val="0"/>
                  <w:vAlign w:val="center"/>
                </w:tcPr>
                <w:p w14:paraId="21E8B4C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3953" w:type="dxa"/>
                  <w:tcBorders>
                    <w:tl2br w:val="nil"/>
                    <w:tr2bl w:val="nil"/>
                  </w:tcBorders>
                  <w:noWrap w:val="0"/>
                  <w:vAlign w:val="center"/>
                </w:tcPr>
                <w:p w14:paraId="210A41A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新能源产业片区禁止发展化工类项目</w:t>
                  </w:r>
                </w:p>
              </w:tc>
              <w:tc>
                <w:tcPr>
                  <w:tcW w:w="1407" w:type="dxa"/>
                  <w:vMerge w:val="continue"/>
                  <w:tcBorders>
                    <w:tl2br w:val="nil"/>
                    <w:tr2bl w:val="nil"/>
                  </w:tcBorders>
                  <w:noWrap w:val="0"/>
                  <w:vAlign w:val="center"/>
                </w:tcPr>
                <w:p w14:paraId="1CDBB912">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p>
              </w:tc>
              <w:tc>
                <w:tcPr>
                  <w:tcW w:w="872" w:type="dxa"/>
                  <w:tcBorders>
                    <w:tl2br w:val="nil"/>
                    <w:tr2bl w:val="nil"/>
                  </w:tcBorders>
                  <w:noWrap w:val="0"/>
                  <w:vAlign w:val="center"/>
                </w:tcPr>
                <w:p w14:paraId="5C60A716">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both"/>
                    <w:textAlignment w:val="auto"/>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符合</w:t>
                  </w:r>
                </w:p>
              </w:tc>
            </w:tr>
          </w:tbl>
          <w:p w14:paraId="738FD015">
            <w:pPr>
              <w:spacing w:beforeLines="0" w:afterLines="0" w:line="360" w:lineRule="auto"/>
              <w:ind w:firstLine="420" w:firstLineChars="200"/>
              <w:jc w:val="both"/>
              <w:rPr>
                <w:rFonts w:hint="default" w:ascii="Times New Roman" w:hAnsi="Times New Roman" w:eastAsia="宋体" w:cs="Times New Roman"/>
                <w:color w:val="auto"/>
                <w:kern w:val="0"/>
                <w:sz w:val="21"/>
                <w:szCs w:val="21"/>
                <w:highlight w:val="none"/>
                <w:lang w:val="en-US" w:eastAsia="zh-CN"/>
              </w:rPr>
            </w:pPr>
            <w:r>
              <w:rPr>
                <w:rFonts w:hint="default" w:ascii="Times New Roman" w:hAnsi="Times New Roman" w:eastAsia="宋体" w:cs="Times New Roman"/>
                <w:color w:val="auto"/>
                <w:kern w:val="0"/>
                <w:sz w:val="21"/>
                <w:szCs w:val="21"/>
                <w:highlight w:val="none"/>
                <w:lang w:val="en-US" w:eastAsia="zh-CN"/>
              </w:rPr>
              <w:t>由上表可知，本项目不在其划定的园区环境负面准入清单，符合园区产业准入要求。</w:t>
            </w:r>
          </w:p>
          <w:p w14:paraId="29A3EF27">
            <w:pPr>
              <w:spacing w:beforeLines="0" w:afterLines="0" w:line="360" w:lineRule="auto"/>
              <w:ind w:firstLine="420" w:firstLineChars="200"/>
              <w:jc w:val="both"/>
              <w:rPr>
                <w:rFonts w:hint="default"/>
                <w:color w:val="auto"/>
                <w:highlight w:val="none"/>
                <w:lang w:val="en-US" w:eastAsia="zh-CN"/>
              </w:rPr>
            </w:pPr>
            <w:r>
              <w:rPr>
                <w:rFonts w:hint="default" w:ascii="Times New Roman" w:hAnsi="Times New Roman" w:eastAsia="宋体" w:cs="Times New Roman"/>
                <w:color w:val="auto"/>
                <w:kern w:val="0"/>
                <w:sz w:val="21"/>
                <w:szCs w:val="21"/>
                <w:highlight w:val="none"/>
                <w:lang w:val="en-US" w:eastAsia="zh-CN"/>
              </w:rPr>
              <w:t>综上所述，根据《河北省生态保护红线》及《石家庄市生态保护红线划定方案》、规划</w:t>
            </w:r>
            <w:r>
              <w:rPr>
                <w:rFonts w:hint="eastAsia" w:ascii="宋体" w:hAnsi="宋体" w:eastAsia="宋体" w:cs="宋体"/>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三线一单</w:t>
            </w:r>
            <w:r>
              <w:rPr>
                <w:rFonts w:hint="eastAsia"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，距离项目最近的生态保护红线为</w:t>
            </w:r>
            <w:r>
              <w:rPr>
                <w:rFonts w:hint="eastAsia" w:cs="Times New Roman"/>
                <w:color w:val="auto"/>
                <w:kern w:val="0"/>
                <w:sz w:val="21"/>
                <w:szCs w:val="21"/>
                <w:highlight w:val="none"/>
                <w:lang w:val="en-US" w:eastAsia="zh-CN"/>
              </w:rPr>
              <w:t>西侧约24km处的南水北调工程</w:t>
            </w:r>
            <w:r>
              <w:rPr>
                <w:rFonts w:hint="default" w:ascii="Times New Roman" w:hAnsi="Times New Roman" w:eastAsia="宋体" w:cs="Times New Roman"/>
                <w:color w:val="auto"/>
                <w:kern w:val="0"/>
                <w:sz w:val="21"/>
                <w:szCs w:val="21"/>
                <w:highlight w:val="none"/>
                <w:lang w:val="en-US" w:eastAsia="zh-CN"/>
              </w:rPr>
              <w:t>，本项目评价范围内不涉及生态保护红线，项目厂址为允许建设区；本项目建成后的用水、用电等用量不会突破园区资源利用上线；本项目建成后，根据环境质量现状和环境影响预测分析结果，各环境要素均符合环境质量底线要求；本项目建设满足园区环境准入清单。本项目建设完成后，符合园区</w:t>
            </w:r>
            <w:r>
              <w:rPr>
                <w:rFonts w:hint="eastAsia"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三线一单</w:t>
            </w:r>
            <w:r>
              <w:rPr>
                <w:rFonts w:hint="eastAsia" w:cs="Times New Roman"/>
                <w:color w:val="auto"/>
                <w:kern w:val="0"/>
                <w:sz w:val="21"/>
                <w:szCs w:val="21"/>
                <w:highlight w:val="none"/>
                <w:lang w:val="en-US" w:eastAsia="zh-CN"/>
              </w:rPr>
              <w:t>”</w:t>
            </w:r>
            <w:r>
              <w:rPr>
                <w:rFonts w:hint="default" w:ascii="Times New Roman" w:hAnsi="Times New Roman" w:eastAsia="宋体" w:cs="Times New Roman"/>
                <w:color w:val="auto"/>
                <w:kern w:val="0"/>
                <w:sz w:val="21"/>
                <w:szCs w:val="21"/>
                <w:highlight w:val="none"/>
                <w:lang w:val="en-US" w:eastAsia="zh-CN"/>
              </w:rPr>
              <w:t>要求。</w:t>
            </w:r>
          </w:p>
        </w:tc>
      </w:tr>
      <w:tr w14:paraId="485E7E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24" w:type="dxa"/>
            <w:noWrap w:val="0"/>
            <w:vAlign w:val="center"/>
          </w:tcPr>
          <w:p w14:paraId="0A36461F">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其他符合性分析</w:t>
            </w:r>
          </w:p>
        </w:tc>
        <w:tc>
          <w:tcPr>
            <w:tcW w:w="7064" w:type="dxa"/>
            <w:gridSpan w:val="3"/>
            <w:noWrap w:val="0"/>
            <w:vAlign w:val="center"/>
          </w:tcPr>
          <w:p w14:paraId="25091447">
            <w:pPr>
              <w:spacing w:line="360" w:lineRule="auto"/>
              <w:ind w:firstLine="422" w:firstLineChars="200"/>
              <w:rPr>
                <w:b/>
                <w:bCs/>
                <w:color w:val="auto"/>
                <w:sz w:val="21"/>
                <w:szCs w:val="21"/>
                <w:highlight w:val="none"/>
              </w:rPr>
            </w:pPr>
            <w:r>
              <w:rPr>
                <w:rFonts w:hint="eastAsia" w:eastAsia="宋体"/>
                <w:b/>
                <w:bCs/>
                <w:color w:val="auto"/>
                <w:sz w:val="21"/>
                <w:szCs w:val="21"/>
                <w:highlight w:val="none"/>
                <w:lang w:eastAsia="zh-CN"/>
              </w:rPr>
              <w:t>（</w:t>
            </w:r>
            <w:r>
              <w:rPr>
                <w:rFonts w:hint="eastAsia" w:ascii="Times New Roman" w:eastAsia="宋体"/>
                <w:b/>
                <w:bCs/>
                <w:color w:val="auto"/>
                <w:sz w:val="21"/>
                <w:szCs w:val="21"/>
                <w:highlight w:val="none"/>
                <w:lang w:val="en-US" w:eastAsia="zh-CN"/>
              </w:rPr>
              <w:t>一</w:t>
            </w:r>
            <w:r>
              <w:rPr>
                <w:rFonts w:hint="eastAsia" w:eastAsia="宋体"/>
                <w:b/>
                <w:bCs/>
                <w:color w:val="auto"/>
                <w:sz w:val="21"/>
                <w:szCs w:val="21"/>
                <w:highlight w:val="none"/>
                <w:lang w:eastAsia="zh-CN"/>
              </w:rPr>
              <w:t>）</w:t>
            </w:r>
            <w:r>
              <w:rPr>
                <w:b/>
                <w:bCs/>
                <w:color w:val="auto"/>
                <w:sz w:val="21"/>
                <w:szCs w:val="21"/>
                <w:highlight w:val="none"/>
              </w:rPr>
              <w:t>产业政策符合性分析</w:t>
            </w:r>
          </w:p>
          <w:p w14:paraId="33CD38E5">
            <w:pPr>
              <w:pStyle w:val="37"/>
              <w:ind w:firstLine="480"/>
              <w:rPr>
                <w:rFonts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本项目不属于《产业结构调整指导目录</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2024年本</w:t>
            </w:r>
            <w:r>
              <w:rPr>
                <w:rFonts w:hint="eastAsia" w:ascii="Times New Roman" w:hAnsi="Times New Roman"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》鼓励类、限制类和淘汰类项目</w:t>
            </w:r>
            <w:r>
              <w:rPr>
                <w:rFonts w:hint="eastAsia" w:ascii="Times New Roman" w:hAnsi="Times New Roman" w:cs="Times New Roman"/>
                <w:color w:val="auto"/>
                <w:sz w:val="21"/>
                <w:szCs w:val="21"/>
                <w:highlight w:val="none"/>
                <w:lang w:val="en-US" w:eastAsia="zh-CN"/>
              </w:rPr>
              <w:t>，属于允许类项目</w:t>
            </w:r>
            <w:r>
              <w:rPr>
                <w:rFonts w:ascii="Times New Roman" w:hAnsi="Times New Roman" w:cs="Times New Roman"/>
                <w:color w:val="auto"/>
                <w:sz w:val="21"/>
                <w:szCs w:val="21"/>
                <w:highlight w:val="none"/>
              </w:rPr>
              <w:t>；</w:t>
            </w:r>
            <w:r>
              <w:rPr>
                <w:rFonts w:hint="eastAsia" w:ascii="Times New Roman" w:hAnsi="Times New Roman" w:cs="Times New Roman"/>
                <w:color w:val="auto"/>
                <w:sz w:val="21"/>
                <w:szCs w:val="21"/>
                <w:highlight w:val="none"/>
              </w:rPr>
              <w:t>不在《河北省禁止投资的产业目录（2014年版）》之中；项目</w:t>
            </w:r>
            <w:r>
              <w:rPr>
                <w:color w:val="auto"/>
                <w:sz w:val="21"/>
                <w:szCs w:val="21"/>
                <w:highlight w:val="none"/>
              </w:rPr>
              <w:t>不属于《市场准入负面清单（</w:t>
            </w:r>
            <w:r>
              <w:rPr>
                <w:rFonts w:ascii="Times New Roman" w:hAnsi="Times New Roman" w:cs="Times New Roman"/>
                <w:color w:val="auto"/>
                <w:sz w:val="21"/>
                <w:szCs w:val="21"/>
                <w:highlight w:val="none"/>
              </w:rPr>
              <w:t>20</w:t>
            </w:r>
            <w:r>
              <w:rPr>
                <w:rFonts w:hint="default" w:ascii="Times New Roman" w:hAnsi="Times New Roman" w:cs="Times New Roman"/>
                <w:color w:val="auto"/>
                <w:sz w:val="21"/>
                <w:szCs w:val="21"/>
                <w:highlight w:val="none"/>
              </w:rPr>
              <w:t>2</w:t>
            </w:r>
            <w:r>
              <w:rPr>
                <w:rFonts w:hint="eastAsia" w:ascii="Times New Roman" w:hAnsi="Times New Roman" w:cs="Times New Roman"/>
                <w:color w:val="auto"/>
                <w:sz w:val="21"/>
                <w:szCs w:val="21"/>
                <w:highlight w:val="none"/>
                <w:lang w:val="en-US" w:eastAsia="zh-CN"/>
              </w:rPr>
              <w:t>5</w:t>
            </w:r>
            <w:r>
              <w:rPr>
                <w:color w:val="auto"/>
                <w:sz w:val="21"/>
                <w:szCs w:val="21"/>
                <w:highlight w:val="none"/>
              </w:rPr>
              <w:t>年版）》禁止项</w:t>
            </w:r>
            <w:r>
              <w:rPr>
                <w:rFonts w:hint="eastAsia" w:ascii="Times New Roman" w:hAnsi="Times New Roman" w:cs="Times New Roman"/>
                <w:color w:val="auto"/>
                <w:sz w:val="21"/>
                <w:szCs w:val="21"/>
                <w:highlight w:val="none"/>
                <w:lang w:eastAsia="zh-CN"/>
              </w:rPr>
              <w:t>，符合相关产业政策</w:t>
            </w:r>
            <w:r>
              <w:rPr>
                <w:rFonts w:hint="eastAsia" w:ascii="Times New Roman" w:hAnsi="Times New Roman" w:cs="Times New Roman"/>
                <w:color w:val="auto"/>
                <w:sz w:val="21"/>
                <w:szCs w:val="21"/>
                <w:highlight w:val="none"/>
              </w:rPr>
              <w:t>；</w:t>
            </w:r>
            <w:r>
              <w:rPr>
                <w:rFonts w:ascii="Times New Roman" w:hAnsi="Times New Roman" w:cs="Times New Roman"/>
                <w:color w:val="auto"/>
                <w:sz w:val="21"/>
                <w:szCs w:val="21"/>
                <w:highlight w:val="none"/>
              </w:rPr>
              <w:t>项目于202</w:t>
            </w:r>
            <w:r>
              <w:rPr>
                <w:rFonts w:hint="eastAsia" w:ascii="Times New Roman" w:hAnsi="Times New Roman" w:cs="Times New Roman"/>
                <w:color w:val="auto"/>
                <w:sz w:val="21"/>
                <w:szCs w:val="21"/>
                <w:highlight w:val="none"/>
                <w:lang w:val="en-US" w:eastAsia="zh-CN"/>
              </w:rPr>
              <w:t>6</w:t>
            </w:r>
            <w:r>
              <w:rPr>
                <w:rFonts w:ascii="Times New Roman" w:hAnsi="Times New Roman" w:cs="Times New Roman"/>
                <w:color w:val="auto"/>
                <w:sz w:val="21"/>
                <w:szCs w:val="21"/>
                <w:highlight w:val="none"/>
              </w:rPr>
              <w:t>年</w:t>
            </w:r>
            <w:r>
              <w:rPr>
                <w:rFonts w:hint="eastAsia" w:ascii="Times New Roman" w:hAnsi="Times New Roman" w:cs="Times New Roman"/>
                <w:color w:val="auto"/>
                <w:sz w:val="21"/>
                <w:szCs w:val="21"/>
                <w:highlight w:val="none"/>
                <w:lang w:val="en-US" w:eastAsia="zh-CN"/>
              </w:rPr>
              <w:t>4</w:t>
            </w:r>
            <w:r>
              <w:rPr>
                <w:rFonts w:ascii="Times New Roman" w:hAnsi="Times New Roman" w:cs="Times New Roman"/>
                <w:color w:val="auto"/>
                <w:sz w:val="21"/>
                <w:szCs w:val="21"/>
                <w:highlight w:val="none"/>
              </w:rPr>
              <w:t>月</w:t>
            </w:r>
            <w:r>
              <w:rPr>
                <w:rFonts w:hint="eastAsia" w:ascii="Times New Roman" w:hAnsi="Times New Roman" w:cs="Times New Roman"/>
                <w:color w:val="auto"/>
                <w:sz w:val="21"/>
                <w:szCs w:val="21"/>
                <w:highlight w:val="none"/>
                <w:lang w:val="en-US" w:eastAsia="zh-CN"/>
              </w:rPr>
              <w:t>15</w:t>
            </w:r>
            <w:r>
              <w:rPr>
                <w:rFonts w:ascii="Times New Roman" w:hAnsi="Times New Roman" w:cs="Times New Roman"/>
                <w:color w:val="auto"/>
                <w:sz w:val="21"/>
                <w:szCs w:val="21"/>
                <w:highlight w:val="none"/>
              </w:rPr>
              <w:t>日取得石家庄高新</w:t>
            </w:r>
            <w:r>
              <w:rPr>
                <w:rFonts w:hint="eastAsia" w:ascii="Times New Roman" w:hAnsi="Times New Roman" w:cs="Times New Roman"/>
                <w:color w:val="auto"/>
                <w:sz w:val="21"/>
                <w:szCs w:val="21"/>
                <w:highlight w:val="none"/>
                <w:lang w:eastAsia="zh-CN"/>
              </w:rPr>
              <w:t>技术产业开发</w:t>
            </w:r>
            <w:r>
              <w:rPr>
                <w:rFonts w:ascii="Times New Roman" w:hAnsi="Times New Roman" w:cs="Times New Roman"/>
                <w:color w:val="auto"/>
                <w:sz w:val="21"/>
                <w:szCs w:val="21"/>
                <w:highlight w:val="none"/>
              </w:rPr>
              <w:t>区行政</w:t>
            </w:r>
            <w:r>
              <w:rPr>
                <w:rFonts w:hint="eastAsia" w:ascii="Times New Roman" w:hAnsi="Times New Roman" w:cs="Times New Roman"/>
                <w:color w:val="auto"/>
                <w:sz w:val="21"/>
                <w:szCs w:val="21"/>
                <w:highlight w:val="none"/>
                <w:lang w:eastAsia="zh-CN"/>
              </w:rPr>
              <w:t>审批局</w:t>
            </w:r>
            <w:r>
              <w:rPr>
                <w:rFonts w:ascii="Times New Roman" w:hAnsi="Times New Roman" w:cs="Times New Roman"/>
                <w:color w:val="auto"/>
                <w:sz w:val="21"/>
                <w:szCs w:val="21"/>
                <w:highlight w:val="none"/>
              </w:rPr>
              <w:t>出具的备案信息（备案编号：</w:t>
            </w:r>
            <w:r>
              <w:rPr>
                <w:rFonts w:hint="eastAsia" w:ascii="Times New Roman" w:hAnsi="Times New Roman" w:cs="Times New Roman"/>
                <w:color w:val="auto"/>
                <w:sz w:val="21"/>
                <w:szCs w:val="21"/>
                <w:highlight w:val="none"/>
              </w:rPr>
              <w:t>石高审循化投资备字〔2026〕29 号</w:t>
            </w:r>
            <w:r>
              <w:rPr>
                <w:rFonts w:ascii="Times New Roman" w:hAnsi="Times New Roman" w:cs="Times New Roman"/>
                <w:color w:val="auto"/>
                <w:sz w:val="21"/>
                <w:szCs w:val="21"/>
                <w:highlight w:val="none"/>
              </w:rPr>
              <w:t>）。</w:t>
            </w:r>
          </w:p>
          <w:p w14:paraId="4CE4C649">
            <w:pPr>
              <w:spacing w:line="360" w:lineRule="auto"/>
              <w:ind w:firstLine="420" w:firstLineChars="200"/>
              <w:rPr>
                <w:color w:val="auto"/>
                <w:sz w:val="21"/>
                <w:szCs w:val="21"/>
                <w:highlight w:val="none"/>
              </w:rPr>
            </w:pPr>
            <w:r>
              <w:rPr>
                <w:color w:val="auto"/>
                <w:sz w:val="21"/>
                <w:szCs w:val="21"/>
                <w:highlight w:val="none"/>
              </w:rPr>
              <w:t>因此，本项目符合国家和地方产业政策。</w:t>
            </w:r>
          </w:p>
          <w:p w14:paraId="0408141B">
            <w:pPr>
              <w:spacing w:line="360" w:lineRule="auto"/>
              <w:ind w:firstLine="422" w:firstLineChars="200"/>
              <w:rPr>
                <w:b/>
                <w:bCs/>
                <w:color w:val="auto"/>
                <w:sz w:val="21"/>
                <w:szCs w:val="21"/>
                <w:highlight w:val="none"/>
              </w:rPr>
            </w:pPr>
            <w:r>
              <w:rPr>
                <w:rFonts w:hint="eastAsia" w:eastAsia="宋体"/>
                <w:b/>
                <w:bCs/>
                <w:color w:val="auto"/>
                <w:sz w:val="21"/>
                <w:szCs w:val="21"/>
                <w:highlight w:val="none"/>
                <w:lang w:eastAsia="zh-CN"/>
              </w:rPr>
              <w:t>（</w:t>
            </w:r>
            <w:r>
              <w:rPr>
                <w:rFonts w:hint="eastAsia" w:ascii="Times New Roman" w:eastAsia="宋体"/>
                <w:b/>
                <w:bCs/>
                <w:color w:val="auto"/>
                <w:sz w:val="21"/>
                <w:szCs w:val="21"/>
                <w:highlight w:val="none"/>
                <w:lang w:val="en-US" w:eastAsia="zh-CN"/>
              </w:rPr>
              <w:t>二</w:t>
            </w:r>
            <w:r>
              <w:rPr>
                <w:rFonts w:hint="eastAsia" w:eastAsia="宋体"/>
                <w:b/>
                <w:bCs/>
                <w:color w:val="auto"/>
                <w:sz w:val="21"/>
                <w:szCs w:val="21"/>
                <w:highlight w:val="none"/>
                <w:lang w:eastAsia="zh-CN"/>
              </w:rPr>
              <w:t>）</w:t>
            </w:r>
            <w:r>
              <w:rPr>
                <w:b/>
                <w:bCs/>
                <w:color w:val="auto"/>
                <w:sz w:val="21"/>
                <w:szCs w:val="21"/>
                <w:highlight w:val="none"/>
              </w:rPr>
              <w:t>选址可行性分析</w:t>
            </w:r>
          </w:p>
          <w:p w14:paraId="1C3D1E17">
            <w:pPr>
              <w:spacing w:line="360" w:lineRule="auto"/>
              <w:ind w:firstLine="420" w:firstLineChars="200"/>
              <w:rPr>
                <w:rFonts w:hint="eastAsia"/>
                <w:color w:val="auto"/>
                <w:sz w:val="21"/>
                <w:szCs w:val="21"/>
                <w:highlight w:val="none"/>
              </w:rPr>
            </w:pPr>
            <w:r>
              <w:rPr>
                <w:rFonts w:hint="eastAsia"/>
                <w:color w:val="auto"/>
                <w:sz w:val="21"/>
                <w:szCs w:val="21"/>
                <w:highlight w:val="none"/>
              </w:rPr>
              <w:t>本项目位于</w:t>
            </w:r>
            <w:r>
              <w:rPr>
                <w:rFonts w:hint="eastAsia" w:ascii="Times New Roman" w:eastAsia="宋体"/>
                <w:color w:val="auto"/>
                <w:sz w:val="21"/>
                <w:szCs w:val="21"/>
                <w:highlight w:val="none"/>
                <w:lang w:val="en-US" w:eastAsia="zh-CN"/>
              </w:rPr>
              <w:t>石家庄高新区化工中路100号，石家庄东华金龙化工有限公司厂区内。厂址中心地理坐标为北纬</w:t>
            </w:r>
            <w:r>
              <w:rPr>
                <w:rFonts w:hint="default" w:ascii="Times New Roman" w:hAnsi="Times New Roman" w:eastAsia="宋体" w:cs="Times New Roman"/>
                <w:color w:val="auto"/>
                <w:sz w:val="21"/>
                <w:szCs w:val="21"/>
                <w:highlight w:val="none"/>
                <w:lang w:val="en-US" w:eastAsia="zh-CN"/>
              </w:rPr>
              <w:t>37°57'</w:t>
            </w:r>
            <w:r>
              <w:rPr>
                <w:rFonts w:hint="eastAsia" w:cs="Times New Roman"/>
                <w:color w:val="auto"/>
                <w:sz w:val="21"/>
                <w:szCs w:val="21"/>
                <w:highlight w:val="none"/>
                <w:lang w:val="en-US" w:eastAsia="zh-CN"/>
              </w:rPr>
              <w:t>46.889</w:t>
            </w:r>
            <w:r>
              <w:rPr>
                <w:rFonts w:hint="default" w:ascii="Times New Roman" w:hAnsi="Times New Roman" w:eastAsia="宋体" w:cs="Times New Roman"/>
                <w:color w:val="auto"/>
                <w:sz w:val="21"/>
                <w:szCs w:val="21"/>
                <w:highlight w:val="none"/>
                <w:lang w:val="en-US" w:eastAsia="zh-CN"/>
              </w:rPr>
              <w:t>"</w:t>
            </w:r>
            <w:r>
              <w:rPr>
                <w:rFonts w:hint="eastAsia" w:ascii="Times New Roman" w:eastAsia="宋体"/>
                <w:color w:val="auto"/>
                <w:sz w:val="21"/>
                <w:szCs w:val="21"/>
                <w:highlight w:val="none"/>
                <w:lang w:val="en-US" w:eastAsia="zh-CN"/>
              </w:rPr>
              <w:t>，东经</w:t>
            </w:r>
            <w:r>
              <w:rPr>
                <w:rFonts w:hint="default" w:ascii="Times New Roman" w:hAnsi="Times New Roman" w:eastAsia="宋体" w:cs="Times New Roman"/>
                <w:color w:val="auto"/>
                <w:sz w:val="21"/>
                <w:szCs w:val="21"/>
                <w:highlight w:val="none"/>
                <w:lang w:val="en-US" w:eastAsia="zh-CN"/>
              </w:rPr>
              <w:t>114°40'3</w:t>
            </w:r>
            <w:r>
              <w:rPr>
                <w:rFonts w:hint="eastAsia" w:cs="Times New Roman"/>
                <w:color w:val="auto"/>
                <w:sz w:val="21"/>
                <w:szCs w:val="21"/>
                <w:highlight w:val="none"/>
                <w:lang w:val="en-US" w:eastAsia="zh-CN"/>
              </w:rPr>
              <w:t>21.967</w:t>
            </w:r>
            <w:r>
              <w:rPr>
                <w:rFonts w:hint="default" w:ascii="Times New Roman" w:hAnsi="Times New Roman" w:eastAsia="宋体" w:cs="Times New Roman"/>
                <w:color w:val="auto"/>
                <w:sz w:val="21"/>
                <w:szCs w:val="21"/>
                <w:highlight w:val="none"/>
                <w:lang w:val="en-US" w:eastAsia="zh-CN"/>
              </w:rPr>
              <w:t>"</w:t>
            </w:r>
            <w:r>
              <w:rPr>
                <w:rFonts w:hint="eastAsia" w:ascii="Times New Roman" w:eastAsia="宋体"/>
                <w:color w:val="auto"/>
                <w:sz w:val="21"/>
                <w:szCs w:val="21"/>
                <w:highlight w:val="none"/>
                <w:lang w:val="en-US" w:eastAsia="zh-CN"/>
              </w:rPr>
              <w:t>。</w:t>
            </w:r>
            <w:r>
              <w:rPr>
                <w:rFonts w:hint="eastAsia"/>
                <w:color w:val="auto"/>
                <w:sz w:val="21"/>
                <w:szCs w:val="21"/>
                <w:highlight w:val="none"/>
              </w:rPr>
              <w:t>项目</w:t>
            </w:r>
            <w:r>
              <w:rPr>
                <w:rFonts w:hint="eastAsia" w:ascii="Times New Roman" w:eastAsia="宋体"/>
                <w:color w:val="auto"/>
                <w:sz w:val="21"/>
                <w:szCs w:val="21"/>
                <w:highlight w:val="none"/>
                <w:lang w:val="en-US" w:eastAsia="zh-CN"/>
              </w:rPr>
              <w:t>占地</w:t>
            </w:r>
            <w:r>
              <w:rPr>
                <w:rFonts w:hint="eastAsia"/>
                <w:color w:val="auto"/>
                <w:sz w:val="21"/>
                <w:szCs w:val="21"/>
                <w:highlight w:val="none"/>
              </w:rPr>
              <w:t>已取得《不动产权证书》（</w:t>
            </w:r>
            <w:r>
              <w:rPr>
                <w:rFonts w:hint="eastAsia"/>
                <w:color w:val="auto"/>
                <w:sz w:val="21"/>
                <w:szCs w:val="21"/>
                <w:highlight w:val="none"/>
                <w:lang w:eastAsia="zh-CN"/>
              </w:rPr>
              <w:t>见附件</w:t>
            </w:r>
            <w:r>
              <w:rPr>
                <w:rFonts w:hint="eastAsia"/>
                <w:color w:val="auto"/>
                <w:sz w:val="21"/>
                <w:szCs w:val="21"/>
                <w:highlight w:val="none"/>
              </w:rPr>
              <w:t>），项目用地为工业用地，选址位于石家庄</w:t>
            </w:r>
            <w:r>
              <w:rPr>
                <w:rFonts w:hint="eastAsia" w:eastAsia="宋体"/>
                <w:color w:val="auto"/>
                <w:sz w:val="21"/>
                <w:szCs w:val="21"/>
                <w:highlight w:val="none"/>
                <w:lang w:eastAsia="zh-CN"/>
              </w:rPr>
              <w:t>高新技术产业开发区循环化工园区</w:t>
            </w:r>
            <w:r>
              <w:rPr>
                <w:rFonts w:hint="eastAsia"/>
                <w:color w:val="auto"/>
                <w:sz w:val="21"/>
                <w:szCs w:val="21"/>
                <w:highlight w:val="none"/>
              </w:rPr>
              <w:t>内，用地为规划的工业用地，符合石家庄循环化工园</w:t>
            </w:r>
            <w:r>
              <w:rPr>
                <w:rFonts w:hint="eastAsia" w:eastAsia="宋体"/>
                <w:color w:val="auto"/>
                <w:sz w:val="21"/>
                <w:szCs w:val="21"/>
                <w:highlight w:val="none"/>
                <w:lang w:eastAsia="zh-CN"/>
              </w:rPr>
              <w:t>区</w:t>
            </w:r>
            <w:r>
              <w:rPr>
                <w:rFonts w:hint="eastAsia"/>
                <w:color w:val="auto"/>
                <w:sz w:val="21"/>
                <w:szCs w:val="21"/>
                <w:highlight w:val="none"/>
              </w:rPr>
              <w:t>用地规划；选址符合环境功能区划；本项目</w:t>
            </w:r>
            <w:r>
              <w:rPr>
                <w:rFonts w:hint="eastAsia" w:ascii="Times New Roman" w:eastAsia="宋体"/>
                <w:color w:val="auto"/>
                <w:sz w:val="21"/>
                <w:szCs w:val="21"/>
                <w:highlight w:val="none"/>
                <w:lang w:val="en-US" w:eastAsia="zh-CN"/>
              </w:rPr>
              <w:t>500m范围内</w:t>
            </w:r>
            <w:r>
              <w:rPr>
                <w:rFonts w:hint="eastAsia"/>
                <w:color w:val="auto"/>
                <w:sz w:val="21"/>
                <w:szCs w:val="21"/>
                <w:highlight w:val="none"/>
              </w:rPr>
              <w:t>无</w:t>
            </w:r>
            <w:r>
              <w:rPr>
                <w:rFonts w:hint="default" w:ascii="Times New Roman" w:hAnsi="Times New Roman" w:eastAsia="宋体" w:cs="Times New Roman"/>
                <w:bCs/>
                <w:color w:val="auto"/>
                <w:sz w:val="21"/>
                <w:szCs w:val="21"/>
                <w:highlight w:val="none"/>
              </w:rPr>
              <w:t>自然保护区、风景名胜区、</w:t>
            </w:r>
            <w:r>
              <w:rPr>
                <w:rFonts w:hint="default" w:ascii="Times New Roman" w:hAnsi="Times New Roman" w:eastAsia="宋体" w:cs="Times New Roman"/>
                <w:bCs/>
                <w:color w:val="auto"/>
                <w:sz w:val="21"/>
                <w:szCs w:val="21"/>
                <w:highlight w:val="none"/>
                <w:lang w:val="en-US" w:eastAsia="zh-CN"/>
              </w:rPr>
              <w:t>文化区</w:t>
            </w:r>
            <w:r>
              <w:rPr>
                <w:rFonts w:hint="default" w:ascii="Times New Roman" w:hAnsi="Times New Roman" w:eastAsia="宋体" w:cs="Times New Roman"/>
                <w:bCs/>
                <w:color w:val="auto"/>
                <w:sz w:val="21"/>
                <w:szCs w:val="21"/>
                <w:highlight w:val="none"/>
              </w:rPr>
              <w:t>等</w:t>
            </w:r>
            <w:r>
              <w:rPr>
                <w:rFonts w:hint="eastAsia"/>
                <w:color w:val="auto"/>
                <w:sz w:val="21"/>
                <w:szCs w:val="21"/>
                <w:highlight w:val="none"/>
              </w:rPr>
              <w:t>环境敏感点。项目</w:t>
            </w:r>
            <w:r>
              <w:rPr>
                <w:rFonts w:hint="eastAsia" w:eastAsia="宋体"/>
                <w:color w:val="auto"/>
                <w:sz w:val="21"/>
                <w:szCs w:val="21"/>
                <w:highlight w:val="none"/>
                <w:lang w:eastAsia="zh-CN"/>
              </w:rPr>
              <w:t>北</w:t>
            </w:r>
            <w:r>
              <w:rPr>
                <w:rFonts w:hint="eastAsia"/>
                <w:color w:val="auto"/>
                <w:sz w:val="21"/>
                <w:szCs w:val="21"/>
                <w:highlight w:val="none"/>
              </w:rPr>
              <w:t>侧为</w:t>
            </w:r>
            <w:r>
              <w:rPr>
                <w:rFonts w:hint="eastAsia" w:eastAsia="宋体"/>
                <w:color w:val="auto"/>
                <w:sz w:val="21"/>
                <w:szCs w:val="21"/>
                <w:highlight w:val="none"/>
                <w:lang w:eastAsia="zh-CN"/>
              </w:rPr>
              <w:t>化工</w:t>
            </w:r>
            <w:r>
              <w:rPr>
                <w:rFonts w:hint="eastAsia"/>
                <w:color w:val="auto"/>
                <w:sz w:val="21"/>
                <w:szCs w:val="21"/>
                <w:highlight w:val="none"/>
              </w:rPr>
              <w:t>路、</w:t>
            </w:r>
            <w:r>
              <w:rPr>
                <w:rFonts w:hint="eastAsia" w:eastAsia="宋体"/>
                <w:color w:val="auto"/>
                <w:sz w:val="21"/>
                <w:szCs w:val="21"/>
                <w:highlight w:val="none"/>
                <w:lang w:eastAsia="zh-CN"/>
              </w:rPr>
              <w:t>西侧为石炼中街</w:t>
            </w:r>
            <w:r>
              <w:rPr>
                <w:rFonts w:hint="eastAsia"/>
                <w:color w:val="auto"/>
                <w:sz w:val="21"/>
                <w:szCs w:val="21"/>
                <w:highlight w:val="none"/>
              </w:rPr>
              <w:t>，交通便利。因此，项目选址可行。</w:t>
            </w:r>
          </w:p>
          <w:p w14:paraId="111314F4">
            <w:pPr>
              <w:keepNext w:val="0"/>
              <w:keepLines w:val="0"/>
              <w:widowControl w:val="0"/>
              <w:spacing w:before="0" w:after="0" w:line="360" w:lineRule="auto"/>
              <w:ind w:firstLine="422" w:firstLineChars="200"/>
              <w:jc w:val="both"/>
              <w:outlineLvl w:val="2"/>
              <w:rPr>
                <w:rFonts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（三）与</w:t>
            </w:r>
            <w:r>
              <w:rPr>
                <w:rFonts w:hint="eastAsia" w:cs="Times New Roman"/>
                <w:b/>
                <w:bCs/>
                <w:color w:val="auto"/>
                <w:kern w:val="2"/>
                <w:sz w:val="21"/>
                <w:szCs w:val="21"/>
                <w:highlight w:val="none"/>
                <w:lang w:val="en-US" w:eastAsia="zh-CN" w:bidi="ar-SA"/>
              </w:rPr>
              <w:t>河北省“三线一单”符合性</w:t>
            </w:r>
            <w:r>
              <w:rPr>
                <w:rFonts w:hint="eastAsia" w:ascii="Times New Roman" w:hAnsi="Times New Roman" w:eastAsia="宋体" w:cs="Times New Roman"/>
                <w:b/>
                <w:bCs/>
                <w:color w:val="auto"/>
                <w:kern w:val="2"/>
                <w:sz w:val="21"/>
                <w:szCs w:val="21"/>
                <w:highlight w:val="none"/>
                <w:lang w:val="en-US" w:eastAsia="zh-CN" w:bidi="ar-SA"/>
              </w:rPr>
              <w:t>分析</w:t>
            </w:r>
          </w:p>
          <w:p w14:paraId="1A0E1D2F">
            <w:pPr>
              <w:autoSpaceDE/>
              <w:autoSpaceDN/>
              <w:spacing w:line="360" w:lineRule="auto"/>
              <w:ind w:firstLine="420" w:firstLineChars="200"/>
              <w:rPr>
                <w:rFonts w:hint="default"/>
                <w:color w:val="auto"/>
                <w:sz w:val="21"/>
                <w:szCs w:val="21"/>
                <w:highlight w:val="none"/>
              </w:rPr>
            </w:pPr>
            <w:r>
              <w:rPr>
                <w:rFonts w:hint="default" w:ascii="Times New Roman" w:hAnsi="Times New Roman" w:eastAsia="宋体" w:cs="Times New Roman"/>
                <w:color w:val="auto"/>
                <w:sz w:val="21"/>
                <w:szCs w:val="21"/>
                <w:highlight w:val="none"/>
              </w:rPr>
              <w:t>项目与《河北省人民政府关于加快实施“三线一单”生态环境分区管控的意见》(冀政字[2020]71号)的符合性分析情况见表</w:t>
            </w:r>
            <w:r>
              <w:rPr>
                <w:rFonts w:hint="default" w:ascii="Times New Roman" w:hAnsi="Times New Roman" w:eastAsia="宋体" w:cs="Times New Roman"/>
                <w:color w:val="auto"/>
                <w:sz w:val="21"/>
                <w:szCs w:val="21"/>
                <w:highlight w:val="none"/>
                <w:lang w:val="en-US" w:eastAsia="zh-CN"/>
              </w:rPr>
              <w:t>6</w:t>
            </w:r>
            <w:r>
              <w:rPr>
                <w:rFonts w:hint="default" w:ascii="Times New Roman" w:hAnsi="Times New Roman" w:eastAsia="宋体" w:cs="Times New Roman"/>
                <w:color w:val="auto"/>
                <w:sz w:val="21"/>
                <w:szCs w:val="21"/>
                <w:highlight w:val="none"/>
              </w:rPr>
              <w:t>。</w:t>
            </w:r>
            <w:r>
              <w:rPr>
                <w:color w:val="auto"/>
                <w:sz w:val="21"/>
                <w:szCs w:val="21"/>
                <w:highlight w:val="none"/>
              </w:rPr>
              <w:t>根据《河北省人民政府关于加快实施</w:t>
            </w:r>
            <w:r>
              <w:rPr>
                <w:rFonts w:hint="eastAsia"/>
                <w:color w:val="auto"/>
                <w:sz w:val="21"/>
                <w:szCs w:val="21"/>
                <w:highlight w:val="none"/>
                <w:lang w:eastAsia="zh-CN"/>
              </w:rPr>
              <w:t>“</w:t>
            </w:r>
            <w:r>
              <w:rPr>
                <w:color w:val="auto"/>
                <w:sz w:val="21"/>
                <w:szCs w:val="21"/>
                <w:highlight w:val="none"/>
              </w:rPr>
              <w:t>三线一单</w:t>
            </w:r>
            <w:r>
              <w:rPr>
                <w:rFonts w:hint="eastAsia"/>
                <w:color w:val="auto"/>
                <w:sz w:val="21"/>
                <w:szCs w:val="21"/>
                <w:highlight w:val="none"/>
                <w:lang w:eastAsia="zh-CN"/>
              </w:rPr>
              <w:t>”</w:t>
            </w:r>
            <w:r>
              <w:rPr>
                <w:color w:val="auto"/>
                <w:sz w:val="21"/>
                <w:szCs w:val="21"/>
                <w:highlight w:val="none"/>
              </w:rPr>
              <w:t>生态环境分区管控的意见》（冀政字〔2020〕71号），本</w:t>
            </w:r>
            <w:r>
              <w:rPr>
                <w:rFonts w:hint="default"/>
                <w:color w:val="auto"/>
                <w:sz w:val="21"/>
                <w:szCs w:val="21"/>
                <w:highlight w:val="none"/>
              </w:rPr>
              <w:t>项目利用原有生产车间及公辅工程，不新增占地面积。项目厂址位于石家庄东华金龙化工有限公司厂区内，属于省级以上产业园区重点管控单元。本项目供水、供电、供热及排水工程全部依托园区内已建的基础设施，相关污染物均进行了总量控制，现有工程已申领排污许可证；资源利用效率高，不开采地下水，因此项目建设符合省级以上产业园区重点管控单元要求。</w:t>
            </w:r>
          </w:p>
          <w:p w14:paraId="25867003">
            <w:pPr>
              <w:widowControl w:val="0"/>
              <w:snapToGrid w:val="0"/>
              <w:spacing w:line="36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1-</w:t>
            </w:r>
            <w:r>
              <w:rPr>
                <w:rFonts w:hint="eastAsia" w:ascii="Times New Roman" w:hAnsi="Times New Roman" w:eastAsia="宋体" w:cs="Times New Roman"/>
                <w:b/>
                <w:bCs/>
                <w:color w:val="auto"/>
                <w:kern w:val="0"/>
                <w:sz w:val="21"/>
                <w:szCs w:val="21"/>
                <w:highlight w:val="none"/>
                <w:lang w:val="en-US" w:eastAsia="zh-CN" w:bidi="ar-SA"/>
              </w:rPr>
              <w:t>3 本项目与</w:t>
            </w:r>
            <w:r>
              <w:rPr>
                <w:rFonts w:hint="eastAsia" w:cs="Times New Roman"/>
                <w:b/>
                <w:bCs/>
                <w:color w:val="auto"/>
                <w:kern w:val="2"/>
                <w:sz w:val="21"/>
                <w:szCs w:val="21"/>
                <w:highlight w:val="none"/>
                <w:lang w:val="en-US" w:eastAsia="zh-CN" w:bidi="ar-SA"/>
              </w:rPr>
              <w:t>河北省“三线一单”</w:t>
            </w:r>
            <w:r>
              <w:rPr>
                <w:rFonts w:hint="eastAsia" w:ascii="Times New Roman" w:hAnsi="Times New Roman" w:eastAsia="宋体" w:cs="Times New Roman"/>
                <w:b/>
                <w:bCs/>
                <w:color w:val="auto"/>
                <w:kern w:val="0"/>
                <w:sz w:val="21"/>
                <w:szCs w:val="21"/>
                <w:highlight w:val="none"/>
                <w:lang w:val="en-US" w:eastAsia="zh-CN" w:bidi="ar-SA"/>
              </w:rPr>
              <w:t>符合性分析</w:t>
            </w:r>
          </w:p>
          <w:tbl>
            <w:tblPr>
              <w:tblStyle w:val="25"/>
              <w:tblW w:w="4994"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28" w:type="dxa"/>
                <w:bottom w:w="0" w:type="dxa"/>
                <w:right w:w="28" w:type="dxa"/>
              </w:tblCellMar>
            </w:tblPr>
            <w:tblGrid>
              <w:gridCol w:w="856"/>
              <w:gridCol w:w="1976"/>
              <w:gridCol w:w="3282"/>
              <w:gridCol w:w="706"/>
            </w:tblGrid>
            <w:tr w14:paraId="43A522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57" w:type="dxa"/>
                  <w:noWrap w:val="0"/>
                  <w:vAlign w:val="center"/>
                </w:tcPr>
                <w:p w14:paraId="13B2F88E">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类型</w:t>
                  </w:r>
                </w:p>
              </w:tc>
              <w:tc>
                <w:tcPr>
                  <w:tcW w:w="1976" w:type="dxa"/>
                  <w:noWrap w:val="0"/>
                  <w:vAlign w:val="center"/>
                </w:tcPr>
                <w:p w14:paraId="1476F416">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管控要求</w:t>
                  </w:r>
                </w:p>
              </w:tc>
              <w:tc>
                <w:tcPr>
                  <w:tcW w:w="3282" w:type="dxa"/>
                  <w:noWrap w:val="0"/>
                  <w:vAlign w:val="center"/>
                </w:tcPr>
                <w:p w14:paraId="27FBFA80">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项目相关内容</w:t>
                  </w:r>
                </w:p>
              </w:tc>
              <w:tc>
                <w:tcPr>
                  <w:tcW w:w="706" w:type="dxa"/>
                  <w:noWrap w:val="0"/>
                  <w:vAlign w:val="center"/>
                </w:tcPr>
                <w:p w14:paraId="70EA0E48">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对比</w:t>
                  </w:r>
                </w:p>
                <w:p w14:paraId="7584A8CC">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结果</w:t>
                  </w:r>
                </w:p>
              </w:tc>
            </w:tr>
            <w:tr w14:paraId="1AD490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57" w:type="dxa"/>
                  <w:noWrap w:val="0"/>
                  <w:vAlign w:val="center"/>
                </w:tcPr>
                <w:p w14:paraId="2CFFF057">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生态保护红线</w:t>
                  </w:r>
                </w:p>
              </w:tc>
              <w:tc>
                <w:tcPr>
                  <w:tcW w:w="1976" w:type="dxa"/>
                  <w:noWrap w:val="0"/>
                  <w:vAlign w:val="center"/>
                </w:tcPr>
                <w:p w14:paraId="325AAB38">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重要生态功能区域生态功能不降低、面积不减少、性质不改变。</w:t>
                  </w:r>
                </w:p>
              </w:tc>
              <w:tc>
                <w:tcPr>
                  <w:tcW w:w="3282" w:type="dxa"/>
                  <w:noWrap w:val="0"/>
                  <w:vAlign w:val="center"/>
                </w:tcPr>
                <w:p w14:paraId="438FDB09">
                  <w:pPr>
                    <w:spacing w:line="0" w:lineRule="atLeast"/>
                    <w:jc w:val="left"/>
                    <w:rPr>
                      <w:rFonts w:hint="default" w:ascii="Times New Roman" w:hAnsi="Times New Roman" w:cs="Times New Roman"/>
                      <w:color w:val="auto"/>
                      <w:spacing w:val="-10"/>
                      <w:sz w:val="21"/>
                      <w:szCs w:val="21"/>
                      <w:highlight w:val="none"/>
                    </w:rPr>
                  </w:pPr>
                  <w:r>
                    <w:rPr>
                      <w:color w:val="auto"/>
                      <w:sz w:val="21"/>
                      <w:szCs w:val="21"/>
                      <w:highlight w:val="none"/>
                    </w:rPr>
                    <w:t>本</w:t>
                  </w:r>
                  <w:r>
                    <w:rPr>
                      <w:rFonts w:hint="default"/>
                      <w:color w:val="auto"/>
                      <w:sz w:val="21"/>
                      <w:szCs w:val="21"/>
                      <w:highlight w:val="none"/>
                    </w:rPr>
                    <w:t>项目厂址位于石家庄东华金龙化工有限公司厂区内，利用原有生产车间及公辅工程，不新增占地面积。</w:t>
                  </w:r>
                </w:p>
              </w:tc>
              <w:tc>
                <w:tcPr>
                  <w:tcW w:w="706" w:type="dxa"/>
                  <w:noWrap w:val="0"/>
                  <w:vAlign w:val="center"/>
                </w:tcPr>
                <w:p w14:paraId="4037954D">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符合</w:t>
                  </w:r>
                </w:p>
                <w:p w14:paraId="60F094BA">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要求</w:t>
                  </w:r>
                </w:p>
              </w:tc>
            </w:tr>
            <w:tr w14:paraId="4FA16A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57" w:type="dxa"/>
                  <w:noWrap w:val="0"/>
                  <w:vAlign w:val="center"/>
                </w:tcPr>
                <w:p w14:paraId="6B44F273">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环境质量底线</w:t>
                  </w:r>
                </w:p>
              </w:tc>
              <w:tc>
                <w:tcPr>
                  <w:tcW w:w="1976" w:type="dxa"/>
                  <w:noWrap w:val="0"/>
                  <w:vAlign w:val="center"/>
                </w:tcPr>
                <w:p w14:paraId="6F5EA088">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到2025年，地表水国考断面优良(Ⅲ类以上)比例、近岸海域优良海水比例逐步提升；</w:t>
                  </w:r>
                </w:p>
                <w:p w14:paraId="5A48867F">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PM</w:t>
                  </w:r>
                  <w:r>
                    <w:rPr>
                      <w:rFonts w:hint="default" w:ascii="Times New Roman" w:hAnsi="Times New Roman" w:cs="Times New Roman"/>
                      <w:color w:val="auto"/>
                      <w:spacing w:val="-10"/>
                      <w:sz w:val="21"/>
                      <w:szCs w:val="21"/>
                      <w:highlight w:val="none"/>
                      <w:vertAlign w:val="subscript"/>
                    </w:rPr>
                    <w:t>2.5</w:t>
                  </w:r>
                  <w:r>
                    <w:rPr>
                      <w:rFonts w:hint="default" w:ascii="Times New Roman" w:hAnsi="Times New Roman" w:cs="Times New Roman"/>
                      <w:color w:val="auto"/>
                      <w:spacing w:val="-10"/>
                      <w:sz w:val="21"/>
                      <w:szCs w:val="21"/>
                      <w:highlight w:val="none"/>
                    </w:rPr>
                    <w:t>年均浓度持续降低、优良天数比例稳步提升；</w:t>
                  </w:r>
                </w:p>
                <w:p w14:paraId="72F26243">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土壤受污染耕地安全利用率、污染地块安全利用率进一步提升。</w:t>
                  </w:r>
                </w:p>
              </w:tc>
              <w:tc>
                <w:tcPr>
                  <w:tcW w:w="3282" w:type="dxa"/>
                  <w:noWrap w:val="0"/>
                  <w:vAlign w:val="center"/>
                </w:tcPr>
                <w:p w14:paraId="1DBCF3B4">
                  <w:pPr>
                    <w:spacing w:line="0" w:lineRule="atLeast"/>
                    <w:rPr>
                      <w:rFonts w:hint="eastAsia" w:ascii="Times New Roman" w:hAnsi="Times New Roman" w:eastAsia="宋体" w:cs="Times New Roman"/>
                      <w:color w:val="auto"/>
                      <w:spacing w:val="-10"/>
                      <w:sz w:val="21"/>
                      <w:szCs w:val="21"/>
                      <w:highlight w:val="none"/>
                      <w:lang w:val="en-US" w:eastAsia="zh-CN"/>
                    </w:rPr>
                  </w:pPr>
                  <w:r>
                    <w:rPr>
                      <w:rFonts w:hint="default" w:ascii="Times New Roman" w:hAnsi="Times New Roman" w:cs="Times New Roman"/>
                      <w:color w:val="auto"/>
                      <w:spacing w:val="-10"/>
                      <w:sz w:val="21"/>
                      <w:szCs w:val="21"/>
                      <w:highlight w:val="none"/>
                    </w:rPr>
                    <w:t>项目各废气、废水污染源通过采取严格的环保治理措施，均可达标排放</w:t>
                  </w:r>
                  <w:r>
                    <w:rPr>
                      <w:rFonts w:hint="default"/>
                      <w:color w:val="auto"/>
                      <w:sz w:val="21"/>
                      <w:szCs w:val="21"/>
                      <w:highlight w:val="none"/>
                    </w:rPr>
                    <w:t>。</w:t>
                  </w:r>
                </w:p>
                <w:p w14:paraId="63C4CC86">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项目采取严格的源头控制、分区防渗、应急响应等措施，杜绝跑冒滴漏和事故状态下非正常排污对土壤环境的污染。</w:t>
                  </w:r>
                </w:p>
              </w:tc>
              <w:tc>
                <w:tcPr>
                  <w:tcW w:w="706" w:type="dxa"/>
                  <w:noWrap w:val="0"/>
                  <w:vAlign w:val="center"/>
                </w:tcPr>
                <w:p w14:paraId="66524011">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符合</w:t>
                  </w:r>
                </w:p>
                <w:p w14:paraId="14EDEFBD">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要求</w:t>
                  </w:r>
                </w:p>
              </w:tc>
            </w:tr>
            <w:tr w14:paraId="030C2B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57" w:type="dxa"/>
                  <w:noWrap w:val="0"/>
                  <w:vAlign w:val="center"/>
                </w:tcPr>
                <w:p w14:paraId="520E26A3">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资源利用上线</w:t>
                  </w:r>
                </w:p>
              </w:tc>
              <w:tc>
                <w:tcPr>
                  <w:tcW w:w="1976" w:type="dxa"/>
                  <w:noWrap w:val="0"/>
                  <w:vAlign w:val="center"/>
                </w:tcPr>
                <w:p w14:paraId="65B1F19F">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1、以保障生态安全、改善环境质量为核心，合理确定全省资源利用上线目标，实现水资源与水环境、能源与大气环境、岸线与海洋环境的协同管控。</w:t>
                  </w:r>
                </w:p>
                <w:p w14:paraId="449A762F">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2、到2035年，广泛形成绿色生产生活方式，生态环境根本好转，建成蓝天、碧水、净土的美丽河北。</w:t>
                  </w:r>
                </w:p>
              </w:tc>
              <w:tc>
                <w:tcPr>
                  <w:tcW w:w="3282" w:type="dxa"/>
                  <w:noWrap w:val="0"/>
                  <w:vAlign w:val="center"/>
                </w:tcPr>
                <w:p w14:paraId="2BD86112">
                  <w:pPr>
                    <w:spacing w:line="0" w:lineRule="atLeas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1、项目位于</w:t>
                  </w:r>
                  <w:r>
                    <w:rPr>
                      <w:rFonts w:hint="default" w:ascii="Times New Roman" w:hAnsi="Times New Roman" w:eastAsia="宋体" w:cs="Times New Roman"/>
                      <w:color w:val="auto"/>
                      <w:kern w:val="0"/>
                      <w:sz w:val="21"/>
                      <w:szCs w:val="21"/>
                      <w:highlight w:val="none"/>
                      <w:lang w:val="en-US" w:eastAsia="zh-CN"/>
                    </w:rPr>
                    <w:t>石家庄高新区循环化工园区</w:t>
                  </w:r>
                  <w:r>
                    <w:rPr>
                      <w:rFonts w:hint="default" w:ascii="Times New Roman" w:hAnsi="Times New Roman" w:cs="Times New Roman"/>
                      <w:color w:val="auto"/>
                      <w:spacing w:val="-10"/>
                      <w:sz w:val="21"/>
                      <w:szCs w:val="21"/>
                      <w:highlight w:val="none"/>
                      <w:lang w:eastAsia="zh-CN"/>
                    </w:rPr>
                    <w:t>、</w:t>
                  </w:r>
                  <w:r>
                    <w:rPr>
                      <w:rFonts w:hint="default"/>
                      <w:color w:val="auto"/>
                      <w:sz w:val="21"/>
                      <w:szCs w:val="21"/>
                      <w:highlight w:val="none"/>
                    </w:rPr>
                    <w:t>石家庄东华金龙化工有限公司厂区内</w:t>
                  </w:r>
                  <w:r>
                    <w:rPr>
                      <w:rFonts w:hint="default" w:ascii="Times New Roman" w:hAnsi="Times New Roman" w:cs="Times New Roman"/>
                      <w:color w:val="auto"/>
                      <w:spacing w:val="-10"/>
                      <w:sz w:val="21"/>
                      <w:szCs w:val="21"/>
                      <w:highlight w:val="none"/>
                    </w:rPr>
                    <w:t>，占地为园区规划</w:t>
                  </w:r>
                  <w:commentRangeStart w:id="2"/>
                  <w:r>
                    <w:rPr>
                      <w:rFonts w:hint="default" w:ascii="Times New Roman" w:hAnsi="Times New Roman" w:cs="Times New Roman"/>
                      <w:color w:val="auto"/>
                      <w:spacing w:val="-10"/>
                      <w:sz w:val="21"/>
                      <w:szCs w:val="21"/>
                      <w:highlight w:val="none"/>
                    </w:rPr>
                    <w:t>一类工业用地</w:t>
                  </w:r>
                  <w:commentRangeEnd w:id="2"/>
                  <w:r>
                    <w:commentReference w:id="2"/>
                  </w:r>
                  <w:r>
                    <w:rPr>
                      <w:rFonts w:hint="default" w:ascii="Times New Roman" w:hAnsi="Times New Roman" w:cs="Times New Roman"/>
                      <w:color w:val="auto"/>
                      <w:spacing w:val="-10"/>
                      <w:sz w:val="21"/>
                      <w:szCs w:val="21"/>
                      <w:highlight w:val="none"/>
                    </w:rPr>
                    <w:t>，满足土地利用上线；年新水用量</w:t>
                  </w:r>
                  <w:r>
                    <w:rPr>
                      <w:rFonts w:hint="eastAsia" w:ascii="Times New Roman" w:hAnsi="Times New Roman" w:cs="Times New Roman"/>
                      <w:color w:val="0000FF"/>
                      <w:spacing w:val="-10"/>
                      <w:sz w:val="21"/>
                      <w:szCs w:val="21"/>
                      <w:highlight w:val="none"/>
                      <w:lang w:val="en-US" w:eastAsia="zh-CN"/>
                    </w:rPr>
                    <w:t>5031</w:t>
                  </w:r>
                  <w:r>
                    <w:rPr>
                      <w:rFonts w:hint="default" w:ascii="Times New Roman" w:hAnsi="Times New Roman" w:cs="Times New Roman"/>
                      <w:color w:val="0000FF"/>
                      <w:spacing w:val="-10"/>
                      <w:sz w:val="21"/>
                      <w:szCs w:val="21"/>
                      <w:highlight w:val="none"/>
                    </w:rPr>
                    <w:t>m</w:t>
                  </w:r>
                  <w:r>
                    <w:rPr>
                      <w:rFonts w:hint="default" w:ascii="Times New Roman" w:hAnsi="Times New Roman" w:cs="Times New Roman"/>
                      <w:color w:val="0000FF"/>
                      <w:spacing w:val="-10"/>
                      <w:sz w:val="21"/>
                      <w:szCs w:val="21"/>
                      <w:highlight w:val="none"/>
                      <w:vertAlign w:val="superscript"/>
                    </w:rPr>
                    <w:t>3</w:t>
                  </w:r>
                  <w:r>
                    <w:rPr>
                      <w:rFonts w:hint="default" w:ascii="Times New Roman" w:hAnsi="Times New Roman" w:cs="Times New Roman"/>
                      <w:color w:val="auto"/>
                      <w:spacing w:val="-10"/>
                      <w:sz w:val="21"/>
                      <w:szCs w:val="21"/>
                      <w:highlight w:val="none"/>
                    </w:rPr>
                    <w:t>，</w:t>
                  </w:r>
                  <w:r>
                    <w:rPr>
                      <w:rFonts w:hint="default" w:ascii="Times New Roman" w:hAnsi="Times New Roman" w:cs="Times New Roman"/>
                      <w:color w:val="auto"/>
                      <w:spacing w:val="-10"/>
                      <w:kern w:val="0"/>
                      <w:sz w:val="21"/>
                      <w:szCs w:val="21"/>
                      <w:highlight w:val="none"/>
                    </w:rPr>
                    <w:t>由石家庄高新技术产业开发区循环化工园区集中供水管网供给。供应，水源为</w:t>
                  </w:r>
                  <w:r>
                    <w:rPr>
                      <w:rFonts w:hint="default" w:ascii="Times New Roman" w:hAnsi="Times New Roman" w:cs="Times New Roman"/>
                      <w:color w:val="auto"/>
                      <w:spacing w:val="-10"/>
                      <w:sz w:val="21"/>
                      <w:szCs w:val="21"/>
                      <w:highlight w:val="none"/>
                    </w:rPr>
                    <w:t>南水北调地表水，满足水资源利用上线；年耗电量</w:t>
                  </w:r>
                  <w:r>
                    <w:rPr>
                      <w:rFonts w:hint="eastAsia" w:ascii="Times New Roman" w:hAnsi="Times New Roman" w:cs="Times New Roman"/>
                      <w:color w:val="auto"/>
                      <w:spacing w:val="-10"/>
                      <w:sz w:val="21"/>
                      <w:szCs w:val="21"/>
                      <w:highlight w:val="none"/>
                      <w:lang w:val="en-US" w:eastAsia="zh-CN"/>
                    </w:rPr>
                    <w:t>140</w:t>
                  </w:r>
                  <w:r>
                    <w:rPr>
                      <w:rFonts w:hint="eastAsia" w:cs="Times New Roman"/>
                      <w:color w:val="auto"/>
                      <w:spacing w:val="-10"/>
                      <w:sz w:val="21"/>
                      <w:szCs w:val="21"/>
                      <w:highlight w:val="none"/>
                      <w:lang w:val="en-US" w:eastAsia="zh-CN"/>
                    </w:rPr>
                    <w:t>.62</w:t>
                  </w:r>
                  <w:r>
                    <w:rPr>
                      <w:rFonts w:hint="default" w:ascii="Times New Roman" w:hAnsi="Times New Roman" w:cs="Times New Roman"/>
                      <w:color w:val="auto"/>
                      <w:spacing w:val="-10"/>
                      <w:sz w:val="21"/>
                      <w:szCs w:val="21"/>
                      <w:highlight w:val="none"/>
                    </w:rPr>
                    <w:t>万kwh，满足能源利用上线。</w:t>
                  </w:r>
                </w:p>
                <w:p w14:paraId="4A47859E">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2、项目采取严格的治理措施，产生废气经处理后均可达标排放；</w:t>
                  </w:r>
                  <w:r>
                    <w:rPr>
                      <w:rFonts w:hint="default" w:ascii="Times New Roman" w:hAnsi="Times New Roman" w:cs="Times New Roman"/>
                      <w:color w:val="auto"/>
                      <w:spacing w:val="-10"/>
                      <w:sz w:val="21"/>
                      <w:szCs w:val="21"/>
                      <w:highlight w:val="none"/>
                      <w:lang w:eastAsia="zh-CN"/>
                    </w:rPr>
                    <w:t>废水</w:t>
                  </w:r>
                  <w:r>
                    <w:rPr>
                      <w:rFonts w:hint="eastAsia" w:ascii="Times New Roman" w:hAnsi="Times New Roman" w:cs="Times New Roman"/>
                      <w:color w:val="auto"/>
                      <w:spacing w:val="-10"/>
                      <w:sz w:val="21"/>
                      <w:szCs w:val="21"/>
                      <w:highlight w:val="none"/>
                      <w:lang w:val="en-US" w:eastAsia="zh-CN"/>
                    </w:rPr>
                    <w:t>进入厂区污水处理站处理，达标后</w:t>
                  </w:r>
                  <w:r>
                    <w:rPr>
                      <w:rFonts w:hint="default" w:ascii="Times New Roman" w:hAnsi="Times New Roman" w:eastAsia="宋体" w:cs="Times New Roman"/>
                      <w:color w:val="auto"/>
                      <w:spacing w:val="0"/>
                      <w:w w:val="100"/>
                      <w:position w:val="0"/>
                      <w:sz w:val="21"/>
                      <w:szCs w:val="21"/>
                      <w:highlight w:val="none"/>
                      <w:lang w:val="en-US" w:eastAsia="zh-CN"/>
                    </w:rPr>
                    <w:t>经管网排入</w:t>
                  </w:r>
                  <w:r>
                    <w:rPr>
                      <w:rFonts w:hint="eastAsia" w:cs="Times New Roman"/>
                      <w:color w:val="auto"/>
                      <w:spacing w:val="0"/>
                      <w:w w:val="100"/>
                      <w:position w:val="0"/>
                      <w:sz w:val="21"/>
                      <w:szCs w:val="21"/>
                      <w:highlight w:val="none"/>
                      <w:lang w:val="en-US" w:eastAsia="zh-CN"/>
                    </w:rPr>
                    <w:t>石家庄高新区循化环境水务有限公司（良村南污水处理厂）</w:t>
                  </w:r>
                  <w:r>
                    <w:rPr>
                      <w:rFonts w:hint="default" w:ascii="Times New Roman" w:hAnsi="Times New Roman" w:cs="Times New Roman"/>
                      <w:color w:val="auto"/>
                      <w:spacing w:val="-10"/>
                      <w:sz w:val="21"/>
                      <w:szCs w:val="21"/>
                      <w:highlight w:val="none"/>
                    </w:rPr>
                    <w:t>；固体废物全部综合利用或妥善处置。</w:t>
                  </w:r>
                </w:p>
              </w:tc>
              <w:tc>
                <w:tcPr>
                  <w:tcW w:w="706" w:type="dxa"/>
                  <w:noWrap w:val="0"/>
                  <w:vAlign w:val="center"/>
                </w:tcPr>
                <w:p w14:paraId="170501BD">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符合</w:t>
                  </w:r>
                </w:p>
                <w:p w14:paraId="55FEE9C5">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要求</w:t>
                  </w:r>
                </w:p>
              </w:tc>
            </w:tr>
            <w:tr w14:paraId="6798AB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857" w:type="dxa"/>
                  <w:noWrap w:val="0"/>
                  <w:vAlign w:val="center"/>
                </w:tcPr>
                <w:p w14:paraId="6BC255FC">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生态环境管控总体要求</w:t>
                  </w:r>
                </w:p>
              </w:tc>
              <w:tc>
                <w:tcPr>
                  <w:tcW w:w="1976" w:type="dxa"/>
                  <w:noWrap w:val="0"/>
                  <w:vAlign w:val="center"/>
                </w:tcPr>
                <w:p w14:paraId="35D73B5D">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省级以上产业园区重点管控单元。严格产业准入，完善园区设施建设，推动设施提标改造；实施污染物总量控制，落实排污许可证制度；强化资源利用效率和地下水开采管控。</w:t>
                  </w:r>
                </w:p>
              </w:tc>
              <w:tc>
                <w:tcPr>
                  <w:tcW w:w="3282" w:type="dxa"/>
                  <w:noWrap w:val="0"/>
                  <w:vAlign w:val="center"/>
                </w:tcPr>
                <w:p w14:paraId="2175AADD">
                  <w:pPr>
                    <w:spacing w:line="0" w:lineRule="atLeast"/>
                    <w:jc w:val="distribute"/>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项目符合园区产业准入要求；项目实施后按照要求严格落实总量控制指标，落实排污许可制度；生产及生活用水由</w:t>
                  </w:r>
                  <w:r>
                    <w:rPr>
                      <w:rFonts w:hint="default" w:ascii="Times New Roman" w:hAnsi="Times New Roman" w:cs="Times New Roman"/>
                      <w:color w:val="auto"/>
                      <w:spacing w:val="-10"/>
                      <w:kern w:val="0"/>
                      <w:sz w:val="21"/>
                      <w:szCs w:val="21"/>
                      <w:highlight w:val="none"/>
                    </w:rPr>
                    <w:t>石家庄高新技术产业开发区循环化工园区集中供水管网供给</w:t>
                  </w:r>
                  <w:r>
                    <w:rPr>
                      <w:rFonts w:hint="default" w:ascii="Times New Roman" w:hAnsi="Times New Roman" w:cs="Times New Roman"/>
                      <w:bCs/>
                      <w:color w:val="auto"/>
                      <w:spacing w:val="-10"/>
                      <w:sz w:val="21"/>
                      <w:szCs w:val="21"/>
                      <w:highlight w:val="none"/>
                    </w:rPr>
                    <w:t>，水源为南水北调地表水</w:t>
                  </w:r>
                  <w:r>
                    <w:rPr>
                      <w:rFonts w:hint="default" w:ascii="Times New Roman" w:hAnsi="Times New Roman" w:cs="Times New Roman"/>
                      <w:color w:val="auto"/>
                      <w:spacing w:val="-10"/>
                      <w:sz w:val="21"/>
                      <w:szCs w:val="21"/>
                      <w:highlight w:val="none"/>
                    </w:rPr>
                    <w:t>，不开采地下水。</w:t>
                  </w:r>
                </w:p>
              </w:tc>
              <w:tc>
                <w:tcPr>
                  <w:tcW w:w="706" w:type="dxa"/>
                  <w:noWrap w:val="0"/>
                  <w:vAlign w:val="center"/>
                </w:tcPr>
                <w:p w14:paraId="6EB20430">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符合</w:t>
                  </w:r>
                </w:p>
                <w:p w14:paraId="06D3E993">
                  <w:pPr>
                    <w:spacing w:line="0" w:lineRule="atLeast"/>
                    <w:jc w:val="center"/>
                    <w:rPr>
                      <w:rFonts w:hint="default" w:ascii="Times New Roman" w:hAnsi="Times New Roman" w:cs="Times New Roman"/>
                      <w:color w:val="auto"/>
                      <w:spacing w:val="-10"/>
                      <w:sz w:val="21"/>
                      <w:szCs w:val="21"/>
                      <w:highlight w:val="none"/>
                    </w:rPr>
                  </w:pPr>
                  <w:r>
                    <w:rPr>
                      <w:rFonts w:hint="default" w:ascii="Times New Roman" w:hAnsi="Times New Roman" w:cs="Times New Roman"/>
                      <w:color w:val="auto"/>
                      <w:spacing w:val="-10"/>
                      <w:sz w:val="21"/>
                      <w:szCs w:val="21"/>
                      <w:highlight w:val="none"/>
                    </w:rPr>
                    <w:t>要求</w:t>
                  </w:r>
                </w:p>
              </w:tc>
            </w:tr>
          </w:tbl>
          <w:p w14:paraId="0544EE09">
            <w:pPr>
              <w:autoSpaceDE w:val="0"/>
              <w:autoSpaceDN w:val="0"/>
              <w:adjustRightInd w:val="0"/>
              <w:spacing w:before="240" w:line="360" w:lineRule="auto"/>
              <w:ind w:firstLine="420" w:firstLineChars="200"/>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综上，项目符合《河北省人民政府关于加快实施“三线一单”生态环境分区管控的意见》(冀政字[2020]71号)中相关要求。</w:t>
            </w:r>
          </w:p>
          <w:p w14:paraId="02A382C8">
            <w:pPr>
              <w:keepNext w:val="0"/>
              <w:keepLines w:val="0"/>
              <w:widowControl w:val="0"/>
              <w:spacing w:before="0" w:after="0" w:line="360" w:lineRule="auto"/>
              <w:ind w:firstLine="422" w:firstLineChars="200"/>
              <w:jc w:val="both"/>
              <w:outlineLvl w:val="2"/>
              <w:rPr>
                <w:rFonts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（四）与《河北省生态环境管控单元更新成果（2023版）》符</w:t>
            </w:r>
            <w:r>
              <w:rPr>
                <w:rFonts w:ascii="Times New Roman" w:hAnsi="Times New Roman" w:eastAsia="宋体" w:cs="Times New Roman"/>
                <w:b/>
                <w:bCs/>
                <w:color w:val="auto"/>
                <w:kern w:val="2"/>
                <w:sz w:val="21"/>
                <w:szCs w:val="21"/>
                <w:highlight w:val="none"/>
                <w:lang w:val="en-US" w:eastAsia="zh-CN" w:bidi="ar-SA"/>
              </w:rPr>
              <w:t>合性分析</w:t>
            </w:r>
          </w:p>
          <w:p w14:paraId="7502D623">
            <w:pPr>
              <w:widowControl w:val="0"/>
              <w:snapToGrid w:val="0"/>
              <w:spacing w:line="36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1-</w:t>
            </w:r>
            <w:r>
              <w:rPr>
                <w:rFonts w:hint="eastAsia" w:ascii="Times New Roman" w:hAnsi="Times New Roman" w:eastAsia="宋体" w:cs="Times New Roman"/>
                <w:b/>
                <w:bCs/>
                <w:color w:val="auto"/>
                <w:kern w:val="0"/>
                <w:sz w:val="21"/>
                <w:szCs w:val="21"/>
                <w:highlight w:val="none"/>
                <w:lang w:val="en-US" w:eastAsia="zh-CN" w:bidi="ar-SA"/>
              </w:rPr>
              <w:t>4 本项目与</w:t>
            </w:r>
            <w:r>
              <w:rPr>
                <w:rFonts w:hint="eastAsia" w:ascii="Times New Roman" w:hAnsi="Times New Roman" w:eastAsia="宋体" w:cs="Times New Roman"/>
                <w:b/>
                <w:bCs/>
                <w:color w:val="auto"/>
                <w:kern w:val="2"/>
                <w:sz w:val="21"/>
                <w:szCs w:val="21"/>
                <w:highlight w:val="none"/>
                <w:lang w:val="en-US" w:eastAsia="zh-CN" w:bidi="ar-SA"/>
              </w:rPr>
              <w:t>《河北省生态环境管控单元更新成果（2023版）》</w:t>
            </w:r>
            <w:r>
              <w:rPr>
                <w:rFonts w:hint="eastAsia" w:ascii="Times New Roman" w:hAnsi="Times New Roman" w:eastAsia="宋体" w:cs="Times New Roman"/>
                <w:b/>
                <w:bCs/>
                <w:color w:val="auto"/>
                <w:kern w:val="0"/>
                <w:sz w:val="21"/>
                <w:szCs w:val="21"/>
                <w:highlight w:val="none"/>
                <w:lang w:val="en-US" w:eastAsia="zh-CN" w:bidi="ar-SA"/>
              </w:rPr>
              <w:t>符合性分析</w:t>
            </w:r>
          </w:p>
          <w:tbl>
            <w:tblPr>
              <w:tblStyle w:val="25"/>
              <w:tblW w:w="4997"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28" w:type="dxa"/>
                <w:bottom w:w="0" w:type="dxa"/>
                <w:right w:w="28" w:type="dxa"/>
              </w:tblCellMar>
            </w:tblPr>
            <w:tblGrid>
              <w:gridCol w:w="661"/>
              <w:gridCol w:w="1362"/>
              <w:gridCol w:w="2591"/>
              <w:gridCol w:w="1692"/>
              <w:gridCol w:w="518"/>
            </w:tblGrid>
            <w:tr w14:paraId="7A6BB5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485" w:type="pct"/>
                  <w:noWrap w:val="0"/>
                  <w:vAlign w:val="center"/>
                </w:tcPr>
                <w:p w14:paraId="004F285D">
                  <w:pPr>
                    <w:spacing w:line="0" w:lineRule="atLeast"/>
                    <w:jc w:val="center"/>
                    <w:rPr>
                      <w:rFonts w:ascii="宋体" w:hAnsi="宋体"/>
                      <w:color w:val="auto"/>
                      <w:spacing w:val="-10"/>
                      <w:sz w:val="21"/>
                      <w:szCs w:val="21"/>
                      <w:highlight w:val="none"/>
                    </w:rPr>
                  </w:pPr>
                  <w:r>
                    <w:rPr>
                      <w:rFonts w:ascii="宋体" w:hAnsi="宋体"/>
                      <w:color w:val="auto"/>
                      <w:spacing w:val="-10"/>
                      <w:sz w:val="21"/>
                      <w:szCs w:val="21"/>
                      <w:highlight w:val="none"/>
                    </w:rPr>
                    <w:t>类型</w:t>
                  </w:r>
                </w:p>
              </w:tc>
              <w:tc>
                <w:tcPr>
                  <w:tcW w:w="997" w:type="pct"/>
                  <w:noWrap w:val="0"/>
                  <w:vAlign w:val="center"/>
                </w:tcPr>
                <w:p w14:paraId="009BEDB4">
                  <w:pPr>
                    <w:spacing w:line="0" w:lineRule="atLeast"/>
                    <w:jc w:val="center"/>
                    <w:rPr>
                      <w:rFonts w:ascii="宋体" w:hAnsi="宋体"/>
                      <w:color w:val="auto"/>
                      <w:spacing w:val="-10"/>
                      <w:sz w:val="21"/>
                      <w:szCs w:val="21"/>
                      <w:highlight w:val="none"/>
                    </w:rPr>
                  </w:pPr>
                  <w:r>
                    <w:rPr>
                      <w:rFonts w:hint="eastAsia" w:ascii="宋体" w:hAnsi="宋体"/>
                      <w:color w:val="auto"/>
                      <w:spacing w:val="-10"/>
                      <w:sz w:val="21"/>
                      <w:szCs w:val="21"/>
                      <w:highlight w:val="none"/>
                    </w:rPr>
                    <w:t>管控单元编码</w:t>
                  </w:r>
                </w:p>
              </w:tc>
              <w:tc>
                <w:tcPr>
                  <w:tcW w:w="1897" w:type="pct"/>
                  <w:noWrap w:val="0"/>
                  <w:vAlign w:val="center"/>
                </w:tcPr>
                <w:p w14:paraId="1D122EB8">
                  <w:pPr>
                    <w:spacing w:line="0" w:lineRule="atLeast"/>
                    <w:jc w:val="center"/>
                    <w:rPr>
                      <w:rFonts w:ascii="宋体" w:hAnsi="宋体"/>
                      <w:color w:val="auto"/>
                      <w:spacing w:val="-10"/>
                      <w:sz w:val="21"/>
                      <w:szCs w:val="21"/>
                      <w:highlight w:val="none"/>
                    </w:rPr>
                  </w:pPr>
                  <w:r>
                    <w:rPr>
                      <w:rFonts w:ascii="宋体" w:hAnsi="宋体"/>
                      <w:color w:val="auto"/>
                      <w:spacing w:val="-10"/>
                      <w:sz w:val="21"/>
                      <w:szCs w:val="21"/>
                      <w:highlight w:val="none"/>
                    </w:rPr>
                    <w:t>管控要求</w:t>
                  </w:r>
                </w:p>
              </w:tc>
              <w:tc>
                <w:tcPr>
                  <w:tcW w:w="1239" w:type="pct"/>
                  <w:noWrap w:val="0"/>
                  <w:vAlign w:val="center"/>
                </w:tcPr>
                <w:p w14:paraId="29E2B840">
                  <w:pPr>
                    <w:spacing w:line="0" w:lineRule="atLeast"/>
                    <w:jc w:val="center"/>
                    <w:rPr>
                      <w:rFonts w:ascii="宋体" w:hAnsi="宋体"/>
                      <w:color w:val="auto"/>
                      <w:spacing w:val="-10"/>
                      <w:sz w:val="21"/>
                      <w:szCs w:val="21"/>
                      <w:highlight w:val="none"/>
                    </w:rPr>
                  </w:pPr>
                  <w:r>
                    <w:rPr>
                      <w:rFonts w:ascii="宋体" w:hAnsi="宋体"/>
                      <w:color w:val="auto"/>
                      <w:spacing w:val="-10"/>
                      <w:sz w:val="21"/>
                      <w:szCs w:val="21"/>
                      <w:highlight w:val="none"/>
                    </w:rPr>
                    <w:t>项目相关内容</w:t>
                  </w:r>
                </w:p>
              </w:tc>
              <w:tc>
                <w:tcPr>
                  <w:tcW w:w="379" w:type="pct"/>
                  <w:noWrap w:val="0"/>
                  <w:vAlign w:val="center"/>
                </w:tcPr>
                <w:p w14:paraId="2179C9BE">
                  <w:pPr>
                    <w:spacing w:line="0" w:lineRule="atLeast"/>
                    <w:jc w:val="center"/>
                    <w:rPr>
                      <w:rFonts w:ascii="宋体" w:hAnsi="宋体"/>
                      <w:color w:val="auto"/>
                      <w:spacing w:val="-10"/>
                      <w:sz w:val="21"/>
                      <w:szCs w:val="21"/>
                      <w:highlight w:val="none"/>
                    </w:rPr>
                  </w:pPr>
                  <w:r>
                    <w:rPr>
                      <w:rFonts w:ascii="宋体" w:hAnsi="宋体"/>
                      <w:color w:val="auto"/>
                      <w:spacing w:val="-10"/>
                      <w:sz w:val="21"/>
                      <w:szCs w:val="21"/>
                      <w:highlight w:val="none"/>
                    </w:rPr>
                    <w:t>对比</w:t>
                  </w:r>
                </w:p>
                <w:p w14:paraId="7699E88E">
                  <w:pPr>
                    <w:spacing w:line="0" w:lineRule="atLeast"/>
                    <w:jc w:val="center"/>
                    <w:rPr>
                      <w:rFonts w:ascii="宋体" w:hAnsi="宋体"/>
                      <w:color w:val="auto"/>
                      <w:spacing w:val="-10"/>
                      <w:sz w:val="21"/>
                      <w:szCs w:val="21"/>
                      <w:highlight w:val="none"/>
                    </w:rPr>
                  </w:pPr>
                  <w:r>
                    <w:rPr>
                      <w:rFonts w:ascii="宋体" w:hAnsi="宋体"/>
                      <w:color w:val="auto"/>
                      <w:spacing w:val="-10"/>
                      <w:sz w:val="21"/>
                      <w:szCs w:val="21"/>
                      <w:highlight w:val="none"/>
                    </w:rPr>
                    <w:t>结果</w:t>
                  </w:r>
                </w:p>
              </w:tc>
            </w:tr>
            <w:tr w14:paraId="1E0129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634" w:hRule="atLeast"/>
                <w:jc w:val="center"/>
              </w:trPr>
              <w:tc>
                <w:tcPr>
                  <w:tcW w:w="485" w:type="pct"/>
                  <w:noWrap w:val="0"/>
                  <w:vAlign w:val="center"/>
                </w:tcPr>
                <w:p w14:paraId="2B464CE5">
                  <w:pPr>
                    <w:autoSpaceDE w:val="0"/>
                    <w:autoSpaceDN w:val="0"/>
                    <w:adjustRightInd w:val="0"/>
                    <w:spacing w:line="0" w:lineRule="atLeast"/>
                    <w:jc w:val="left"/>
                    <w:rPr>
                      <w:rFonts w:hint="eastAsia" w:ascii="Times New Roman" w:hAnsi="宋体" w:eastAsia="宋体" w:cs="Times New Roman"/>
                      <w:color w:val="auto"/>
                      <w:spacing w:val="-10"/>
                      <w:kern w:val="0"/>
                      <w:sz w:val="21"/>
                      <w:szCs w:val="21"/>
                      <w:highlight w:val="none"/>
                    </w:rPr>
                  </w:pPr>
                  <w:r>
                    <w:rPr>
                      <w:rFonts w:hint="eastAsia" w:ascii="Times New Roman" w:hAnsi="宋体" w:eastAsia="宋体" w:cs="Times New Roman"/>
                      <w:color w:val="auto"/>
                      <w:spacing w:val="-10"/>
                      <w:kern w:val="0"/>
                      <w:sz w:val="21"/>
                      <w:szCs w:val="21"/>
                      <w:highlight w:val="none"/>
                    </w:rPr>
                    <w:t>空间布局约束</w:t>
                  </w:r>
                </w:p>
              </w:tc>
              <w:tc>
                <w:tcPr>
                  <w:tcW w:w="997" w:type="pct"/>
                  <w:vMerge w:val="restart"/>
                  <w:noWrap w:val="0"/>
                  <w:vAlign w:val="center"/>
                </w:tcPr>
                <w:p w14:paraId="7A2F67CC">
                  <w:pPr>
                    <w:autoSpaceDE w:val="0"/>
                    <w:autoSpaceDN w:val="0"/>
                    <w:adjustRightInd w:val="0"/>
                    <w:spacing w:line="0" w:lineRule="atLeast"/>
                    <w:jc w:val="left"/>
                    <w:rPr>
                      <w:rFonts w:hint="default" w:ascii="Times New Roman" w:hAnsi="宋体" w:eastAsia="宋体" w:cs="Times New Roman"/>
                      <w:color w:val="auto"/>
                      <w:spacing w:val="-10"/>
                      <w:kern w:val="0"/>
                      <w:sz w:val="21"/>
                      <w:szCs w:val="21"/>
                      <w:highlight w:val="none"/>
                      <w:lang w:val="en-US" w:eastAsia="zh-CN"/>
                    </w:rPr>
                  </w:pPr>
                  <w:r>
                    <w:rPr>
                      <w:rFonts w:ascii="Times New Roman" w:hAnsi="宋体" w:eastAsia="宋体" w:cs="Times New Roman"/>
                      <w:color w:val="auto"/>
                      <w:spacing w:val="-10"/>
                      <w:kern w:val="0"/>
                      <w:sz w:val="21"/>
                      <w:szCs w:val="21"/>
                      <w:highlight w:val="none"/>
                    </w:rPr>
                    <w:t>ZH13010920038</w:t>
                  </w:r>
                </w:p>
              </w:tc>
              <w:tc>
                <w:tcPr>
                  <w:tcW w:w="1897" w:type="pct"/>
                  <w:noWrap w:val="0"/>
                  <w:vAlign w:val="center"/>
                </w:tcPr>
                <w:p w14:paraId="0038E164">
                  <w:pPr>
                    <w:spacing w:line="0" w:lineRule="atLeast"/>
                    <w:jc w:val="center"/>
                    <w:rPr>
                      <w:rFonts w:hint="eastAsia" w:ascii="宋体" w:hAnsi="宋体" w:eastAsia="宋体"/>
                      <w:color w:val="auto"/>
                      <w:spacing w:val="-10"/>
                      <w:kern w:val="0"/>
                      <w:sz w:val="21"/>
                      <w:szCs w:val="21"/>
                      <w:highlight w:val="none"/>
                      <w:lang w:val="en-US" w:eastAsia="zh-CN" w:bidi="ar-SA"/>
                    </w:rPr>
                  </w:pPr>
                  <w:r>
                    <w:rPr>
                      <w:rFonts w:hint="eastAsia" w:ascii="宋体" w:hAnsi="宋体" w:cs="宋体"/>
                      <w:color w:val="auto"/>
                      <w:spacing w:val="-10"/>
                      <w:kern w:val="0"/>
                      <w:sz w:val="21"/>
                      <w:szCs w:val="21"/>
                      <w:highlight w:val="none"/>
                      <w:lang w:val="en-US" w:eastAsia="zh-CN"/>
                    </w:rPr>
                    <w:t>-</w:t>
                  </w:r>
                </w:p>
              </w:tc>
              <w:tc>
                <w:tcPr>
                  <w:tcW w:w="1239" w:type="pct"/>
                  <w:noWrap w:val="0"/>
                  <w:vAlign w:val="center"/>
                </w:tcPr>
                <w:p w14:paraId="08FF6F6B">
                  <w:pPr>
                    <w:spacing w:line="0" w:lineRule="atLeast"/>
                    <w:jc w:val="center"/>
                    <w:rPr>
                      <w:rFonts w:ascii="宋体" w:hAnsi="宋体"/>
                      <w:color w:val="auto"/>
                      <w:spacing w:val="-10"/>
                      <w:sz w:val="21"/>
                      <w:szCs w:val="21"/>
                      <w:highlight w:val="none"/>
                    </w:rPr>
                  </w:pPr>
                  <w:r>
                    <w:rPr>
                      <w:rFonts w:hint="eastAsia" w:ascii="宋体" w:hAnsi="宋体" w:cs="宋体"/>
                      <w:color w:val="auto"/>
                      <w:spacing w:val="-10"/>
                      <w:kern w:val="0"/>
                      <w:sz w:val="21"/>
                      <w:szCs w:val="21"/>
                      <w:highlight w:val="none"/>
                      <w:lang w:val="en-US" w:eastAsia="zh-CN"/>
                    </w:rPr>
                    <w:t>-</w:t>
                  </w:r>
                </w:p>
              </w:tc>
              <w:tc>
                <w:tcPr>
                  <w:tcW w:w="379" w:type="pct"/>
                  <w:noWrap w:val="0"/>
                  <w:vAlign w:val="center"/>
                </w:tcPr>
                <w:p w14:paraId="3E4DD6C8">
                  <w:pPr>
                    <w:spacing w:line="0" w:lineRule="atLeast"/>
                    <w:jc w:val="center"/>
                    <w:rPr>
                      <w:rFonts w:ascii="宋体" w:hAnsi="宋体"/>
                      <w:color w:val="auto"/>
                      <w:spacing w:val="-10"/>
                      <w:sz w:val="21"/>
                      <w:szCs w:val="21"/>
                      <w:highlight w:val="none"/>
                    </w:rPr>
                  </w:pPr>
                  <w:r>
                    <w:rPr>
                      <w:rFonts w:hint="eastAsia" w:ascii="宋体" w:hAnsi="宋体" w:cs="宋体"/>
                      <w:color w:val="auto"/>
                      <w:spacing w:val="-10"/>
                      <w:kern w:val="0"/>
                      <w:sz w:val="21"/>
                      <w:szCs w:val="21"/>
                      <w:highlight w:val="none"/>
                      <w:lang w:val="en-US" w:eastAsia="zh-CN"/>
                    </w:rPr>
                    <w:t>-</w:t>
                  </w:r>
                </w:p>
              </w:tc>
            </w:tr>
            <w:tr w14:paraId="20CF69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1042" w:hRule="atLeast"/>
                <w:jc w:val="center"/>
              </w:trPr>
              <w:tc>
                <w:tcPr>
                  <w:tcW w:w="485" w:type="pct"/>
                  <w:noWrap w:val="0"/>
                  <w:vAlign w:val="center"/>
                </w:tcPr>
                <w:p w14:paraId="73B63C6C">
                  <w:pPr>
                    <w:spacing w:line="0" w:lineRule="atLeast"/>
                    <w:jc w:val="center"/>
                    <w:rPr>
                      <w:rFonts w:ascii="宋体" w:hAnsi="宋体"/>
                      <w:color w:val="auto"/>
                      <w:spacing w:val="-10"/>
                      <w:sz w:val="21"/>
                      <w:szCs w:val="21"/>
                      <w:highlight w:val="none"/>
                    </w:rPr>
                  </w:pPr>
                  <w:r>
                    <w:rPr>
                      <w:rFonts w:hint="eastAsia" w:ascii="宋体" w:hAnsi="宋体"/>
                      <w:color w:val="auto"/>
                      <w:spacing w:val="-10"/>
                      <w:sz w:val="21"/>
                      <w:szCs w:val="21"/>
                      <w:highlight w:val="none"/>
                    </w:rPr>
                    <w:t>污染物排放管控</w:t>
                  </w:r>
                </w:p>
              </w:tc>
              <w:tc>
                <w:tcPr>
                  <w:tcW w:w="997" w:type="pct"/>
                  <w:vMerge w:val="continue"/>
                  <w:noWrap w:val="0"/>
                  <w:vAlign w:val="center"/>
                </w:tcPr>
                <w:p w14:paraId="508B6775">
                  <w:pPr>
                    <w:spacing w:line="0" w:lineRule="atLeast"/>
                    <w:jc w:val="center"/>
                    <w:rPr>
                      <w:rFonts w:ascii="宋体" w:hAnsi="宋体"/>
                      <w:color w:val="auto"/>
                      <w:spacing w:val="-10"/>
                      <w:sz w:val="21"/>
                      <w:szCs w:val="21"/>
                      <w:highlight w:val="none"/>
                    </w:rPr>
                  </w:pPr>
                </w:p>
              </w:tc>
              <w:tc>
                <w:tcPr>
                  <w:tcW w:w="1897" w:type="pct"/>
                  <w:noWrap w:val="0"/>
                  <w:vAlign w:val="center"/>
                </w:tcPr>
                <w:p w14:paraId="043D7148">
                  <w:pPr>
                    <w:spacing w:line="0" w:lineRule="atLeast"/>
                    <w:jc w:val="both"/>
                    <w:rPr>
                      <w:rFonts w:hint="default" w:ascii="Times New Roman" w:hAnsi="Times New Roman" w:eastAsia="宋体" w:cs="Times New Roman"/>
                      <w:color w:val="auto"/>
                      <w:spacing w:val="-10"/>
                      <w:kern w:val="0"/>
                      <w:sz w:val="21"/>
                      <w:szCs w:val="21"/>
                      <w:highlight w:val="none"/>
                      <w:lang w:val="en-US" w:eastAsia="zh-CN"/>
                    </w:rPr>
                  </w:pPr>
                  <w:r>
                    <w:rPr>
                      <w:rFonts w:hint="default" w:ascii="Times New Roman" w:hAnsi="Times New Roman" w:eastAsia="宋体" w:cs="Times New Roman"/>
                      <w:color w:val="auto"/>
                      <w:spacing w:val="-10"/>
                      <w:kern w:val="0"/>
                      <w:sz w:val="21"/>
                      <w:szCs w:val="21"/>
                      <w:highlight w:val="none"/>
                      <w:lang w:val="en-US" w:eastAsia="zh-CN"/>
                    </w:rPr>
                    <w:br w:type="textWrapping"/>
                  </w:r>
                  <w:r>
                    <w:rPr>
                      <w:rFonts w:hint="default" w:ascii="Times New Roman" w:hAnsi="Times New Roman" w:eastAsia="宋体" w:cs="Times New Roman"/>
                      <w:color w:val="auto"/>
                      <w:spacing w:val="-10"/>
                      <w:kern w:val="0"/>
                      <w:sz w:val="21"/>
                      <w:szCs w:val="21"/>
                      <w:highlight w:val="none"/>
                      <w:lang w:val="en-US" w:eastAsia="zh-CN"/>
                    </w:rPr>
                    <w:t xml:space="preserve">1、水泥企业完成固定源超低排放改造。 </w:t>
                  </w:r>
                </w:p>
                <w:p w14:paraId="7692364B">
                  <w:pPr>
                    <w:spacing w:line="0" w:lineRule="atLeast"/>
                    <w:jc w:val="both"/>
                    <w:rPr>
                      <w:rFonts w:hint="default" w:ascii="Times New Roman" w:hAnsi="Times New Roman" w:eastAsia="宋体" w:cs="Times New Roman"/>
                      <w:color w:val="auto"/>
                      <w:spacing w:val="-10"/>
                      <w:kern w:val="0"/>
                      <w:sz w:val="21"/>
                      <w:szCs w:val="21"/>
                      <w:highlight w:val="none"/>
                      <w:lang w:val="en-US" w:eastAsia="zh-CN"/>
                    </w:rPr>
                  </w:pPr>
                  <w:r>
                    <w:rPr>
                      <w:rFonts w:hint="default" w:ascii="Times New Roman" w:hAnsi="Times New Roman" w:eastAsia="宋体" w:cs="Times New Roman"/>
                      <w:color w:val="auto"/>
                      <w:spacing w:val="-10"/>
                      <w:kern w:val="0"/>
                      <w:sz w:val="21"/>
                      <w:szCs w:val="21"/>
                      <w:highlight w:val="none"/>
                      <w:lang w:val="en-US" w:eastAsia="zh-CN"/>
                    </w:rPr>
                    <w:t>2、新（改、扩）建向环境水体直接排放污水的排污单位执行《子牙河流域水污染物排 放标准》（DB13/2796-2018）排放限值。</w:t>
                  </w:r>
                </w:p>
              </w:tc>
              <w:tc>
                <w:tcPr>
                  <w:tcW w:w="1239" w:type="pct"/>
                  <w:noWrap w:val="0"/>
                  <w:vAlign w:val="center"/>
                </w:tcPr>
                <w:p w14:paraId="74C6FB98">
                  <w:pPr>
                    <w:spacing w:line="0" w:lineRule="atLeast"/>
                    <w:jc w:val="left"/>
                    <w:rPr>
                      <w:rFonts w:hint="default" w:ascii="Times New Roman" w:hAnsi="Times New Roman" w:cs="Times New Roman"/>
                      <w:color w:val="auto"/>
                      <w:spacing w:val="-10"/>
                      <w:sz w:val="21"/>
                      <w:szCs w:val="21"/>
                      <w:highlight w:val="none"/>
                    </w:rPr>
                  </w:pPr>
                  <w:r>
                    <w:rPr>
                      <w:rFonts w:hint="default" w:ascii="Times New Roman" w:hAnsi="Times New Roman" w:eastAsia="宋体" w:cs="Times New Roman"/>
                      <w:color w:val="auto"/>
                      <w:spacing w:val="-10"/>
                      <w:kern w:val="0"/>
                      <w:sz w:val="21"/>
                      <w:szCs w:val="21"/>
                      <w:highlight w:val="none"/>
                    </w:rPr>
                    <w:t>①</w:t>
                  </w:r>
                  <w:r>
                    <w:rPr>
                      <w:rFonts w:hint="eastAsia" w:ascii="Times New Roman" w:hAnsi="Times New Roman" w:eastAsia="宋体" w:cs="Times New Roman"/>
                      <w:color w:val="auto"/>
                      <w:spacing w:val="-10"/>
                      <w:sz w:val="21"/>
                      <w:szCs w:val="21"/>
                      <w:highlight w:val="none"/>
                      <w:lang w:val="en-US" w:eastAsia="zh-CN"/>
                    </w:rPr>
                    <w:t>本项目不涉及</w:t>
                  </w:r>
                  <w:r>
                    <w:rPr>
                      <w:rFonts w:hint="default" w:ascii="Times New Roman" w:hAnsi="Times New Roman" w:cs="Times New Roman"/>
                      <w:color w:val="auto"/>
                      <w:spacing w:val="-10"/>
                      <w:sz w:val="21"/>
                      <w:szCs w:val="21"/>
                      <w:highlight w:val="none"/>
                    </w:rPr>
                    <w:t>。</w:t>
                  </w:r>
                </w:p>
                <w:p w14:paraId="042573E0">
                  <w:pPr>
                    <w:spacing w:line="0" w:lineRule="atLeast"/>
                    <w:jc w:val="left"/>
                    <w:rPr>
                      <w:rFonts w:hint="eastAsia" w:ascii="宋体" w:hAnsi="宋体"/>
                      <w:color w:val="auto"/>
                      <w:spacing w:val="-10"/>
                      <w:sz w:val="21"/>
                      <w:szCs w:val="21"/>
                      <w:highlight w:val="none"/>
                    </w:rPr>
                  </w:pPr>
                  <w:r>
                    <w:rPr>
                      <w:rFonts w:hint="default" w:ascii="Times New Roman" w:hAnsi="Times New Roman" w:eastAsia="宋体" w:cs="Times New Roman"/>
                      <w:color w:val="auto"/>
                      <w:spacing w:val="-10"/>
                      <w:kern w:val="0"/>
                      <w:sz w:val="21"/>
                      <w:szCs w:val="21"/>
                      <w:highlight w:val="none"/>
                    </w:rPr>
                    <w:t>②</w:t>
                  </w:r>
                  <w:r>
                    <w:rPr>
                      <w:rFonts w:hint="eastAsia" w:ascii="Times New Roman" w:hAnsi="Times New Roman" w:eastAsia="宋体" w:cs="Times New Roman"/>
                      <w:color w:val="auto"/>
                      <w:spacing w:val="-10"/>
                      <w:kern w:val="0"/>
                      <w:sz w:val="21"/>
                      <w:szCs w:val="21"/>
                      <w:highlight w:val="none"/>
                      <w:lang w:val="en-US" w:eastAsia="zh-CN"/>
                    </w:rPr>
                    <w:t>本</w:t>
                  </w:r>
                  <w:r>
                    <w:rPr>
                      <w:rFonts w:hint="default" w:ascii="Times New Roman" w:hAnsi="Times New Roman" w:eastAsia="宋体" w:cs="Times New Roman"/>
                      <w:color w:val="auto"/>
                      <w:spacing w:val="-10"/>
                      <w:kern w:val="0"/>
                      <w:sz w:val="21"/>
                      <w:szCs w:val="21"/>
                      <w:highlight w:val="none"/>
                      <w:lang w:eastAsia="zh-CN"/>
                    </w:rPr>
                    <w:t>项目废水</w:t>
                  </w:r>
                  <w:r>
                    <w:rPr>
                      <w:rFonts w:hint="eastAsia" w:ascii="Times New Roman" w:hAnsi="Times New Roman" w:cs="Times New Roman"/>
                      <w:color w:val="auto"/>
                      <w:spacing w:val="-10"/>
                      <w:sz w:val="21"/>
                      <w:szCs w:val="21"/>
                      <w:highlight w:val="none"/>
                      <w:lang w:val="en-US" w:eastAsia="zh-CN"/>
                    </w:rPr>
                    <w:t>经厂区污水处理站处理，达标后</w:t>
                  </w:r>
                  <w:r>
                    <w:rPr>
                      <w:rFonts w:hint="default" w:ascii="Times New Roman" w:hAnsi="Times New Roman" w:eastAsia="宋体" w:cs="Times New Roman"/>
                      <w:color w:val="auto"/>
                      <w:spacing w:val="0"/>
                      <w:w w:val="100"/>
                      <w:position w:val="0"/>
                      <w:sz w:val="21"/>
                      <w:szCs w:val="21"/>
                      <w:highlight w:val="none"/>
                      <w:lang w:val="en-US" w:eastAsia="zh-CN"/>
                    </w:rPr>
                    <w:t>排入良村南污水处理厂</w:t>
                  </w:r>
                  <w:r>
                    <w:rPr>
                      <w:rFonts w:hint="eastAsia" w:ascii="Times New Roman" w:hAnsi="Times New Roman" w:eastAsia="宋体" w:cs="Times New Roman"/>
                      <w:color w:val="auto"/>
                      <w:spacing w:val="0"/>
                      <w:w w:val="100"/>
                      <w:position w:val="0"/>
                      <w:sz w:val="21"/>
                      <w:szCs w:val="21"/>
                      <w:highlight w:val="none"/>
                      <w:lang w:val="en-US" w:eastAsia="zh-CN"/>
                    </w:rPr>
                    <w:t>，不涉及直接排放</w:t>
                  </w:r>
                  <w:r>
                    <w:rPr>
                      <w:rFonts w:hint="eastAsia" w:ascii="Times New Roman" w:hAnsi="Times New Roman" w:eastAsia="宋体" w:cs="Times New Roman"/>
                      <w:color w:val="auto"/>
                      <w:spacing w:val="-10"/>
                      <w:kern w:val="0"/>
                      <w:sz w:val="21"/>
                      <w:szCs w:val="21"/>
                      <w:highlight w:val="none"/>
                      <w:lang w:eastAsia="zh-CN"/>
                    </w:rPr>
                    <w:t>。</w:t>
                  </w:r>
                </w:p>
              </w:tc>
              <w:tc>
                <w:tcPr>
                  <w:tcW w:w="379" w:type="pct"/>
                  <w:noWrap w:val="0"/>
                  <w:vAlign w:val="center"/>
                </w:tcPr>
                <w:p w14:paraId="323BD018">
                  <w:pPr>
                    <w:spacing w:line="0" w:lineRule="atLeast"/>
                    <w:jc w:val="center"/>
                    <w:rPr>
                      <w:rFonts w:hint="eastAsia" w:ascii="宋体" w:hAnsi="宋体" w:eastAsia="宋体"/>
                      <w:color w:val="auto"/>
                      <w:spacing w:val="-10"/>
                      <w:sz w:val="21"/>
                      <w:szCs w:val="21"/>
                      <w:highlight w:val="none"/>
                      <w:lang w:eastAsia="zh-CN"/>
                    </w:rPr>
                  </w:pPr>
                  <w:r>
                    <w:rPr>
                      <w:rFonts w:hint="eastAsia" w:hAnsi="宋体"/>
                      <w:color w:val="auto"/>
                      <w:spacing w:val="-10"/>
                      <w:sz w:val="21"/>
                      <w:szCs w:val="21"/>
                      <w:highlight w:val="none"/>
                      <w:lang w:val="en-US" w:eastAsia="zh-CN"/>
                    </w:rPr>
                    <w:t>不涉及</w:t>
                  </w:r>
                </w:p>
              </w:tc>
            </w:tr>
            <w:tr w14:paraId="61F930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401" w:hRule="atLeast"/>
                <w:jc w:val="center"/>
              </w:trPr>
              <w:tc>
                <w:tcPr>
                  <w:tcW w:w="485" w:type="pct"/>
                  <w:noWrap w:val="0"/>
                  <w:vAlign w:val="center"/>
                </w:tcPr>
                <w:p w14:paraId="097D409F">
                  <w:pPr>
                    <w:spacing w:line="0" w:lineRule="atLeast"/>
                    <w:jc w:val="center"/>
                    <w:rPr>
                      <w:rFonts w:ascii="宋体" w:hAnsi="宋体"/>
                      <w:color w:val="auto"/>
                      <w:spacing w:val="-10"/>
                      <w:sz w:val="21"/>
                      <w:szCs w:val="21"/>
                      <w:highlight w:val="none"/>
                    </w:rPr>
                  </w:pPr>
                  <w:r>
                    <w:rPr>
                      <w:rFonts w:hint="eastAsia" w:ascii="宋体" w:hAnsi="宋体"/>
                      <w:color w:val="auto"/>
                      <w:spacing w:val="-10"/>
                      <w:sz w:val="21"/>
                      <w:szCs w:val="21"/>
                      <w:highlight w:val="none"/>
                    </w:rPr>
                    <w:t>环境风险防控</w:t>
                  </w:r>
                </w:p>
              </w:tc>
              <w:tc>
                <w:tcPr>
                  <w:tcW w:w="997" w:type="pct"/>
                  <w:vMerge w:val="continue"/>
                  <w:noWrap w:val="0"/>
                  <w:vAlign w:val="center"/>
                </w:tcPr>
                <w:p w14:paraId="4FBD82A6">
                  <w:pPr>
                    <w:spacing w:line="0" w:lineRule="atLeast"/>
                    <w:jc w:val="center"/>
                    <w:rPr>
                      <w:rFonts w:ascii="宋体" w:hAnsi="宋体"/>
                      <w:color w:val="auto"/>
                      <w:spacing w:val="-10"/>
                      <w:sz w:val="21"/>
                      <w:szCs w:val="21"/>
                      <w:highlight w:val="none"/>
                    </w:rPr>
                  </w:pPr>
                </w:p>
              </w:tc>
              <w:tc>
                <w:tcPr>
                  <w:tcW w:w="1897" w:type="pct"/>
                  <w:noWrap w:val="0"/>
                  <w:vAlign w:val="center"/>
                </w:tcPr>
                <w:p w14:paraId="53E7D31D">
                  <w:pPr>
                    <w:spacing w:line="0" w:lineRule="atLeast"/>
                    <w:jc w:val="center"/>
                    <w:rPr>
                      <w:rFonts w:hint="eastAsia" w:ascii="Times New Roman" w:hAnsi="Times New Roman" w:eastAsia="宋体" w:cs="Times New Roman"/>
                      <w:color w:val="auto"/>
                      <w:spacing w:val="-10"/>
                      <w:kern w:val="0"/>
                      <w:sz w:val="21"/>
                      <w:szCs w:val="21"/>
                      <w:highlight w:val="none"/>
                      <w:lang w:val="en-US" w:eastAsia="zh-CN"/>
                    </w:rPr>
                  </w:pPr>
                  <w:r>
                    <w:rPr>
                      <w:rFonts w:hint="eastAsia" w:ascii="宋体" w:hAnsi="宋体" w:cs="宋体"/>
                      <w:color w:val="auto"/>
                      <w:spacing w:val="-10"/>
                      <w:kern w:val="0"/>
                      <w:sz w:val="21"/>
                      <w:szCs w:val="21"/>
                      <w:highlight w:val="none"/>
                      <w:lang w:val="en-US" w:eastAsia="zh-CN"/>
                    </w:rPr>
                    <w:t>-</w:t>
                  </w:r>
                </w:p>
              </w:tc>
              <w:tc>
                <w:tcPr>
                  <w:tcW w:w="1239" w:type="pct"/>
                  <w:noWrap w:val="0"/>
                  <w:vAlign w:val="center"/>
                </w:tcPr>
                <w:p w14:paraId="31BCC368">
                  <w:pPr>
                    <w:spacing w:line="0" w:lineRule="atLeast"/>
                    <w:jc w:val="center"/>
                    <w:rPr>
                      <w:rFonts w:hint="eastAsia" w:ascii="宋体" w:hAnsi="宋体" w:eastAsia="宋体" w:cs="宋体"/>
                      <w:color w:val="auto"/>
                      <w:spacing w:val="-10"/>
                      <w:sz w:val="21"/>
                      <w:szCs w:val="21"/>
                      <w:highlight w:val="none"/>
                      <w:lang w:eastAsia="zh-CN"/>
                    </w:rPr>
                  </w:pPr>
                  <w:r>
                    <w:rPr>
                      <w:rFonts w:hint="eastAsia" w:ascii="宋体" w:hAnsi="宋体" w:cs="宋体"/>
                      <w:color w:val="auto"/>
                      <w:spacing w:val="-10"/>
                      <w:kern w:val="0"/>
                      <w:sz w:val="21"/>
                      <w:szCs w:val="21"/>
                      <w:highlight w:val="none"/>
                      <w:lang w:val="en-US" w:eastAsia="zh-CN"/>
                    </w:rPr>
                    <w:t>-</w:t>
                  </w:r>
                </w:p>
              </w:tc>
              <w:tc>
                <w:tcPr>
                  <w:tcW w:w="379" w:type="pct"/>
                  <w:noWrap w:val="0"/>
                  <w:vAlign w:val="center"/>
                </w:tcPr>
                <w:p w14:paraId="1767659D">
                  <w:pPr>
                    <w:spacing w:line="0" w:lineRule="atLeast"/>
                    <w:jc w:val="center"/>
                    <w:rPr>
                      <w:rFonts w:ascii="宋体" w:hAnsi="宋体"/>
                      <w:color w:val="auto"/>
                      <w:spacing w:val="-10"/>
                      <w:sz w:val="21"/>
                      <w:szCs w:val="21"/>
                      <w:highlight w:val="none"/>
                    </w:rPr>
                  </w:pPr>
                  <w:r>
                    <w:rPr>
                      <w:rFonts w:hint="eastAsia" w:ascii="宋体" w:hAnsi="宋体" w:cs="宋体"/>
                      <w:color w:val="auto"/>
                      <w:spacing w:val="-10"/>
                      <w:kern w:val="0"/>
                      <w:sz w:val="21"/>
                      <w:szCs w:val="21"/>
                      <w:highlight w:val="none"/>
                      <w:lang w:val="en-US" w:eastAsia="zh-CN"/>
                    </w:rPr>
                    <w:t>-</w:t>
                  </w:r>
                </w:p>
              </w:tc>
            </w:tr>
            <w:tr w14:paraId="0D81D9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28" w:type="dxa"/>
                  <w:bottom w:w="0" w:type="dxa"/>
                  <w:right w:w="28" w:type="dxa"/>
                </w:tblCellMar>
              </w:tblPrEx>
              <w:trPr>
                <w:trHeight w:val="569" w:hRule="atLeast"/>
                <w:jc w:val="center"/>
              </w:trPr>
              <w:tc>
                <w:tcPr>
                  <w:tcW w:w="485" w:type="pct"/>
                  <w:noWrap w:val="0"/>
                  <w:vAlign w:val="center"/>
                </w:tcPr>
                <w:p w14:paraId="3E37075F">
                  <w:pPr>
                    <w:spacing w:line="0" w:lineRule="atLeast"/>
                    <w:jc w:val="center"/>
                    <w:rPr>
                      <w:rFonts w:ascii="宋体" w:hAnsi="宋体"/>
                      <w:color w:val="auto"/>
                      <w:spacing w:val="-10"/>
                      <w:sz w:val="21"/>
                      <w:szCs w:val="21"/>
                      <w:highlight w:val="none"/>
                    </w:rPr>
                  </w:pPr>
                  <w:r>
                    <w:rPr>
                      <w:rFonts w:hint="eastAsia" w:ascii="宋体" w:hAnsi="宋体"/>
                      <w:color w:val="auto"/>
                      <w:spacing w:val="-10"/>
                      <w:sz w:val="21"/>
                      <w:szCs w:val="21"/>
                      <w:highlight w:val="none"/>
                    </w:rPr>
                    <w:t>资源利用效率</w:t>
                  </w:r>
                </w:p>
              </w:tc>
              <w:tc>
                <w:tcPr>
                  <w:tcW w:w="997" w:type="pct"/>
                  <w:vMerge w:val="continue"/>
                  <w:noWrap w:val="0"/>
                  <w:vAlign w:val="center"/>
                </w:tcPr>
                <w:p w14:paraId="26A463F6">
                  <w:pPr>
                    <w:spacing w:line="0" w:lineRule="atLeast"/>
                    <w:jc w:val="center"/>
                    <w:rPr>
                      <w:rFonts w:ascii="宋体" w:hAnsi="宋体"/>
                      <w:color w:val="auto"/>
                      <w:spacing w:val="-10"/>
                      <w:sz w:val="21"/>
                      <w:szCs w:val="21"/>
                      <w:highlight w:val="none"/>
                    </w:rPr>
                  </w:pPr>
                </w:p>
              </w:tc>
              <w:tc>
                <w:tcPr>
                  <w:tcW w:w="1897" w:type="pct"/>
                  <w:noWrap w:val="0"/>
                  <w:vAlign w:val="center"/>
                </w:tcPr>
                <w:p w14:paraId="070D6A0E">
                  <w:pPr>
                    <w:spacing w:line="0" w:lineRule="atLeast"/>
                    <w:jc w:val="both"/>
                    <w:rPr>
                      <w:rFonts w:hint="eastAsia" w:ascii="Times New Roman" w:hAnsi="Times New Roman" w:eastAsia="宋体" w:cs="Times New Roman"/>
                      <w:color w:val="auto"/>
                      <w:spacing w:val="-10"/>
                      <w:kern w:val="0"/>
                      <w:sz w:val="21"/>
                      <w:szCs w:val="21"/>
                      <w:highlight w:val="none"/>
                      <w:lang w:val="en-US" w:eastAsia="zh-CN"/>
                    </w:rPr>
                  </w:pPr>
                  <w:r>
                    <w:rPr>
                      <w:rFonts w:hint="default" w:ascii="Times New Roman" w:hAnsi="Times New Roman" w:eastAsia="宋体" w:cs="Times New Roman"/>
                      <w:color w:val="auto"/>
                      <w:spacing w:val="-10"/>
                      <w:kern w:val="0"/>
                      <w:sz w:val="21"/>
                      <w:szCs w:val="21"/>
                      <w:highlight w:val="none"/>
                      <w:lang w:val="en-US" w:eastAsia="zh-CN"/>
                    </w:rPr>
                    <w:br w:type="textWrapping"/>
                  </w:r>
                  <w:r>
                    <w:rPr>
                      <w:rFonts w:hint="default" w:ascii="Times New Roman" w:hAnsi="Times New Roman" w:eastAsia="宋体" w:cs="Times New Roman"/>
                      <w:color w:val="auto"/>
                      <w:spacing w:val="-10"/>
                      <w:kern w:val="0"/>
                      <w:sz w:val="21"/>
                      <w:szCs w:val="21"/>
                      <w:highlight w:val="none"/>
                      <w:lang w:val="en-US" w:eastAsia="zh-CN"/>
                    </w:rPr>
                    <w:t>1、强化城镇生活节水。</w:t>
                  </w:r>
                </w:p>
              </w:tc>
              <w:tc>
                <w:tcPr>
                  <w:tcW w:w="1239" w:type="pct"/>
                  <w:noWrap w:val="0"/>
                  <w:vAlign w:val="center"/>
                </w:tcPr>
                <w:p w14:paraId="35FE5788">
                  <w:pPr>
                    <w:spacing w:line="0" w:lineRule="atLeast"/>
                    <w:jc w:val="both"/>
                    <w:rPr>
                      <w:rFonts w:hint="eastAsia" w:ascii="宋体" w:hAnsi="宋体" w:cs="宋体"/>
                      <w:color w:val="auto"/>
                      <w:spacing w:val="-10"/>
                      <w:sz w:val="21"/>
                      <w:szCs w:val="21"/>
                      <w:highlight w:val="none"/>
                    </w:rPr>
                  </w:pPr>
                  <w:r>
                    <w:rPr>
                      <w:rFonts w:hint="default" w:ascii="Times New Roman" w:hAnsi="Times New Roman" w:eastAsia="宋体" w:cs="Times New Roman"/>
                      <w:color w:val="auto"/>
                      <w:spacing w:val="-10"/>
                      <w:kern w:val="0"/>
                      <w:sz w:val="21"/>
                      <w:szCs w:val="21"/>
                      <w:highlight w:val="none"/>
                      <w:lang w:val="en-US" w:eastAsia="zh-CN"/>
                    </w:rPr>
                    <w:t>①</w:t>
                  </w:r>
                  <w:r>
                    <w:rPr>
                      <w:rFonts w:hint="eastAsia" w:ascii="Times New Roman" w:hAnsi="Times New Roman" w:eastAsia="宋体" w:cs="Times New Roman"/>
                      <w:color w:val="auto"/>
                      <w:spacing w:val="-10"/>
                      <w:kern w:val="0"/>
                      <w:sz w:val="21"/>
                      <w:szCs w:val="21"/>
                      <w:highlight w:val="none"/>
                      <w:lang w:val="en-US" w:eastAsia="zh-CN"/>
                    </w:rPr>
                    <w:t>本</w:t>
                  </w:r>
                  <w:r>
                    <w:rPr>
                      <w:rFonts w:hint="eastAsia" w:ascii="Times New Roman" w:hAnsi="Times New Roman" w:eastAsia="宋体" w:cs="Times New Roman"/>
                      <w:color w:val="auto"/>
                      <w:spacing w:val="-10"/>
                      <w:sz w:val="21"/>
                      <w:szCs w:val="21"/>
                      <w:highlight w:val="none"/>
                      <w:lang w:val="en-US" w:eastAsia="zh-CN"/>
                    </w:rPr>
                    <w:t>项目严格落实生活节水措施，符合管控单元关于强化城镇生活节水的管控要求。</w:t>
                  </w:r>
                </w:p>
              </w:tc>
              <w:tc>
                <w:tcPr>
                  <w:tcW w:w="379" w:type="pct"/>
                  <w:noWrap w:val="0"/>
                  <w:vAlign w:val="center"/>
                </w:tcPr>
                <w:p w14:paraId="12279131">
                  <w:pPr>
                    <w:spacing w:line="0" w:lineRule="atLeast"/>
                    <w:jc w:val="center"/>
                    <w:rPr>
                      <w:rFonts w:hAnsi="宋体"/>
                      <w:color w:val="auto"/>
                      <w:spacing w:val="-10"/>
                      <w:sz w:val="21"/>
                      <w:szCs w:val="21"/>
                      <w:highlight w:val="none"/>
                    </w:rPr>
                  </w:pPr>
                  <w:r>
                    <w:rPr>
                      <w:rFonts w:hAnsi="宋体"/>
                      <w:color w:val="auto"/>
                      <w:spacing w:val="-10"/>
                      <w:sz w:val="21"/>
                      <w:szCs w:val="21"/>
                      <w:highlight w:val="none"/>
                    </w:rPr>
                    <w:t>符合</w:t>
                  </w:r>
                </w:p>
                <w:p w14:paraId="499CF753">
                  <w:pPr>
                    <w:spacing w:line="0" w:lineRule="atLeast"/>
                    <w:jc w:val="center"/>
                    <w:rPr>
                      <w:rFonts w:ascii="宋体" w:hAnsi="宋体"/>
                      <w:color w:val="auto"/>
                      <w:spacing w:val="-10"/>
                      <w:sz w:val="21"/>
                      <w:szCs w:val="21"/>
                      <w:highlight w:val="none"/>
                    </w:rPr>
                  </w:pPr>
                  <w:r>
                    <w:rPr>
                      <w:rFonts w:hAnsi="宋体"/>
                      <w:color w:val="auto"/>
                      <w:spacing w:val="-10"/>
                      <w:sz w:val="21"/>
                      <w:szCs w:val="21"/>
                      <w:highlight w:val="none"/>
                    </w:rPr>
                    <w:t>要求</w:t>
                  </w:r>
                </w:p>
              </w:tc>
            </w:tr>
          </w:tbl>
          <w:p w14:paraId="3071A783">
            <w:pPr>
              <w:autoSpaceDE/>
              <w:autoSpaceDN/>
              <w:spacing w:line="360" w:lineRule="auto"/>
              <w:ind w:firstLine="422" w:firstLineChars="200"/>
              <w:rPr>
                <w:color w:val="auto"/>
                <w:sz w:val="21"/>
                <w:szCs w:val="21"/>
                <w:highlight w:val="none"/>
              </w:rPr>
            </w:pPr>
            <w:r>
              <w:rPr>
                <w:rFonts w:hint="eastAsia" w:ascii="Times New Roman" w:eastAsia="宋体"/>
                <w:b/>
                <w:bCs/>
                <w:color w:val="auto"/>
                <w:kern w:val="2"/>
                <w:sz w:val="21"/>
                <w:szCs w:val="21"/>
                <w:highlight w:val="none"/>
                <w:lang w:val="en-US" w:eastAsia="zh-CN"/>
              </w:rPr>
              <w:t>（</w:t>
            </w:r>
            <w:r>
              <w:rPr>
                <w:rFonts w:hint="eastAsia"/>
                <w:b/>
                <w:bCs/>
                <w:color w:val="auto"/>
                <w:kern w:val="2"/>
                <w:sz w:val="21"/>
                <w:szCs w:val="21"/>
                <w:highlight w:val="none"/>
                <w:lang w:val="en-US" w:eastAsia="zh-CN"/>
              </w:rPr>
              <w:t>五</w:t>
            </w:r>
            <w:r>
              <w:rPr>
                <w:rFonts w:hint="eastAsia" w:ascii="Times New Roman" w:eastAsia="宋体"/>
                <w:b/>
                <w:bCs/>
                <w:color w:val="auto"/>
                <w:kern w:val="2"/>
                <w:sz w:val="21"/>
                <w:szCs w:val="21"/>
                <w:highlight w:val="none"/>
                <w:lang w:val="en-US" w:eastAsia="zh-CN"/>
              </w:rPr>
              <w:t>）与石家庄市</w:t>
            </w:r>
            <w:r>
              <w:rPr>
                <w:rFonts w:hint="eastAsia"/>
                <w:b/>
                <w:bCs/>
                <w:color w:val="auto"/>
                <w:kern w:val="2"/>
                <w:sz w:val="21"/>
                <w:szCs w:val="21"/>
                <w:highlight w:val="none"/>
                <w:lang w:val="en-US" w:eastAsia="zh-CN"/>
              </w:rPr>
              <w:t>“</w:t>
            </w:r>
            <w:r>
              <w:rPr>
                <w:b/>
                <w:bCs/>
                <w:color w:val="auto"/>
                <w:kern w:val="2"/>
                <w:sz w:val="21"/>
                <w:szCs w:val="21"/>
                <w:highlight w:val="none"/>
                <w:lang w:val="en-US" w:eastAsia="zh-CN"/>
              </w:rPr>
              <w:t>三线一单</w:t>
            </w:r>
            <w:r>
              <w:rPr>
                <w:rFonts w:hint="eastAsia"/>
                <w:b/>
                <w:bCs/>
                <w:color w:val="auto"/>
                <w:kern w:val="2"/>
                <w:sz w:val="21"/>
                <w:szCs w:val="21"/>
                <w:highlight w:val="none"/>
                <w:lang w:val="en-US" w:eastAsia="zh-CN"/>
              </w:rPr>
              <w:t>”</w:t>
            </w:r>
            <w:r>
              <w:rPr>
                <w:b/>
                <w:bCs/>
                <w:color w:val="auto"/>
                <w:kern w:val="2"/>
                <w:sz w:val="21"/>
                <w:szCs w:val="21"/>
                <w:highlight w:val="none"/>
                <w:lang w:val="en-US" w:eastAsia="zh-CN"/>
              </w:rPr>
              <w:t>符合性分析</w:t>
            </w:r>
          </w:p>
          <w:p w14:paraId="55592176">
            <w:pPr>
              <w:spacing w:line="360" w:lineRule="auto"/>
              <w:ind w:firstLine="420" w:firstLineChars="200"/>
              <w:rPr>
                <w:color w:val="auto"/>
                <w:sz w:val="21"/>
                <w:szCs w:val="21"/>
                <w:highlight w:val="none"/>
              </w:rPr>
            </w:pPr>
            <w:r>
              <w:rPr>
                <w:rFonts w:hint="eastAsia"/>
                <w:color w:val="auto"/>
                <w:sz w:val="21"/>
                <w:szCs w:val="21"/>
                <w:highlight w:val="none"/>
              </w:rPr>
              <w:t>根据《关于做好</w:t>
            </w:r>
            <w:r>
              <w:rPr>
                <w:rFonts w:hint="eastAsia"/>
                <w:color w:val="auto"/>
                <w:sz w:val="21"/>
                <w:szCs w:val="21"/>
                <w:highlight w:val="none"/>
                <w:lang w:eastAsia="zh-CN"/>
              </w:rPr>
              <w:t>“</w:t>
            </w:r>
            <w:r>
              <w:rPr>
                <w:rFonts w:hint="eastAsia"/>
                <w:color w:val="auto"/>
                <w:sz w:val="21"/>
                <w:szCs w:val="21"/>
                <w:highlight w:val="none"/>
              </w:rPr>
              <w:t>三线一单</w:t>
            </w:r>
            <w:r>
              <w:rPr>
                <w:rFonts w:hint="eastAsia"/>
                <w:color w:val="auto"/>
                <w:sz w:val="21"/>
                <w:szCs w:val="21"/>
                <w:highlight w:val="none"/>
                <w:lang w:eastAsia="zh-CN"/>
              </w:rPr>
              <w:t>”</w:t>
            </w:r>
            <w:r>
              <w:rPr>
                <w:rFonts w:hint="eastAsia"/>
                <w:color w:val="auto"/>
                <w:sz w:val="21"/>
                <w:szCs w:val="21"/>
                <w:highlight w:val="none"/>
              </w:rPr>
              <w:t>生态环境分区管控动态更新成果实施应用工作的通知》（石家庄市区域空间生态环境评价暨</w:t>
            </w:r>
            <w:r>
              <w:rPr>
                <w:rFonts w:hint="eastAsia"/>
                <w:color w:val="auto"/>
                <w:sz w:val="21"/>
                <w:szCs w:val="21"/>
                <w:highlight w:val="none"/>
                <w:lang w:eastAsia="zh-CN"/>
              </w:rPr>
              <w:t>“</w:t>
            </w:r>
            <w:r>
              <w:rPr>
                <w:rFonts w:hint="eastAsia"/>
                <w:color w:val="auto"/>
                <w:sz w:val="21"/>
                <w:szCs w:val="21"/>
                <w:highlight w:val="none"/>
              </w:rPr>
              <w:t>三线一单</w:t>
            </w:r>
            <w:r>
              <w:rPr>
                <w:rFonts w:hint="eastAsia"/>
                <w:color w:val="auto"/>
                <w:sz w:val="21"/>
                <w:szCs w:val="21"/>
                <w:highlight w:val="none"/>
                <w:lang w:eastAsia="zh-CN"/>
              </w:rPr>
              <w:t>”</w:t>
            </w:r>
            <w:r>
              <w:rPr>
                <w:rFonts w:hint="eastAsia"/>
                <w:color w:val="auto"/>
                <w:sz w:val="21"/>
                <w:szCs w:val="21"/>
                <w:highlight w:val="none"/>
              </w:rPr>
              <w:t>编制工作协调小组办公室，2023年5月4日），本项目与《石家庄市</w:t>
            </w:r>
            <w:r>
              <w:rPr>
                <w:rFonts w:hint="eastAsia"/>
                <w:color w:val="auto"/>
                <w:sz w:val="21"/>
                <w:szCs w:val="21"/>
                <w:highlight w:val="none"/>
                <w:lang w:eastAsia="zh-CN"/>
              </w:rPr>
              <w:t>“</w:t>
            </w:r>
            <w:r>
              <w:rPr>
                <w:rFonts w:hint="eastAsia"/>
                <w:color w:val="auto"/>
                <w:sz w:val="21"/>
                <w:szCs w:val="21"/>
                <w:highlight w:val="none"/>
              </w:rPr>
              <w:t>三线一单</w:t>
            </w:r>
            <w:r>
              <w:rPr>
                <w:rFonts w:hint="eastAsia"/>
                <w:color w:val="auto"/>
                <w:sz w:val="21"/>
                <w:szCs w:val="21"/>
                <w:highlight w:val="none"/>
                <w:lang w:eastAsia="zh-CN"/>
              </w:rPr>
              <w:t>”</w:t>
            </w:r>
            <w:r>
              <w:rPr>
                <w:rFonts w:hint="eastAsia"/>
                <w:color w:val="auto"/>
                <w:sz w:val="21"/>
                <w:szCs w:val="21"/>
                <w:highlight w:val="none"/>
              </w:rPr>
              <w:t>生态环境准入清单》（2023年版）符合性见</w:t>
            </w:r>
            <w:r>
              <w:rPr>
                <w:color w:val="auto"/>
                <w:sz w:val="21"/>
                <w:szCs w:val="21"/>
                <w:highlight w:val="none"/>
              </w:rPr>
              <w:t>下表。</w:t>
            </w:r>
          </w:p>
          <w:p w14:paraId="34EFCF44">
            <w:pPr>
              <w:widowControl w:val="0"/>
              <w:snapToGrid w:val="0"/>
              <w:spacing w:line="36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1-</w:t>
            </w:r>
            <w:r>
              <w:rPr>
                <w:rFonts w:hint="eastAsia" w:cs="Times New Roman"/>
                <w:b/>
                <w:bCs/>
                <w:color w:val="auto"/>
                <w:kern w:val="0"/>
                <w:sz w:val="21"/>
                <w:szCs w:val="21"/>
                <w:highlight w:val="none"/>
                <w:lang w:val="en-US" w:eastAsia="zh-CN" w:bidi="ar-SA"/>
              </w:rPr>
              <w:t>5</w:t>
            </w:r>
            <w:r>
              <w:rPr>
                <w:rFonts w:hint="eastAsia" w:ascii="Times New Roman" w:hAnsi="Times New Roman" w:eastAsia="宋体" w:cs="Times New Roman"/>
                <w:b/>
                <w:bCs/>
                <w:color w:val="auto"/>
                <w:kern w:val="0"/>
                <w:sz w:val="21"/>
                <w:szCs w:val="21"/>
                <w:highlight w:val="none"/>
                <w:lang w:val="en-US" w:eastAsia="zh-CN" w:bidi="ar-SA"/>
              </w:rPr>
              <w:t xml:space="preserve"> 本项目与《石家庄市</w:t>
            </w:r>
            <w:r>
              <w:rPr>
                <w:rFonts w:hint="eastAsia" w:cs="Times New Roman"/>
                <w:b/>
                <w:bCs/>
                <w:color w:val="auto"/>
                <w:kern w:val="0"/>
                <w:sz w:val="21"/>
                <w:szCs w:val="21"/>
                <w:highlight w:val="none"/>
                <w:lang w:val="en-US" w:eastAsia="zh-CN" w:bidi="ar-SA"/>
              </w:rPr>
              <w:t>“</w:t>
            </w:r>
            <w:r>
              <w:rPr>
                <w:rFonts w:hint="eastAsia" w:ascii="Times New Roman" w:hAnsi="Times New Roman" w:eastAsia="宋体" w:cs="Times New Roman"/>
                <w:b/>
                <w:bCs/>
                <w:color w:val="auto"/>
                <w:kern w:val="0"/>
                <w:sz w:val="21"/>
                <w:szCs w:val="21"/>
                <w:highlight w:val="none"/>
                <w:lang w:val="en-US" w:eastAsia="zh-CN" w:bidi="ar-SA"/>
              </w:rPr>
              <w:t>三线一单</w:t>
            </w:r>
            <w:r>
              <w:rPr>
                <w:rFonts w:hint="eastAsia" w:cs="Times New Roman"/>
                <w:b/>
                <w:bCs/>
                <w:color w:val="auto"/>
                <w:kern w:val="0"/>
                <w:sz w:val="21"/>
                <w:szCs w:val="21"/>
                <w:highlight w:val="none"/>
                <w:lang w:val="en-US" w:eastAsia="zh-CN" w:bidi="ar-SA"/>
              </w:rPr>
              <w:t>”</w:t>
            </w:r>
            <w:r>
              <w:rPr>
                <w:rFonts w:hint="eastAsia" w:ascii="Times New Roman" w:hAnsi="Times New Roman" w:eastAsia="宋体" w:cs="Times New Roman"/>
                <w:b/>
                <w:bCs/>
                <w:color w:val="auto"/>
                <w:kern w:val="0"/>
                <w:sz w:val="21"/>
                <w:szCs w:val="21"/>
                <w:highlight w:val="none"/>
                <w:lang w:val="en-US" w:eastAsia="zh-CN" w:bidi="ar-SA"/>
              </w:rPr>
              <w:t>生态环境准入清单》（2023年版）符合性分析</w:t>
            </w:r>
          </w:p>
          <w:tbl>
            <w:tblPr>
              <w:tblStyle w:val="26"/>
              <w:tblW w:w="68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6"/>
              <w:gridCol w:w="693"/>
              <w:gridCol w:w="120"/>
              <w:gridCol w:w="427"/>
              <w:gridCol w:w="2120"/>
              <w:gridCol w:w="114"/>
              <w:gridCol w:w="116"/>
              <w:gridCol w:w="2093"/>
              <w:gridCol w:w="526"/>
            </w:tblGrid>
            <w:tr w14:paraId="0BC35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4DF81C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全市生态环境准入综合管控要求</w:t>
                  </w:r>
                </w:p>
              </w:tc>
            </w:tr>
            <w:tr w14:paraId="73AE6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99" w:type="dxa"/>
                  <w:gridSpan w:val="2"/>
                  <w:noWrap w:val="0"/>
                  <w:vAlign w:val="center"/>
                </w:tcPr>
                <w:p w14:paraId="2FB305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b/>
                      <w:bCs/>
                      <w:color w:val="auto"/>
                      <w:kern w:val="0"/>
                      <w:sz w:val="21"/>
                      <w:szCs w:val="21"/>
                      <w:highlight w:val="none"/>
                      <w:lang w:val="en-US" w:eastAsia="zh-CN" w:bidi="ar"/>
                    </w:rPr>
                    <w:t>重点区域</w:t>
                  </w:r>
                </w:p>
              </w:tc>
              <w:tc>
                <w:tcPr>
                  <w:tcW w:w="2667" w:type="dxa"/>
                  <w:gridSpan w:val="3"/>
                  <w:noWrap w:val="0"/>
                  <w:vAlign w:val="center"/>
                </w:tcPr>
                <w:p w14:paraId="4498A24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kern w:val="0"/>
                      <w:sz w:val="21"/>
                      <w:szCs w:val="21"/>
                      <w:highlight w:val="none"/>
                      <w:lang w:val="en-US" w:eastAsia="zh-CN" w:bidi="ar"/>
                    </w:rPr>
                  </w:pPr>
                  <w:r>
                    <w:rPr>
                      <w:rFonts w:hint="default" w:ascii="Times New Roman" w:hAnsi="Times New Roman" w:cs="Times New Roman"/>
                      <w:b/>
                      <w:bCs/>
                      <w:color w:val="auto"/>
                      <w:kern w:val="0"/>
                      <w:sz w:val="21"/>
                      <w:szCs w:val="21"/>
                      <w:highlight w:val="none"/>
                      <w:lang w:bidi="ar"/>
                    </w:rPr>
                    <w:t>管控策略</w:t>
                  </w:r>
                </w:p>
              </w:tc>
              <w:tc>
                <w:tcPr>
                  <w:tcW w:w="2323" w:type="dxa"/>
                  <w:gridSpan w:val="3"/>
                  <w:noWrap w:val="0"/>
                  <w:vAlign w:val="center"/>
                </w:tcPr>
                <w:p w14:paraId="70CBF5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kern w:val="0"/>
                      <w:sz w:val="21"/>
                      <w:szCs w:val="21"/>
                      <w:highlight w:val="none"/>
                      <w:lang w:val="en-US" w:eastAsia="zh-CN" w:bidi="ar"/>
                    </w:rPr>
                  </w:pPr>
                  <w:r>
                    <w:rPr>
                      <w:rFonts w:hint="default" w:ascii="Times New Roman" w:hAnsi="Times New Roman" w:cs="Times New Roman"/>
                      <w:b/>
                      <w:bCs/>
                      <w:color w:val="auto"/>
                      <w:kern w:val="0"/>
                      <w:sz w:val="21"/>
                      <w:szCs w:val="21"/>
                      <w:highlight w:val="none"/>
                      <w:lang w:bidi="ar"/>
                    </w:rPr>
                    <w:t>本项目情况</w:t>
                  </w:r>
                </w:p>
              </w:tc>
              <w:tc>
                <w:tcPr>
                  <w:tcW w:w="526" w:type="dxa"/>
                  <w:noWrap w:val="0"/>
                  <w:vAlign w:val="center"/>
                </w:tcPr>
                <w:p w14:paraId="75F7B3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kern w:val="0"/>
                      <w:sz w:val="21"/>
                      <w:szCs w:val="21"/>
                      <w:highlight w:val="none"/>
                      <w:lang w:val="en-US" w:eastAsia="zh-CN" w:bidi="ar"/>
                    </w:rPr>
                  </w:pPr>
                  <w:r>
                    <w:rPr>
                      <w:rFonts w:hint="default" w:ascii="Times New Roman" w:hAnsi="Times New Roman" w:cs="Times New Roman"/>
                      <w:b/>
                      <w:bCs/>
                      <w:color w:val="auto"/>
                      <w:kern w:val="0"/>
                      <w:sz w:val="21"/>
                      <w:szCs w:val="21"/>
                      <w:highlight w:val="none"/>
                      <w:lang w:bidi="ar"/>
                    </w:rPr>
                    <w:t>符合性</w:t>
                  </w:r>
                </w:p>
              </w:tc>
            </w:tr>
            <w:tr w14:paraId="3522B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99" w:type="dxa"/>
                  <w:gridSpan w:val="2"/>
                  <w:noWrap w:val="0"/>
                  <w:vAlign w:val="center"/>
                </w:tcPr>
                <w:p w14:paraId="388782A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cs="Times New Roman"/>
                      <w:bCs/>
                      <w:color w:val="auto"/>
                      <w:kern w:val="0"/>
                      <w:sz w:val="21"/>
                      <w:szCs w:val="21"/>
                      <w:highlight w:val="none"/>
                    </w:rPr>
                    <w:t>全市域</w:t>
                  </w:r>
                </w:p>
              </w:tc>
              <w:tc>
                <w:tcPr>
                  <w:tcW w:w="2667" w:type="dxa"/>
                  <w:gridSpan w:val="3"/>
                  <w:noWrap w:val="0"/>
                  <w:vAlign w:val="center"/>
                </w:tcPr>
                <w:p w14:paraId="38A264D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cs="Times New Roman"/>
                      <w:bCs/>
                      <w:color w:val="auto"/>
                      <w:kern w:val="0"/>
                      <w:sz w:val="21"/>
                      <w:szCs w:val="21"/>
                      <w:highlight w:val="none"/>
                    </w:rPr>
                  </w:pPr>
                  <w:r>
                    <w:rPr>
                      <w:rFonts w:hint="default" w:ascii="Times New Roman" w:hAnsi="Times New Roman" w:cs="Times New Roman"/>
                      <w:bCs/>
                      <w:color w:val="auto"/>
                      <w:kern w:val="0"/>
                      <w:sz w:val="21"/>
                      <w:szCs w:val="21"/>
                      <w:highlight w:val="none"/>
                    </w:rPr>
                    <w:t>1、优化产业结构。落实国家、省、市产业政策，严格钢铁、焦化、水泥、建材等产能管控。</w:t>
                  </w:r>
                </w:p>
                <w:p w14:paraId="0CD30206">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cs="Times New Roman"/>
                      <w:bCs/>
                      <w:color w:val="auto"/>
                      <w:kern w:val="0"/>
                      <w:sz w:val="21"/>
                      <w:szCs w:val="21"/>
                      <w:highlight w:val="none"/>
                    </w:rPr>
                    <w:t>2、强化产业入园。优化园区布局，提升园区规划、环评实效性，提升园区资源利用效率和绿色低碳水平，加强新建项目入园，严格现有分散企业污染管控。</w:t>
                  </w:r>
                </w:p>
              </w:tc>
              <w:tc>
                <w:tcPr>
                  <w:tcW w:w="2323" w:type="dxa"/>
                  <w:gridSpan w:val="3"/>
                  <w:noWrap w:val="0"/>
                  <w:vAlign w:val="center"/>
                </w:tcPr>
                <w:p w14:paraId="0CBABC2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center"/>
                    <w:rPr>
                      <w:rFonts w:hint="default" w:ascii="Times New Roman" w:hAnsi="Times New Roman" w:cs="Times New Roman"/>
                      <w:color w:val="auto"/>
                      <w:kern w:val="0"/>
                      <w:sz w:val="21"/>
                      <w:szCs w:val="21"/>
                      <w:highlight w:val="none"/>
                      <w:lang w:val="en-US" w:eastAsia="zh-CN" w:bidi="ar"/>
                    </w:rPr>
                  </w:pPr>
                  <w:r>
                    <w:rPr>
                      <w:rFonts w:hint="eastAsia" w:ascii="Times New Roman" w:hAnsi="Times New Roman" w:cs="Times New Roman"/>
                      <w:color w:val="auto"/>
                      <w:kern w:val="0"/>
                      <w:sz w:val="21"/>
                      <w:szCs w:val="21"/>
                      <w:highlight w:val="none"/>
                      <w:lang w:val="en-US" w:eastAsia="zh-CN" w:bidi="ar"/>
                    </w:rPr>
                    <w:t>1、</w:t>
                  </w:r>
                  <w:r>
                    <w:rPr>
                      <w:rFonts w:hint="default" w:ascii="Times New Roman" w:hAnsi="Times New Roman" w:cs="Times New Roman"/>
                      <w:color w:val="auto"/>
                      <w:kern w:val="0"/>
                      <w:sz w:val="21"/>
                      <w:szCs w:val="21"/>
                      <w:highlight w:val="none"/>
                      <w:lang w:bidi="ar"/>
                    </w:rPr>
                    <w:t>本项目</w:t>
                  </w:r>
                  <w:r>
                    <w:rPr>
                      <w:rFonts w:hint="eastAsia" w:ascii="Times New Roman" w:hAnsi="Times New Roman" w:cs="Times New Roman"/>
                      <w:color w:val="auto"/>
                      <w:kern w:val="0"/>
                      <w:sz w:val="21"/>
                      <w:szCs w:val="21"/>
                      <w:highlight w:val="none"/>
                      <w:lang w:eastAsia="zh-CN" w:bidi="ar"/>
                    </w:rPr>
                    <w:t>主要产品为</w:t>
                  </w:r>
                  <w:r>
                    <w:rPr>
                      <w:rFonts w:hint="eastAsia" w:cs="Times New Roman"/>
                      <w:color w:val="auto"/>
                      <w:kern w:val="0"/>
                      <w:sz w:val="21"/>
                      <w:szCs w:val="21"/>
                      <w:highlight w:val="none"/>
                      <w:lang w:eastAsia="zh-CN" w:bidi="ar"/>
                    </w:rPr>
                    <w:t>甘氨酸亚铁</w:t>
                  </w:r>
                  <w:r>
                    <w:rPr>
                      <w:rFonts w:hint="eastAsia" w:ascii="Times New Roman" w:hAnsi="Times New Roman" w:cs="Times New Roman"/>
                      <w:color w:val="auto"/>
                      <w:kern w:val="0"/>
                      <w:sz w:val="21"/>
                      <w:szCs w:val="21"/>
                      <w:highlight w:val="none"/>
                      <w:lang w:eastAsia="zh-CN" w:bidi="ar"/>
                    </w:rPr>
                    <w:t>，为食品及饲料添加剂制造项目，</w:t>
                  </w:r>
                  <w:r>
                    <w:rPr>
                      <w:rFonts w:hint="default" w:ascii="Times New Roman" w:hAnsi="Times New Roman" w:cs="Times New Roman"/>
                      <w:color w:val="auto"/>
                      <w:kern w:val="0"/>
                      <w:sz w:val="21"/>
                      <w:szCs w:val="21"/>
                      <w:highlight w:val="none"/>
                      <w:lang w:val="en-US" w:eastAsia="zh-CN" w:bidi="ar"/>
                    </w:rPr>
                    <w:t>不属于</w:t>
                  </w:r>
                  <w:r>
                    <w:rPr>
                      <w:rFonts w:hint="eastAsia" w:cs="Times New Roman"/>
                      <w:color w:val="auto"/>
                      <w:kern w:val="0"/>
                      <w:sz w:val="21"/>
                      <w:szCs w:val="21"/>
                      <w:highlight w:val="none"/>
                      <w:lang w:val="en-US" w:eastAsia="zh-CN" w:bidi="ar"/>
                    </w:rPr>
                    <w:t>“</w:t>
                  </w:r>
                  <w:r>
                    <w:rPr>
                      <w:rFonts w:hint="default" w:ascii="Times New Roman" w:hAnsi="Times New Roman" w:cs="Times New Roman"/>
                      <w:color w:val="auto"/>
                      <w:kern w:val="0"/>
                      <w:sz w:val="21"/>
                      <w:szCs w:val="21"/>
                      <w:highlight w:val="none"/>
                      <w:lang w:val="en-US" w:eastAsia="zh-CN" w:bidi="ar"/>
                    </w:rPr>
                    <w:t>两高</w:t>
                  </w:r>
                  <w:r>
                    <w:rPr>
                      <w:rFonts w:hint="eastAsia" w:cs="Times New Roman"/>
                      <w:color w:val="auto"/>
                      <w:kern w:val="0"/>
                      <w:sz w:val="21"/>
                      <w:szCs w:val="21"/>
                      <w:highlight w:val="none"/>
                      <w:lang w:val="en-US" w:eastAsia="zh-CN" w:bidi="ar"/>
                    </w:rPr>
                    <w:t>”</w:t>
                  </w:r>
                  <w:r>
                    <w:rPr>
                      <w:rFonts w:hint="default" w:ascii="Times New Roman" w:hAnsi="Times New Roman" w:cs="Times New Roman"/>
                      <w:color w:val="auto"/>
                      <w:kern w:val="0"/>
                      <w:sz w:val="21"/>
                      <w:szCs w:val="21"/>
                      <w:highlight w:val="none"/>
                      <w:lang w:val="en-US" w:eastAsia="zh-CN" w:bidi="ar"/>
                    </w:rPr>
                    <w:t>项目，不属于《产业结构调整指导目录（2024年本）》中的限制类和淘汰类，符合产业政策。</w:t>
                  </w:r>
                </w:p>
                <w:p w14:paraId="1A0A504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center"/>
                    <w:rPr>
                      <w:rFonts w:hint="eastAsia" w:ascii="Times New Roman" w:hAnsi="Times New Roman" w:eastAsia="宋体" w:cs="Times New Roman"/>
                      <w:b/>
                      <w:bCs/>
                      <w:color w:val="auto"/>
                      <w:kern w:val="0"/>
                      <w:sz w:val="21"/>
                      <w:szCs w:val="21"/>
                      <w:highlight w:val="none"/>
                      <w:lang w:val="en-US" w:eastAsia="zh-CN" w:bidi="ar"/>
                    </w:rPr>
                  </w:pPr>
                  <w:r>
                    <w:rPr>
                      <w:rFonts w:hint="eastAsia" w:ascii="Times New Roman" w:hAnsi="Times New Roman" w:cs="Times New Roman"/>
                      <w:bCs/>
                      <w:color w:val="auto"/>
                      <w:kern w:val="0"/>
                      <w:sz w:val="21"/>
                      <w:szCs w:val="21"/>
                      <w:highlight w:val="none"/>
                      <w:lang w:val="en-US" w:eastAsia="zh-CN"/>
                    </w:rPr>
                    <w:t>2、本项目利用现有生产车间及公辅工程，不新增占地面积。项目厂址位于石家庄高新技术产业开发区循环化工园区。</w:t>
                  </w:r>
                </w:p>
              </w:tc>
              <w:tc>
                <w:tcPr>
                  <w:tcW w:w="526" w:type="dxa"/>
                  <w:noWrap w:val="0"/>
                  <w:vAlign w:val="center"/>
                </w:tcPr>
                <w:p w14:paraId="32C66A1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auto"/>
                      <w:kern w:val="0"/>
                      <w:sz w:val="21"/>
                      <w:szCs w:val="21"/>
                      <w:highlight w:val="none"/>
                      <w:lang w:val="en-US" w:eastAsia="zh-CN" w:bidi="ar"/>
                    </w:rPr>
                  </w:pPr>
                  <w:r>
                    <w:rPr>
                      <w:rFonts w:hint="default" w:ascii="Times New Roman" w:hAnsi="Times New Roman" w:cs="Times New Roman"/>
                      <w:color w:val="auto"/>
                      <w:kern w:val="0"/>
                      <w:sz w:val="21"/>
                      <w:szCs w:val="21"/>
                      <w:highlight w:val="none"/>
                      <w:lang w:bidi="ar"/>
                    </w:rPr>
                    <w:t>符合</w:t>
                  </w:r>
                </w:p>
              </w:tc>
            </w:tr>
            <w:tr w14:paraId="5058E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99" w:type="dxa"/>
                  <w:gridSpan w:val="2"/>
                  <w:noWrap w:val="0"/>
                  <w:vAlign w:val="center"/>
                </w:tcPr>
                <w:p w14:paraId="6E2FD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color w:val="auto"/>
                      <w:spacing w:val="0"/>
                      <w:w w:val="100"/>
                      <w:kern w:val="2"/>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重点风险工业园区、无极县、涉重金属重点行业企业、土壤污染重点监管企业、尾矿库、垃圾填埋场、垃圾焚烧厂和危险废物处理处置场等</w:t>
                  </w:r>
                </w:p>
              </w:tc>
              <w:tc>
                <w:tcPr>
                  <w:tcW w:w="2667" w:type="dxa"/>
                  <w:gridSpan w:val="3"/>
                  <w:noWrap w:val="0"/>
                  <w:vAlign w:val="center"/>
                </w:tcPr>
                <w:p w14:paraId="1DC3F2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1、严格农用地、建设用地监管，加强潜在风险土地常规监管。</w:t>
                  </w:r>
                </w:p>
                <w:p w14:paraId="28385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2、开展电镀、皮毛鞣制、化工、炼焦等工业园区重金属环境综合整治。推动重金属源头减量、末端管控。</w:t>
                  </w:r>
                </w:p>
                <w:p w14:paraId="1217D6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4"/>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3、土壤污染重点监管企业、工业园区、尾矿库、垃圾处理场、垃圾焚烧厂和危险废物处理处置场周边土壤环境，定期开展监测，重点监测重金属和持久性有机污染物。</w:t>
                  </w:r>
                </w:p>
              </w:tc>
              <w:tc>
                <w:tcPr>
                  <w:tcW w:w="2323" w:type="dxa"/>
                  <w:gridSpan w:val="3"/>
                  <w:noWrap w:val="0"/>
                  <w:vAlign w:val="center"/>
                </w:tcPr>
                <w:p w14:paraId="61D330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1、</w:t>
                  </w:r>
                  <w:r>
                    <w:rPr>
                      <w:rFonts w:hint="eastAsia" w:ascii="Times New Roman" w:hAnsi="Times New Roman" w:eastAsia="宋体" w:cs="Times New Roman"/>
                      <w:color w:val="auto"/>
                      <w:spacing w:val="0"/>
                      <w:w w:val="100"/>
                      <w:position w:val="0"/>
                      <w:sz w:val="21"/>
                      <w:szCs w:val="24"/>
                      <w:highlight w:val="none"/>
                      <w:lang w:val="en-US" w:eastAsia="zh-CN" w:bidi="ar-SA"/>
                    </w:rPr>
                    <w:t>本</w:t>
                  </w:r>
                  <w:r>
                    <w:rPr>
                      <w:rFonts w:hint="default" w:ascii="Times New Roman" w:hAnsi="Times New Roman" w:eastAsia="宋体" w:cs="Times New Roman"/>
                      <w:color w:val="auto"/>
                      <w:spacing w:val="0"/>
                      <w:w w:val="100"/>
                      <w:position w:val="0"/>
                      <w:sz w:val="21"/>
                      <w:szCs w:val="24"/>
                      <w:highlight w:val="none"/>
                      <w:lang w:val="en-US" w:eastAsia="zh-CN" w:bidi="ar-SA"/>
                    </w:rPr>
                    <w:t>项目利用现有生产车间及公辅工程，不新增占地面积。</w:t>
                  </w:r>
                </w:p>
                <w:p w14:paraId="26E7EA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2、</w:t>
                  </w:r>
                  <w:r>
                    <w:rPr>
                      <w:rFonts w:hint="default" w:ascii="Times New Roman" w:hAnsi="Times New Roman" w:eastAsia="宋体" w:cs="Times New Roman"/>
                      <w:color w:val="auto"/>
                      <w:spacing w:val="0"/>
                      <w:w w:val="100"/>
                      <w:position w:val="0"/>
                      <w:sz w:val="21"/>
                      <w:szCs w:val="24"/>
                      <w:highlight w:val="none"/>
                      <w:lang w:val="en-US" w:eastAsia="zh-CN" w:bidi="ar-SA"/>
                    </w:rPr>
                    <w:t>项目厂址位于</w:t>
                  </w:r>
                  <w:r>
                    <w:rPr>
                      <w:rFonts w:hint="eastAsia" w:ascii="Times New Roman" w:hAnsi="Times New Roman" w:cs="Times New Roman"/>
                      <w:color w:val="auto"/>
                      <w:spacing w:val="0"/>
                      <w:w w:val="100"/>
                      <w:position w:val="0"/>
                      <w:sz w:val="21"/>
                      <w:szCs w:val="24"/>
                      <w:highlight w:val="none"/>
                      <w:lang w:val="en-US" w:eastAsia="zh-CN" w:bidi="ar-SA"/>
                    </w:rPr>
                    <w:t>石家庄高新技术产业开发区循环化工园区</w:t>
                  </w:r>
                  <w:r>
                    <w:rPr>
                      <w:rFonts w:hint="default" w:ascii="Times New Roman" w:hAnsi="Times New Roman" w:eastAsia="宋体" w:cs="Times New Roman"/>
                      <w:color w:val="auto"/>
                      <w:spacing w:val="0"/>
                      <w:w w:val="100"/>
                      <w:position w:val="0"/>
                      <w:sz w:val="21"/>
                      <w:szCs w:val="24"/>
                      <w:highlight w:val="none"/>
                      <w:lang w:val="en-US" w:eastAsia="zh-CN" w:bidi="ar-SA"/>
                    </w:rPr>
                    <w:t>，公司按照要求定期开展土壤和地下水监测</w:t>
                  </w:r>
                  <w:r>
                    <w:rPr>
                      <w:rFonts w:hint="eastAsia" w:cs="Times New Roman"/>
                      <w:color w:val="auto"/>
                      <w:spacing w:val="0"/>
                      <w:w w:val="100"/>
                      <w:position w:val="0"/>
                      <w:sz w:val="21"/>
                      <w:szCs w:val="24"/>
                      <w:highlight w:val="none"/>
                      <w:lang w:val="en-US" w:eastAsia="zh-CN" w:bidi="ar-SA"/>
                    </w:rPr>
                    <w:t>。</w:t>
                  </w:r>
                </w:p>
                <w:p w14:paraId="5CE17E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3、企业已定期开展土壤自行监测。</w:t>
                  </w:r>
                </w:p>
              </w:tc>
              <w:tc>
                <w:tcPr>
                  <w:tcW w:w="526" w:type="dxa"/>
                  <w:noWrap w:val="0"/>
                  <w:vAlign w:val="center"/>
                </w:tcPr>
                <w:p w14:paraId="0C115C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color w:val="auto"/>
                      <w:kern w:val="0"/>
                      <w:sz w:val="21"/>
                      <w:szCs w:val="21"/>
                      <w:highlight w:val="none"/>
                      <w:lang w:eastAsia="zh-CN" w:bidi="ar"/>
                    </w:rPr>
                  </w:pPr>
                  <w:r>
                    <w:rPr>
                      <w:rFonts w:hint="eastAsia" w:ascii="Times New Roman" w:hAnsi="Times New Roman" w:cs="Times New Roman"/>
                      <w:color w:val="auto"/>
                      <w:kern w:val="0"/>
                      <w:sz w:val="21"/>
                      <w:szCs w:val="21"/>
                      <w:highlight w:val="none"/>
                      <w:lang w:eastAsia="zh-CN" w:bidi="ar"/>
                    </w:rPr>
                    <w:t>符合</w:t>
                  </w:r>
                </w:p>
              </w:tc>
            </w:tr>
            <w:tr w14:paraId="416C2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99" w:type="dxa"/>
                  <w:gridSpan w:val="2"/>
                  <w:noWrap w:val="0"/>
                  <w:vAlign w:val="center"/>
                </w:tcPr>
                <w:p w14:paraId="002D157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cs="Times New Roman"/>
                      <w:bCs/>
                      <w:color w:val="auto"/>
                      <w:kern w:val="0"/>
                      <w:sz w:val="21"/>
                      <w:szCs w:val="21"/>
                      <w:highlight w:val="none"/>
                      <w:lang w:val="zh-CN"/>
                    </w:rPr>
                    <w:t>石家庄市划定的高污染燃料禁燃区</w:t>
                  </w:r>
                </w:p>
              </w:tc>
              <w:tc>
                <w:tcPr>
                  <w:tcW w:w="2667" w:type="dxa"/>
                  <w:gridSpan w:val="3"/>
                  <w:noWrap w:val="0"/>
                  <w:vAlign w:val="center"/>
                </w:tcPr>
                <w:p w14:paraId="4043923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1、禁燃区内不得新建、扩建燃烧煤炭、重油、渣油等高污染燃料的设施；现有未改用清洁能源替代的高污染燃料设施，应当配套建设先进工艺的脱硫、脱硝、除尘装置或者采取其他措施，控制二氧化硫、氮氧化物和烟尘等排放；仍未达到大气污染物排放标准的，应当停止使用。</w:t>
                  </w:r>
                </w:p>
                <w:p w14:paraId="350F12F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2、禁燃区内禁止原煤散烧。</w:t>
                  </w:r>
                </w:p>
                <w:p w14:paraId="5AA9019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rPr>
                    <w:t>3、禁燃区内禁止销售、使用高污染物燃料。</w:t>
                  </w:r>
                </w:p>
              </w:tc>
              <w:tc>
                <w:tcPr>
                  <w:tcW w:w="2323" w:type="dxa"/>
                  <w:gridSpan w:val="3"/>
                  <w:noWrap w:val="0"/>
                  <w:vAlign w:val="center"/>
                </w:tcPr>
                <w:p w14:paraId="127B19F5">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rPr>
                  </w:pPr>
                  <w:r>
                    <w:rPr>
                      <w:rFonts w:hint="eastAsia" w:cs="Times New Roman"/>
                      <w:bCs/>
                      <w:color w:val="auto"/>
                      <w:kern w:val="0"/>
                      <w:sz w:val="21"/>
                      <w:szCs w:val="21"/>
                      <w:highlight w:val="none"/>
                      <w:lang w:val="en-US" w:eastAsia="zh-CN"/>
                    </w:rPr>
                    <w:t>1、</w:t>
                  </w:r>
                  <w:r>
                    <w:rPr>
                      <w:rFonts w:hint="default" w:ascii="Times New Roman" w:hAnsi="Times New Roman" w:eastAsia="宋体" w:cs="Times New Roman"/>
                      <w:bCs/>
                      <w:color w:val="auto"/>
                      <w:kern w:val="0"/>
                      <w:sz w:val="21"/>
                      <w:szCs w:val="21"/>
                      <w:highlight w:val="none"/>
                    </w:rPr>
                    <w:t>本项目</w:t>
                  </w:r>
                  <w:r>
                    <w:rPr>
                      <w:rFonts w:hint="default" w:ascii="Times New Roman" w:hAnsi="Times New Roman" w:eastAsia="宋体" w:cs="Times New Roman"/>
                      <w:bCs/>
                      <w:color w:val="auto"/>
                      <w:kern w:val="0"/>
                      <w:sz w:val="21"/>
                      <w:szCs w:val="21"/>
                      <w:highlight w:val="none"/>
                      <w:lang w:val="en-US" w:eastAsia="zh-CN"/>
                    </w:rPr>
                    <w:t>蒸汽系统用汽量为0.353t/h，本项目蒸汽需求量0.353t/h，年消耗蒸汽量2543.21t，压力为0.3MPa依托厂区原有蒸汽系统，原换热站设计能力150t/h，现有工程满负荷使用92t/h，原蒸汽系统</w:t>
                  </w:r>
                  <w:r>
                    <w:rPr>
                      <w:rFonts w:hint="eastAsia" w:cs="Times New Roman"/>
                      <w:bCs/>
                      <w:color w:val="auto"/>
                      <w:kern w:val="0"/>
                      <w:sz w:val="21"/>
                      <w:szCs w:val="21"/>
                      <w:highlight w:val="none"/>
                      <w:lang w:val="en-US" w:eastAsia="zh-CN"/>
                    </w:rPr>
                    <w:t>余量</w:t>
                  </w:r>
                  <w:r>
                    <w:rPr>
                      <w:rFonts w:hint="default" w:ascii="Times New Roman" w:hAnsi="Times New Roman" w:eastAsia="宋体" w:cs="Times New Roman"/>
                      <w:bCs/>
                      <w:color w:val="auto"/>
                      <w:kern w:val="0"/>
                      <w:sz w:val="21"/>
                      <w:szCs w:val="21"/>
                      <w:highlight w:val="none"/>
                      <w:lang w:val="en-US" w:eastAsia="zh-CN"/>
                    </w:rPr>
                    <w:t>可满足本项目需求。</w:t>
                  </w:r>
                </w:p>
                <w:p w14:paraId="2C2F4DD2">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b w:val="0"/>
                      <w:bCs/>
                      <w:color w:val="auto"/>
                      <w:kern w:val="0"/>
                      <w:sz w:val="21"/>
                      <w:szCs w:val="21"/>
                      <w:highlight w:val="none"/>
                      <w:lang w:val="en-US" w:eastAsia="zh-CN" w:bidi="ar"/>
                    </w:rPr>
                  </w:pPr>
                  <w:r>
                    <w:rPr>
                      <w:rFonts w:hint="eastAsia"/>
                      <w:color w:val="auto"/>
                      <w:lang w:val="en-US" w:eastAsia="zh-CN"/>
                    </w:rPr>
                    <w:t>2、</w:t>
                  </w:r>
                  <w:r>
                    <w:rPr>
                      <w:rFonts w:hint="eastAsia" w:cs="Times New Roman"/>
                      <w:bCs/>
                      <w:color w:val="auto"/>
                      <w:kern w:val="0"/>
                      <w:sz w:val="21"/>
                      <w:szCs w:val="21"/>
                      <w:highlight w:val="none"/>
                      <w:lang w:val="en-US" w:eastAsia="zh-CN"/>
                    </w:rPr>
                    <w:t>厂区</w:t>
                  </w:r>
                  <w:r>
                    <w:rPr>
                      <w:rFonts w:hint="default" w:ascii="Times New Roman" w:hAnsi="Times New Roman" w:eastAsia="宋体" w:cs="Times New Roman"/>
                      <w:bCs/>
                      <w:color w:val="auto"/>
                      <w:kern w:val="0"/>
                      <w:sz w:val="21"/>
                      <w:szCs w:val="21"/>
                      <w:highlight w:val="none"/>
                      <w:lang w:val="en-US" w:eastAsia="zh-CN"/>
                    </w:rPr>
                    <w:t>用热所需蒸汽由白龙化工、河北旭隆化工有限公司和晋煤金石化工投资集团有限公司石家庄循环化工园区分公司提供，不涉及燃煤、燃油等高污染燃料</w:t>
                  </w:r>
                  <w:r>
                    <w:rPr>
                      <w:rFonts w:hint="eastAsia" w:ascii="Times New Roman" w:hAnsi="Times New Roman" w:eastAsia="宋体" w:cs="Times New Roman"/>
                      <w:bCs/>
                      <w:color w:val="auto"/>
                      <w:kern w:val="0"/>
                      <w:sz w:val="21"/>
                      <w:szCs w:val="21"/>
                      <w:highlight w:val="none"/>
                      <w:lang w:val="en-US" w:eastAsia="zh-CN"/>
                    </w:rPr>
                    <w:t>。</w:t>
                  </w:r>
                  <w:r>
                    <w:rPr>
                      <w:rFonts w:hint="eastAsia" w:cs="Times New Roman"/>
                      <w:bCs/>
                      <w:color w:val="auto"/>
                      <w:kern w:val="0"/>
                      <w:sz w:val="21"/>
                      <w:szCs w:val="21"/>
                      <w:highlight w:val="none"/>
                      <w:lang w:val="en-US" w:eastAsia="zh-CN"/>
                    </w:rPr>
                    <w:t>3、不涉及。</w:t>
                  </w:r>
                </w:p>
              </w:tc>
              <w:tc>
                <w:tcPr>
                  <w:tcW w:w="526" w:type="dxa"/>
                  <w:noWrap w:val="0"/>
                  <w:vAlign w:val="center"/>
                </w:tcPr>
                <w:p w14:paraId="4DAEEC7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center"/>
                    <w:rPr>
                      <w:rFonts w:hint="eastAsia" w:ascii="Times New Roman" w:hAnsi="Times New Roman" w:eastAsia="宋体" w:cs="Times New Roman"/>
                      <w:b/>
                      <w:bCs/>
                      <w:color w:val="auto"/>
                      <w:kern w:val="0"/>
                      <w:sz w:val="21"/>
                      <w:szCs w:val="21"/>
                      <w:highlight w:val="none"/>
                      <w:lang w:val="en-US" w:eastAsia="zh-CN" w:bidi="ar"/>
                    </w:rPr>
                  </w:pPr>
                  <w:r>
                    <w:rPr>
                      <w:rFonts w:hint="default" w:ascii="Times New Roman" w:hAnsi="Times New Roman" w:cs="Times New Roman"/>
                      <w:color w:val="auto"/>
                      <w:kern w:val="0"/>
                      <w:sz w:val="21"/>
                      <w:szCs w:val="21"/>
                      <w:highlight w:val="none"/>
                      <w:lang w:bidi="ar"/>
                    </w:rPr>
                    <w:t>符合</w:t>
                  </w:r>
                </w:p>
              </w:tc>
            </w:tr>
            <w:tr w14:paraId="5F9B9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299" w:type="dxa"/>
                  <w:gridSpan w:val="2"/>
                  <w:noWrap w:val="0"/>
                  <w:vAlign w:val="center"/>
                </w:tcPr>
                <w:p w14:paraId="76BC8A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cs="Times New Roman"/>
                      <w:bCs/>
                      <w:color w:val="auto"/>
                      <w:kern w:val="0"/>
                      <w:sz w:val="21"/>
                      <w:szCs w:val="21"/>
                      <w:highlight w:val="none"/>
                      <w:lang w:val="zh-CN"/>
                    </w:rPr>
                    <w:t>地下水重点管控区</w:t>
                  </w:r>
                </w:p>
              </w:tc>
              <w:tc>
                <w:tcPr>
                  <w:tcW w:w="2667" w:type="dxa"/>
                  <w:gridSpan w:val="3"/>
                  <w:noWrap w:val="0"/>
                  <w:vAlign w:val="center"/>
                </w:tcPr>
                <w:p w14:paraId="30352DC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cs="Times New Roman"/>
                      <w:bCs/>
                      <w:color w:val="auto"/>
                      <w:kern w:val="0"/>
                      <w:sz w:val="21"/>
                      <w:szCs w:val="21"/>
                      <w:highlight w:val="none"/>
                      <w:lang w:val="zh-CN"/>
                    </w:rPr>
                    <w:t>落实最严格水资源管理制度，强化用水监管，优化用水结构，推动城镇农村生活、工业、农业节水，发掘多源供水，缓解地下水超采压力，加强地下水开采重点管控区和生态用水补给区的管控。</w:t>
                  </w:r>
                </w:p>
              </w:tc>
              <w:tc>
                <w:tcPr>
                  <w:tcW w:w="2323" w:type="dxa"/>
                  <w:gridSpan w:val="3"/>
                  <w:noWrap w:val="0"/>
                  <w:vAlign w:val="center"/>
                </w:tcPr>
                <w:p w14:paraId="618FA98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lang w:val="zh-CN" w:eastAsia="zh-CN"/>
                    </w:rPr>
                    <w:t>本项目供水由石家庄高新技术产业开发区循环化工园区集中供水管网供给，不涉及地下水开采</w:t>
                  </w:r>
                  <w:r>
                    <w:rPr>
                      <w:rFonts w:hint="default" w:ascii="Times New Roman" w:hAnsi="Times New Roman" w:eastAsia="宋体" w:cs="Times New Roman"/>
                      <w:bCs/>
                      <w:color w:val="auto"/>
                      <w:kern w:val="0"/>
                      <w:sz w:val="21"/>
                      <w:szCs w:val="21"/>
                      <w:highlight w:val="none"/>
                      <w:lang w:val="zh-CN"/>
                    </w:rPr>
                    <w:t>。</w:t>
                  </w:r>
                </w:p>
              </w:tc>
              <w:tc>
                <w:tcPr>
                  <w:tcW w:w="526" w:type="dxa"/>
                  <w:noWrap w:val="0"/>
                  <w:vAlign w:val="center"/>
                </w:tcPr>
                <w:p w14:paraId="1ABA51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lang w:val="zh-CN"/>
                    </w:rPr>
                    <w:t>符合</w:t>
                  </w:r>
                </w:p>
              </w:tc>
            </w:tr>
            <w:tr w14:paraId="0DD32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5E4ED8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全市生态空间总体管控要求</w:t>
                  </w:r>
                </w:p>
              </w:tc>
            </w:tr>
            <w:tr w14:paraId="10D99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trPr>
              <w:tc>
                <w:tcPr>
                  <w:tcW w:w="606" w:type="dxa"/>
                  <w:noWrap w:val="0"/>
                  <w:vAlign w:val="center"/>
                </w:tcPr>
                <w:p w14:paraId="7C4E97A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属性</w:t>
                  </w:r>
                </w:p>
              </w:tc>
              <w:tc>
                <w:tcPr>
                  <w:tcW w:w="813" w:type="dxa"/>
                  <w:gridSpan w:val="2"/>
                  <w:noWrap w:val="0"/>
                  <w:vAlign w:val="center"/>
                </w:tcPr>
                <w:p w14:paraId="191188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w:t>
                  </w:r>
                </w:p>
              </w:tc>
              <w:tc>
                <w:tcPr>
                  <w:tcW w:w="2777" w:type="dxa"/>
                  <w:gridSpan w:val="4"/>
                  <w:noWrap w:val="0"/>
                  <w:vAlign w:val="center"/>
                </w:tcPr>
                <w:p w14:paraId="2AF970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管控要求</w:t>
                  </w:r>
                </w:p>
              </w:tc>
              <w:tc>
                <w:tcPr>
                  <w:tcW w:w="2093" w:type="dxa"/>
                  <w:noWrap w:val="0"/>
                  <w:vAlign w:val="center"/>
                </w:tcPr>
                <w:p w14:paraId="117786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1C0F853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3594A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0C7B7D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lang w:val="en-US" w:eastAsia="zh-CN" w:bidi="ar"/>
                    </w:rPr>
                    <w:t>生态保护红线</w:t>
                  </w:r>
                </w:p>
              </w:tc>
              <w:tc>
                <w:tcPr>
                  <w:tcW w:w="813" w:type="dxa"/>
                  <w:gridSpan w:val="2"/>
                  <w:noWrap w:val="0"/>
                  <w:vAlign w:val="center"/>
                </w:tcPr>
                <w:p w14:paraId="06C7FAA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lang w:val="en-US" w:eastAsia="zh-CN" w:bidi="ar-SA"/>
                    </w:rPr>
                    <w:t>空间布局约束</w:t>
                  </w:r>
                </w:p>
              </w:tc>
              <w:tc>
                <w:tcPr>
                  <w:tcW w:w="427" w:type="dxa"/>
                  <w:noWrap w:val="0"/>
                  <w:vAlign w:val="center"/>
                </w:tcPr>
                <w:p w14:paraId="6870354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lang w:val="en-US" w:eastAsia="zh-CN" w:bidi="ar"/>
                    </w:rPr>
                    <w:t>禁止</w:t>
                  </w:r>
                  <w:r>
                    <w:rPr>
                      <w:rFonts w:hint="eastAsia" w:ascii="Times New Roman" w:hAnsi="Times New Roman" w:eastAsia="宋体" w:cs="Times New Roman"/>
                      <w:color w:val="auto"/>
                      <w:kern w:val="0"/>
                      <w:sz w:val="21"/>
                      <w:szCs w:val="21"/>
                      <w:highlight w:val="none"/>
                      <w:lang w:val="en-US" w:eastAsia="zh-CN" w:bidi="ar"/>
                    </w:rPr>
                    <w:t>开发</w:t>
                  </w:r>
                  <w:r>
                    <w:rPr>
                      <w:rFonts w:hint="default" w:ascii="Times New Roman" w:hAnsi="Times New Roman" w:eastAsia="宋体" w:cs="Times New Roman"/>
                      <w:color w:val="auto"/>
                      <w:kern w:val="0"/>
                      <w:sz w:val="21"/>
                      <w:szCs w:val="21"/>
                      <w:highlight w:val="none"/>
                      <w:lang w:val="en-US" w:eastAsia="zh-CN" w:bidi="ar"/>
                    </w:rPr>
                    <w:t>建设活动</w:t>
                  </w:r>
                  <w:r>
                    <w:rPr>
                      <w:rFonts w:hint="eastAsia" w:ascii="Times New Roman" w:hAnsi="Times New Roman" w:eastAsia="宋体" w:cs="Times New Roman"/>
                      <w:color w:val="auto"/>
                      <w:kern w:val="0"/>
                      <w:sz w:val="21"/>
                      <w:szCs w:val="21"/>
                      <w:highlight w:val="none"/>
                      <w:lang w:val="en-US" w:eastAsia="zh-CN" w:bidi="ar"/>
                    </w:rPr>
                    <w:t>的要求</w:t>
                  </w:r>
                </w:p>
              </w:tc>
              <w:tc>
                <w:tcPr>
                  <w:tcW w:w="2350" w:type="dxa"/>
                  <w:gridSpan w:val="3"/>
                  <w:noWrap w:val="0"/>
                  <w:vAlign w:val="center"/>
                </w:tcPr>
                <w:p w14:paraId="13DEBE9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cs="Times New Roman"/>
                      <w:bCs/>
                      <w:color w:val="auto"/>
                      <w:kern w:val="0"/>
                      <w:sz w:val="21"/>
                      <w:szCs w:val="21"/>
                      <w:highlight w:val="none"/>
                      <w:lang w:val="zh-CN"/>
                    </w:rPr>
                  </w:pPr>
                  <w:r>
                    <w:rPr>
                      <w:rFonts w:hint="default" w:ascii="Times New Roman" w:hAnsi="Times New Roman" w:cs="Times New Roman"/>
                      <w:bCs/>
                      <w:color w:val="auto"/>
                      <w:kern w:val="0"/>
                      <w:sz w:val="21"/>
                      <w:szCs w:val="21"/>
                      <w:highlight w:val="none"/>
                      <w:lang w:val="zh-CN"/>
                    </w:rPr>
                    <w:t>1、生态保护红线原则上按禁止开发区域的要求进行管理。严禁不符合主体功能定位的各类开发活动，严禁任意改变用途。</w:t>
                  </w:r>
                </w:p>
                <w:p w14:paraId="4B49D445">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bCs/>
                      <w:color w:val="auto"/>
                      <w:kern w:val="0"/>
                      <w:sz w:val="21"/>
                      <w:szCs w:val="21"/>
                      <w:highlight w:val="none"/>
                      <w:lang w:val="zh-CN" w:eastAsia="zh-CN" w:bidi="ar-SA"/>
                    </w:rPr>
                    <w:t>2、生态保护红线内，自然保护地核心保护区原则上禁止人为活动，其他区域严格禁止开发性、生产性建设活动，法律法规另有规定的，从其规定。</w:t>
                  </w:r>
                </w:p>
              </w:tc>
              <w:tc>
                <w:tcPr>
                  <w:tcW w:w="2093" w:type="dxa"/>
                  <w:noWrap w:val="0"/>
                  <w:vAlign w:val="center"/>
                </w:tcPr>
                <w:p w14:paraId="6BE7156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cs="Times New Roman"/>
                      <w:color w:val="auto"/>
                      <w:kern w:val="0"/>
                      <w:sz w:val="21"/>
                      <w:szCs w:val="21"/>
                      <w:highlight w:val="none"/>
                      <w:lang w:val="en-US" w:eastAsia="zh-CN" w:bidi="ar"/>
                    </w:rPr>
                  </w:pPr>
                  <w:r>
                    <w:rPr>
                      <w:rFonts w:hint="eastAsia" w:cs="Times New Roman"/>
                      <w:color w:val="auto"/>
                      <w:kern w:val="0"/>
                      <w:sz w:val="21"/>
                      <w:szCs w:val="21"/>
                      <w:highlight w:val="none"/>
                      <w:lang w:val="en-US" w:eastAsia="zh-CN" w:bidi="ar"/>
                    </w:rPr>
                    <w:t>1、不涉及。</w:t>
                  </w:r>
                </w:p>
                <w:p w14:paraId="0FC18D8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color w:val="auto"/>
                      <w:kern w:val="0"/>
                      <w:sz w:val="21"/>
                      <w:szCs w:val="21"/>
                      <w:highlight w:val="none"/>
                      <w:lang w:val="en-US" w:eastAsia="zh-CN" w:bidi="ar"/>
                    </w:rPr>
                    <w:t>2、</w:t>
                  </w:r>
                  <w:r>
                    <w:rPr>
                      <w:rFonts w:hint="default" w:ascii="Times New Roman" w:hAnsi="Times New Roman" w:eastAsia="宋体" w:cs="Times New Roman"/>
                      <w:color w:val="auto"/>
                      <w:kern w:val="0"/>
                      <w:sz w:val="21"/>
                      <w:szCs w:val="21"/>
                      <w:highlight w:val="none"/>
                      <w:lang w:val="en-US" w:eastAsia="zh-CN" w:bidi="ar"/>
                    </w:rPr>
                    <w:t>本项目位于</w:t>
                  </w:r>
                  <w:r>
                    <w:rPr>
                      <w:rFonts w:hint="eastAsia" w:ascii="Times New Roman" w:hAnsi="Times New Roman" w:eastAsia="宋体" w:cs="Times New Roman"/>
                      <w:color w:val="auto"/>
                      <w:kern w:val="0"/>
                      <w:sz w:val="21"/>
                      <w:szCs w:val="21"/>
                      <w:highlight w:val="none"/>
                      <w:lang w:val="en-US" w:eastAsia="zh-CN" w:bidi="ar"/>
                    </w:rPr>
                    <w:t>石家庄高新技术产业开发区循环化工园区</w:t>
                  </w:r>
                  <w:r>
                    <w:rPr>
                      <w:rFonts w:hint="default" w:ascii="Times New Roman" w:hAnsi="Times New Roman" w:eastAsia="宋体" w:cs="Times New Roman"/>
                      <w:color w:val="auto"/>
                      <w:kern w:val="0"/>
                      <w:sz w:val="21"/>
                      <w:szCs w:val="21"/>
                      <w:highlight w:val="none"/>
                      <w:lang w:val="en-US" w:eastAsia="zh-CN" w:bidi="ar"/>
                    </w:rPr>
                    <w:t>内，不涉及自然保护区、风景名胜区、疗养区等，区内无</w:t>
                  </w:r>
                  <w:r>
                    <w:rPr>
                      <w:rFonts w:hint="eastAsia" w:ascii="Times New Roman" w:hAnsi="Times New Roman" w:eastAsia="宋体" w:cs="Times New Roman"/>
                      <w:color w:val="auto"/>
                      <w:kern w:val="0"/>
                      <w:sz w:val="21"/>
                      <w:szCs w:val="21"/>
                      <w:highlight w:val="none"/>
                      <w:lang w:val="en-US" w:eastAsia="zh-CN" w:bidi="ar"/>
                    </w:rPr>
                    <w:t>珍稀濒危</w:t>
                  </w:r>
                  <w:r>
                    <w:rPr>
                      <w:rFonts w:hint="default" w:ascii="Times New Roman" w:hAnsi="Times New Roman" w:eastAsia="宋体" w:cs="Times New Roman"/>
                      <w:color w:val="auto"/>
                      <w:kern w:val="0"/>
                      <w:sz w:val="21"/>
                      <w:szCs w:val="21"/>
                      <w:highlight w:val="none"/>
                      <w:lang w:val="en-US" w:eastAsia="zh-CN" w:bidi="ar"/>
                    </w:rPr>
                    <w:t>动植、植物，项目不在生态保护红线内。</w:t>
                  </w:r>
                </w:p>
              </w:tc>
              <w:tc>
                <w:tcPr>
                  <w:tcW w:w="526" w:type="dxa"/>
                  <w:noWrap w:val="0"/>
                  <w:vAlign w:val="center"/>
                </w:tcPr>
                <w:p w14:paraId="682AF8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73276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58DDE3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全市水环境总体管控要求</w:t>
                  </w:r>
                </w:p>
              </w:tc>
            </w:tr>
            <w:tr w14:paraId="12A09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241DB8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分类</w:t>
                  </w:r>
                </w:p>
              </w:tc>
              <w:tc>
                <w:tcPr>
                  <w:tcW w:w="813" w:type="dxa"/>
                  <w:gridSpan w:val="2"/>
                  <w:noWrap w:val="0"/>
                  <w:vAlign w:val="center"/>
                </w:tcPr>
                <w:p w14:paraId="7B0309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管控类型</w:t>
                  </w:r>
                </w:p>
              </w:tc>
              <w:tc>
                <w:tcPr>
                  <w:tcW w:w="2777" w:type="dxa"/>
                  <w:gridSpan w:val="4"/>
                  <w:noWrap w:val="0"/>
                  <w:vAlign w:val="center"/>
                </w:tcPr>
                <w:p w14:paraId="6746C69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管控要求</w:t>
                  </w:r>
                </w:p>
              </w:tc>
              <w:tc>
                <w:tcPr>
                  <w:tcW w:w="2093" w:type="dxa"/>
                  <w:noWrap w:val="0"/>
                  <w:vAlign w:val="center"/>
                </w:tcPr>
                <w:p w14:paraId="753D1F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4EA15B4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68C89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vMerge w:val="restart"/>
                  <w:noWrap w:val="0"/>
                  <w:vAlign w:val="center"/>
                </w:tcPr>
                <w:p w14:paraId="54569993">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eastAsia="宋体" w:cs="Times New Roman"/>
                      <w:b w:val="0"/>
                      <w:bCs w:val="0"/>
                      <w:color w:val="auto"/>
                      <w:sz w:val="21"/>
                      <w:szCs w:val="21"/>
                      <w:highlight w:val="none"/>
                      <w:vertAlign w:val="baseline"/>
                      <w:lang w:val="en-US" w:eastAsia="zh-CN"/>
                    </w:rPr>
                  </w:pPr>
                  <w:r>
                    <w:rPr>
                      <w:rFonts w:hint="default" w:ascii="Times New Roman" w:hAnsi="Times New Roman" w:cs="Times New Roman"/>
                      <w:color w:val="auto"/>
                      <w:sz w:val="21"/>
                      <w:szCs w:val="21"/>
                      <w:highlight w:val="none"/>
                    </w:rPr>
                    <w:t>水环境工业污染重点管控区</w:t>
                  </w:r>
                </w:p>
              </w:tc>
              <w:tc>
                <w:tcPr>
                  <w:tcW w:w="813" w:type="dxa"/>
                  <w:gridSpan w:val="2"/>
                  <w:noWrap w:val="0"/>
                  <w:vAlign w:val="center"/>
                </w:tcPr>
                <w:p w14:paraId="046636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eastAsia" w:eastAsia="宋体" w:cs="Times New Roman"/>
                      <w:b w:val="0"/>
                      <w:bCs w:val="0"/>
                      <w:color w:val="auto"/>
                      <w:sz w:val="21"/>
                      <w:szCs w:val="21"/>
                      <w:highlight w:val="none"/>
                      <w:vertAlign w:val="baseline"/>
                      <w:lang w:val="en-US" w:eastAsia="zh-CN"/>
                    </w:rPr>
                  </w:pPr>
                  <w:r>
                    <w:rPr>
                      <w:rFonts w:hint="default" w:ascii="Times New Roman" w:hAnsi="Times New Roman" w:eastAsia="宋体" w:cs="Times New Roman"/>
                      <w:color w:val="auto"/>
                      <w:spacing w:val="0"/>
                      <w:w w:val="100"/>
                      <w:position w:val="0"/>
                      <w:sz w:val="21"/>
                      <w:szCs w:val="24"/>
                      <w:highlight w:val="none"/>
                      <w:lang w:val="zh-CN" w:eastAsia="zh-CN" w:bidi="ar-SA"/>
                    </w:rPr>
                    <w:t>污染物排放管控</w:t>
                  </w:r>
                </w:p>
              </w:tc>
              <w:tc>
                <w:tcPr>
                  <w:tcW w:w="2777" w:type="dxa"/>
                  <w:gridSpan w:val="4"/>
                  <w:noWrap w:val="0"/>
                  <w:vAlign w:val="center"/>
                </w:tcPr>
                <w:p w14:paraId="2DB59491">
                  <w:pPr>
                    <w:spacing w:line="240" w:lineRule="exact"/>
                    <w:rPr>
                      <w:color w:val="auto"/>
                      <w:sz w:val="21"/>
                      <w:szCs w:val="21"/>
                    </w:rPr>
                  </w:pPr>
                  <w:r>
                    <w:rPr>
                      <w:rFonts w:hint="eastAsia"/>
                      <w:color w:val="auto"/>
                      <w:sz w:val="21"/>
                      <w:szCs w:val="21"/>
                    </w:rPr>
                    <w:t>1、严</w:t>
                  </w:r>
                  <w:r>
                    <w:rPr>
                      <w:rFonts w:hint="eastAsia" w:ascii="Times New Roman" w:hAnsi="Times New Roman" w:eastAsia="宋体" w:cs="Times New Roman"/>
                      <w:color w:val="auto"/>
                      <w:spacing w:val="0"/>
                      <w:w w:val="100"/>
                      <w:position w:val="0"/>
                      <w:sz w:val="21"/>
                      <w:szCs w:val="24"/>
                      <w:highlight w:val="none"/>
                      <w:lang w:val="zh-CN" w:eastAsia="zh-CN" w:bidi="ar-SA"/>
                    </w:rPr>
                    <w:t>格控制高污染、高耗水行业新增产能。产能过剩产业实行新增产能等量替代、涉水主要污染物排放同行业倍量替代。对造纸、焦化、氮肥、石油化工、印染、农副食品加工、原料药制造、制革、农药、电镀等重点行业，新建、改建、扩建项目实行新增主要污</w:t>
                  </w:r>
                  <w:r>
                    <w:rPr>
                      <w:rFonts w:hint="eastAsia"/>
                      <w:color w:val="auto"/>
                      <w:sz w:val="21"/>
                      <w:szCs w:val="21"/>
                    </w:rPr>
                    <w:t xml:space="preserve">染物排放倍量替代。 </w:t>
                  </w:r>
                </w:p>
                <w:p w14:paraId="597963CF">
                  <w:pPr>
                    <w:spacing w:line="240" w:lineRule="exact"/>
                    <w:rPr>
                      <w:color w:val="auto"/>
                      <w:sz w:val="21"/>
                      <w:szCs w:val="21"/>
                    </w:rPr>
                  </w:pPr>
                  <w:r>
                    <w:rPr>
                      <w:rFonts w:hint="eastAsia"/>
                      <w:color w:val="auto"/>
                      <w:sz w:val="21"/>
                      <w:szCs w:val="21"/>
                    </w:rPr>
                    <w:t xml:space="preserve">2、工业园区全部建成污水集中处理设施，并安装自动在线监控装置；有流域特别排放限值要求的地区，执行流域特别排放限值。 </w:t>
                  </w:r>
                </w:p>
                <w:p w14:paraId="16C85457">
                  <w:pPr>
                    <w:spacing w:line="240" w:lineRule="exact"/>
                    <w:rPr>
                      <w:color w:val="auto"/>
                      <w:sz w:val="21"/>
                      <w:szCs w:val="21"/>
                    </w:rPr>
                  </w:pPr>
                  <w:r>
                    <w:rPr>
                      <w:rFonts w:hint="eastAsia"/>
                      <w:color w:val="auto"/>
                      <w:sz w:val="21"/>
                      <w:szCs w:val="21"/>
                    </w:rPr>
                    <w:t xml:space="preserve">3、排放工业废水的企业应当采取有效措施，收集和处理产生的全部废水，防止污染环境。含有毒有害水污染物的工业废水应当分类收集和处理，不得稀释排放。 </w:t>
                  </w:r>
                </w:p>
                <w:p w14:paraId="35FD5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eastAsia="宋体" w:cs="Times New Roman"/>
                      <w:b w:val="0"/>
                      <w:bCs w:val="0"/>
                      <w:color w:val="auto"/>
                      <w:sz w:val="21"/>
                      <w:szCs w:val="21"/>
                      <w:highlight w:val="none"/>
                      <w:vertAlign w:val="baseline"/>
                      <w:lang w:val="en-US" w:eastAsia="zh-CN"/>
                    </w:rPr>
                  </w:pPr>
                  <w:r>
                    <w:rPr>
                      <w:rFonts w:hint="eastAsia"/>
                      <w:color w:val="auto"/>
                      <w:sz w:val="21"/>
                      <w:szCs w:val="21"/>
                      <w:lang w:val="en-US" w:eastAsia="zh-CN"/>
                    </w:rPr>
                    <w:t>4</w:t>
                  </w:r>
                  <w:r>
                    <w:rPr>
                      <w:rFonts w:hint="eastAsia"/>
                      <w:color w:val="auto"/>
                      <w:sz w:val="21"/>
                      <w:szCs w:val="21"/>
                    </w:rPr>
                    <w:t>、企业、学校、科研院所、医疗机构、检验检疫机构等单位的实验室、检验室、化验室等产生的酸液、碱液及其他有毒有害废液，应当按照国家和省有关规定进行处理后达标排放或者单独收集、安全处置。</w:t>
                  </w:r>
                </w:p>
              </w:tc>
              <w:tc>
                <w:tcPr>
                  <w:tcW w:w="2093" w:type="dxa"/>
                  <w:noWrap w:val="0"/>
                  <w:vAlign w:val="center"/>
                </w:tcPr>
                <w:p w14:paraId="274CA7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eastAsia" w:cs="Times New Roman"/>
                      <w:color w:val="auto"/>
                      <w:spacing w:val="0"/>
                      <w:w w:val="100"/>
                      <w:position w:val="0"/>
                      <w:sz w:val="21"/>
                      <w:szCs w:val="24"/>
                      <w:highlight w:val="none"/>
                      <w:lang w:val="en-US" w:eastAsia="zh-CN" w:bidi="ar-SA"/>
                    </w:rPr>
                    <w:t>1、</w:t>
                  </w:r>
                  <w:r>
                    <w:rPr>
                      <w:rFonts w:hint="default" w:ascii="Times New Roman" w:hAnsi="Times New Roman" w:eastAsia="宋体" w:cs="Times New Roman"/>
                      <w:color w:val="auto"/>
                      <w:spacing w:val="0"/>
                      <w:w w:val="100"/>
                      <w:position w:val="0"/>
                      <w:sz w:val="21"/>
                      <w:szCs w:val="24"/>
                      <w:highlight w:val="none"/>
                      <w:lang w:val="zh-CN" w:eastAsia="zh-CN" w:bidi="ar-SA"/>
                    </w:rPr>
                    <w:t>本项目不属于高污染高耗水行业，不属于产能过剩行业；本项目符合国家产业政策，不属于造纸、制革等严重污染水环境的生产项目</w:t>
                  </w:r>
                  <w:r>
                    <w:rPr>
                      <w:rFonts w:hint="eastAsia" w:cs="Times New Roman"/>
                      <w:color w:val="auto"/>
                      <w:spacing w:val="0"/>
                      <w:w w:val="100"/>
                      <w:position w:val="0"/>
                      <w:sz w:val="21"/>
                      <w:szCs w:val="24"/>
                      <w:highlight w:val="none"/>
                      <w:lang w:val="zh-CN" w:eastAsia="zh-CN" w:bidi="ar-SA"/>
                    </w:rPr>
                    <w:t>。</w:t>
                  </w:r>
                </w:p>
                <w:p w14:paraId="567F1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eastAsia" w:cs="Times New Roman"/>
                      <w:color w:val="auto"/>
                      <w:spacing w:val="0"/>
                      <w:w w:val="100"/>
                      <w:position w:val="0"/>
                      <w:sz w:val="21"/>
                      <w:szCs w:val="24"/>
                      <w:highlight w:val="none"/>
                      <w:lang w:val="en-US" w:eastAsia="zh-CN" w:bidi="ar-SA"/>
                    </w:rPr>
                    <w:t>2、</w:t>
                  </w:r>
                  <w:r>
                    <w:rPr>
                      <w:rFonts w:hint="eastAsia" w:cs="Times New Roman"/>
                      <w:color w:val="auto"/>
                      <w:spacing w:val="0"/>
                      <w:w w:val="100"/>
                      <w:position w:val="0"/>
                      <w:sz w:val="21"/>
                      <w:szCs w:val="24"/>
                      <w:highlight w:val="none"/>
                      <w:lang w:val="zh-CN"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4"/>
                      <w:highlight w:val="none"/>
                      <w:lang w:val="zh-CN" w:eastAsia="zh-CN" w:bidi="ar-SA"/>
                    </w:rPr>
                    <w:t>位于丘头镇丽阳村北1000米处，污水处理能力</w:t>
                  </w:r>
                  <w:r>
                    <w:rPr>
                      <w:rFonts w:hint="default" w:ascii="Times New Roman" w:hAnsi="Times New Roman" w:eastAsia="宋体" w:cs="Times New Roman"/>
                      <w:color w:val="auto"/>
                      <w:spacing w:val="0"/>
                      <w:w w:val="100"/>
                      <w:position w:val="0"/>
                      <w:sz w:val="21"/>
                      <w:szCs w:val="24"/>
                      <w:highlight w:val="none"/>
                      <w:lang w:val="en-US" w:eastAsia="zh-CN" w:bidi="ar-SA"/>
                    </w:rPr>
                    <w:t>5</w:t>
                  </w:r>
                  <w:r>
                    <w:rPr>
                      <w:rFonts w:hint="default" w:ascii="Times New Roman" w:hAnsi="Times New Roman" w:eastAsia="宋体" w:cs="Times New Roman"/>
                      <w:color w:val="auto"/>
                      <w:spacing w:val="0"/>
                      <w:w w:val="100"/>
                      <w:position w:val="0"/>
                      <w:sz w:val="21"/>
                      <w:szCs w:val="24"/>
                      <w:highlight w:val="none"/>
                      <w:lang w:val="zh-CN" w:eastAsia="zh-CN" w:bidi="ar-SA"/>
                    </w:rPr>
                    <w:t>万m</w:t>
                  </w:r>
                  <w:r>
                    <w:rPr>
                      <w:rFonts w:hint="default" w:ascii="Times New Roman" w:hAnsi="Times New Roman" w:eastAsia="宋体" w:cs="Times New Roman"/>
                      <w:color w:val="auto"/>
                      <w:spacing w:val="0"/>
                      <w:w w:val="100"/>
                      <w:position w:val="0"/>
                      <w:sz w:val="21"/>
                      <w:szCs w:val="24"/>
                      <w:highlight w:val="none"/>
                      <w:vertAlign w:val="superscript"/>
                      <w:lang w:val="zh-CN" w:eastAsia="zh-CN" w:bidi="ar-SA"/>
                    </w:rPr>
                    <w:t>3</w:t>
                  </w:r>
                  <w:r>
                    <w:rPr>
                      <w:rFonts w:hint="default" w:ascii="Times New Roman" w:hAnsi="Times New Roman" w:eastAsia="宋体" w:cs="Times New Roman"/>
                      <w:color w:val="auto"/>
                      <w:spacing w:val="0"/>
                      <w:w w:val="100"/>
                      <w:position w:val="0"/>
                      <w:sz w:val="21"/>
                      <w:szCs w:val="24"/>
                      <w:highlight w:val="none"/>
                      <w:lang w:val="zh-CN" w:eastAsia="zh-CN" w:bidi="ar-SA"/>
                    </w:rPr>
                    <w:t>/d，并安装自动在线监控装置。</w:t>
                  </w:r>
                </w:p>
                <w:p w14:paraId="526735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eastAsia" w:cs="Times New Roman"/>
                      <w:color w:val="auto"/>
                      <w:spacing w:val="0"/>
                      <w:w w:val="100"/>
                      <w:position w:val="0"/>
                      <w:sz w:val="21"/>
                      <w:szCs w:val="24"/>
                      <w:highlight w:val="none"/>
                      <w:lang w:val="en-US" w:eastAsia="zh-CN" w:bidi="ar-SA"/>
                    </w:rPr>
                    <w:t>3、</w:t>
                  </w:r>
                  <w:bookmarkStart w:id="12" w:name="OLE_LINK21"/>
                  <w:r>
                    <w:rPr>
                      <w:rFonts w:hint="eastAsia" w:cs="Times New Roman"/>
                      <w:color w:val="auto"/>
                      <w:spacing w:val="0"/>
                      <w:w w:val="100"/>
                      <w:position w:val="0"/>
                      <w:sz w:val="21"/>
                      <w:szCs w:val="24"/>
                      <w:highlight w:val="none"/>
                      <w:lang w:val="en-US" w:eastAsia="zh-CN" w:bidi="ar-SA"/>
                    </w:rPr>
                    <w:t>本</w:t>
                  </w:r>
                  <w:r>
                    <w:rPr>
                      <w:rFonts w:hint="default" w:ascii="Times New Roman" w:hAnsi="Times New Roman" w:eastAsia="宋体" w:cs="Times New Roman"/>
                      <w:color w:val="auto"/>
                      <w:spacing w:val="0"/>
                      <w:w w:val="100"/>
                      <w:position w:val="0"/>
                      <w:sz w:val="21"/>
                      <w:szCs w:val="24"/>
                      <w:highlight w:val="none"/>
                      <w:lang w:val="zh-CN" w:eastAsia="zh-CN" w:bidi="ar-SA"/>
                    </w:rPr>
                    <w:t>项目位于</w:t>
                  </w:r>
                  <w:r>
                    <w:rPr>
                      <w:rFonts w:hint="eastAsia" w:ascii="Times New Roman" w:hAnsi="Times New Roman" w:eastAsia="宋体" w:cs="Times New Roman"/>
                      <w:color w:val="auto"/>
                      <w:spacing w:val="0"/>
                      <w:w w:val="100"/>
                      <w:position w:val="0"/>
                      <w:sz w:val="21"/>
                      <w:szCs w:val="24"/>
                      <w:highlight w:val="none"/>
                      <w:lang w:val="zh-CN" w:eastAsia="zh-CN" w:bidi="ar-SA"/>
                    </w:rPr>
                    <w:t>石家庄高新技术产业开发区循环化工园区</w:t>
                  </w:r>
                  <w:r>
                    <w:rPr>
                      <w:rFonts w:hint="default" w:ascii="Times New Roman" w:hAnsi="Times New Roman" w:eastAsia="宋体" w:cs="Times New Roman"/>
                      <w:color w:val="auto"/>
                      <w:spacing w:val="0"/>
                      <w:w w:val="100"/>
                      <w:position w:val="0"/>
                      <w:sz w:val="21"/>
                      <w:szCs w:val="24"/>
                      <w:highlight w:val="none"/>
                      <w:lang w:val="zh-CN" w:eastAsia="zh-CN" w:bidi="ar-SA"/>
                    </w:rPr>
                    <w:t>，</w:t>
                  </w:r>
                  <w:r>
                    <w:rPr>
                      <w:rFonts w:hint="default" w:ascii="Times New Roman" w:hAnsi="Times New Roman" w:eastAsia="宋体" w:cs="Times New Roman"/>
                      <w:color w:val="auto"/>
                      <w:spacing w:val="0"/>
                      <w:w w:val="100"/>
                      <w:position w:val="0"/>
                      <w:sz w:val="21"/>
                      <w:szCs w:val="24"/>
                      <w:highlight w:val="none"/>
                      <w:lang w:val="en-US" w:eastAsia="zh-CN" w:bidi="ar-SA"/>
                    </w:rPr>
                    <w:t>本项目排废水</w:t>
                  </w:r>
                  <w:r>
                    <w:rPr>
                      <w:rFonts w:hint="default" w:ascii="Times New Roman" w:hAnsi="Times New Roman" w:eastAsia="宋体" w:cs="Times New Roman"/>
                      <w:color w:val="auto"/>
                      <w:spacing w:val="0"/>
                      <w:w w:val="100"/>
                      <w:position w:val="0"/>
                      <w:sz w:val="21"/>
                      <w:szCs w:val="24"/>
                      <w:highlight w:val="none"/>
                      <w:lang w:val="zh-CN" w:eastAsia="zh-CN" w:bidi="ar-SA"/>
                    </w:rPr>
                    <w:t>经</w:t>
                  </w:r>
                  <w:r>
                    <w:rPr>
                      <w:rFonts w:hint="eastAsia" w:ascii="Times New Roman" w:hAnsi="Times New Roman" w:eastAsia="宋体" w:cs="Times New Roman"/>
                      <w:color w:val="auto"/>
                      <w:spacing w:val="0"/>
                      <w:w w:val="100"/>
                      <w:position w:val="0"/>
                      <w:sz w:val="21"/>
                      <w:szCs w:val="24"/>
                      <w:highlight w:val="none"/>
                      <w:lang w:val="zh-CN" w:eastAsia="zh-CN" w:bidi="ar-SA"/>
                    </w:rPr>
                    <w:t>厂综合污水处理站</w:t>
                  </w:r>
                  <w:r>
                    <w:rPr>
                      <w:rFonts w:hint="default" w:ascii="Times New Roman" w:hAnsi="Times New Roman" w:eastAsia="宋体" w:cs="Times New Roman"/>
                      <w:color w:val="auto"/>
                      <w:spacing w:val="0"/>
                      <w:w w:val="100"/>
                      <w:position w:val="0"/>
                      <w:sz w:val="21"/>
                      <w:szCs w:val="24"/>
                      <w:highlight w:val="none"/>
                      <w:lang w:val="zh-CN" w:eastAsia="zh-CN" w:bidi="ar-SA"/>
                    </w:rPr>
                    <w:t>处理达标后排入</w:t>
                  </w:r>
                  <w:r>
                    <w:rPr>
                      <w:rFonts w:hint="eastAsia" w:ascii="Times New Roman" w:hAnsi="Times New Roman" w:eastAsia="宋体" w:cs="Times New Roman"/>
                      <w:color w:val="auto"/>
                      <w:spacing w:val="0"/>
                      <w:w w:val="100"/>
                      <w:position w:val="0"/>
                      <w:sz w:val="21"/>
                      <w:szCs w:val="24"/>
                      <w:highlight w:val="none"/>
                      <w:lang w:val="zh-CN"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4"/>
                      <w:highlight w:val="none"/>
                      <w:lang w:val="zh-CN" w:eastAsia="zh-CN" w:bidi="ar-SA"/>
                    </w:rPr>
                    <w:t>进一步处理。</w:t>
                  </w:r>
                  <w:bookmarkEnd w:id="12"/>
                </w:p>
                <w:p w14:paraId="500873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eastAsia="宋体" w:cs="Times New Roman"/>
                      <w:b w:val="0"/>
                      <w:bCs w:val="0"/>
                      <w:color w:val="auto"/>
                      <w:sz w:val="21"/>
                      <w:szCs w:val="21"/>
                      <w:highlight w:val="none"/>
                      <w:vertAlign w:val="baseline"/>
                      <w:lang w:val="en-US" w:eastAsia="zh-CN"/>
                    </w:rPr>
                  </w:pPr>
                  <w:r>
                    <w:rPr>
                      <w:rFonts w:hint="eastAsia" w:cs="Times New Roman"/>
                      <w:color w:val="auto"/>
                      <w:spacing w:val="0"/>
                      <w:w w:val="100"/>
                      <w:position w:val="0"/>
                      <w:sz w:val="21"/>
                      <w:szCs w:val="24"/>
                      <w:highlight w:val="none"/>
                      <w:lang w:val="en-US" w:eastAsia="zh-CN" w:bidi="ar-SA"/>
                    </w:rPr>
                    <w:t>4、企业产生的在线监测废液、实验室废液等，</w:t>
                  </w:r>
                  <w:r>
                    <w:rPr>
                      <w:rFonts w:hint="default" w:cs="Times New Roman"/>
                      <w:color w:val="auto"/>
                      <w:spacing w:val="0"/>
                      <w:w w:val="100"/>
                      <w:position w:val="0"/>
                      <w:sz w:val="21"/>
                      <w:szCs w:val="24"/>
                      <w:highlight w:val="none"/>
                      <w:lang w:val="en-US" w:eastAsia="zh-CN" w:bidi="ar-SA"/>
                    </w:rPr>
                    <w:t>暂存于危废间内，定期交由有资质单位处置</w:t>
                  </w:r>
                  <w:r>
                    <w:rPr>
                      <w:rFonts w:hint="eastAsia" w:cs="Times New Roman"/>
                      <w:color w:val="auto"/>
                      <w:spacing w:val="0"/>
                      <w:w w:val="100"/>
                      <w:position w:val="0"/>
                      <w:sz w:val="21"/>
                      <w:szCs w:val="24"/>
                      <w:highlight w:val="none"/>
                      <w:lang w:val="en-US" w:eastAsia="zh-CN" w:bidi="ar-SA"/>
                    </w:rPr>
                    <w:t>。</w:t>
                  </w:r>
                </w:p>
              </w:tc>
              <w:tc>
                <w:tcPr>
                  <w:tcW w:w="526" w:type="dxa"/>
                  <w:vMerge w:val="restart"/>
                  <w:noWrap w:val="0"/>
                  <w:vAlign w:val="center"/>
                </w:tcPr>
                <w:p w14:paraId="5B4259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7E0CD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vMerge w:val="continue"/>
                  <w:noWrap w:val="0"/>
                  <w:vAlign w:val="center"/>
                </w:tcPr>
                <w:p w14:paraId="7EE8FE65">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default" w:ascii="Times New Roman" w:hAnsi="Times New Roman" w:cs="Times New Roman"/>
                      <w:color w:val="auto"/>
                      <w:sz w:val="21"/>
                      <w:szCs w:val="21"/>
                      <w:highlight w:val="none"/>
                    </w:rPr>
                  </w:pPr>
                </w:p>
              </w:tc>
              <w:tc>
                <w:tcPr>
                  <w:tcW w:w="813" w:type="dxa"/>
                  <w:gridSpan w:val="2"/>
                  <w:noWrap w:val="0"/>
                  <w:vAlign w:val="center"/>
                </w:tcPr>
                <w:p w14:paraId="3B4F1F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环境风险</w:t>
                  </w:r>
                </w:p>
                <w:p w14:paraId="22B478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防控</w:t>
                  </w:r>
                </w:p>
              </w:tc>
              <w:tc>
                <w:tcPr>
                  <w:tcW w:w="2777" w:type="dxa"/>
                  <w:gridSpan w:val="4"/>
                  <w:noWrap w:val="0"/>
                  <w:vAlign w:val="center"/>
                </w:tcPr>
                <w:p w14:paraId="6837ED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1、化学品生产、存储、运输、销售企业以及工业园区</w:t>
                  </w:r>
                  <w:r>
                    <w:rPr>
                      <w:rFonts w:hint="eastAsia" w:cs="Times New Roman"/>
                      <w:color w:val="auto"/>
                      <w:spacing w:val="0"/>
                      <w:w w:val="100"/>
                      <w:position w:val="0"/>
                      <w:sz w:val="21"/>
                      <w:szCs w:val="24"/>
                      <w:highlight w:val="none"/>
                      <w:lang w:val="zh-CN" w:eastAsia="zh-CN" w:bidi="ar-SA"/>
                    </w:rPr>
                    <w:t>（</w:t>
                  </w:r>
                  <w:r>
                    <w:rPr>
                      <w:rFonts w:hint="default" w:ascii="Times New Roman" w:hAnsi="Times New Roman" w:eastAsia="宋体" w:cs="Times New Roman"/>
                      <w:color w:val="auto"/>
                      <w:spacing w:val="0"/>
                      <w:w w:val="100"/>
                      <w:position w:val="0"/>
                      <w:sz w:val="21"/>
                      <w:szCs w:val="24"/>
                      <w:highlight w:val="none"/>
                      <w:lang w:val="zh-CN" w:eastAsia="zh-CN" w:bidi="ar-SA"/>
                    </w:rPr>
                    <w:t>工业集聚区</w:t>
                  </w:r>
                  <w:r>
                    <w:rPr>
                      <w:rFonts w:hint="eastAsia" w:cs="Times New Roman"/>
                      <w:color w:val="auto"/>
                      <w:spacing w:val="0"/>
                      <w:w w:val="100"/>
                      <w:position w:val="0"/>
                      <w:sz w:val="21"/>
                      <w:szCs w:val="24"/>
                      <w:highlight w:val="none"/>
                      <w:lang w:val="zh-CN" w:eastAsia="zh-CN" w:bidi="ar-SA"/>
                    </w:rPr>
                    <w:t>）</w:t>
                  </w:r>
                  <w:r>
                    <w:rPr>
                      <w:rFonts w:hint="default" w:ascii="Times New Roman" w:hAnsi="Times New Roman" w:eastAsia="宋体" w:cs="Times New Roman"/>
                      <w:color w:val="auto"/>
                      <w:spacing w:val="0"/>
                      <w:w w:val="100"/>
                      <w:position w:val="0"/>
                      <w:sz w:val="21"/>
                      <w:szCs w:val="24"/>
                      <w:highlight w:val="none"/>
                      <w:lang w:val="zh-CN" w:eastAsia="zh-CN" w:bidi="ar-SA"/>
                    </w:rPr>
                    <w:t>、矿山开采区、尾矿库、危险废物处置场、垃圾填埋场等运营、管理单位，应当采取防渗漏等措施，防止地下水污染。</w:t>
                  </w:r>
                </w:p>
                <w:p w14:paraId="794EF6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2、加油站、储油库等的地下油罐应当使用双层罐或者采取建造防渗池等其他有效措施，并进行防渗漏监测，防止污染地下水。</w:t>
                  </w:r>
                </w:p>
                <w:p w14:paraId="3F762E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3、工业固体废弃物集中贮存、处置的设施、场所和生活垃圾填埋场应当采取防扬散、防流失、防渗漏或者其他符合水污染防治要求的措施，防止污染水环境。</w:t>
                  </w:r>
                </w:p>
                <w:p w14:paraId="6628EC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4、可能发生水污染事故的企业事业单位，应当按照有关规定制定有关水污染事故的应急方案，做好应急准备，定期进行预防演练。</w:t>
                  </w:r>
                </w:p>
              </w:tc>
              <w:tc>
                <w:tcPr>
                  <w:tcW w:w="2093" w:type="dxa"/>
                  <w:noWrap w:val="0"/>
                  <w:vAlign w:val="center"/>
                </w:tcPr>
                <w:p w14:paraId="4F067E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1、</w:t>
                  </w:r>
                  <w:r>
                    <w:rPr>
                      <w:rFonts w:hint="default" w:ascii="Times New Roman" w:hAnsi="Times New Roman" w:eastAsia="宋体" w:cs="Times New Roman"/>
                      <w:color w:val="auto"/>
                      <w:spacing w:val="0"/>
                      <w:w w:val="100"/>
                      <w:position w:val="0"/>
                      <w:sz w:val="21"/>
                      <w:szCs w:val="24"/>
                      <w:highlight w:val="none"/>
                      <w:lang w:val="en-US" w:eastAsia="zh-CN" w:bidi="ar-SA"/>
                    </w:rPr>
                    <w:t>厂区针对不同区域分别按要求进行了防腐防渗处理，不会对地下水产生影响。</w:t>
                  </w:r>
                </w:p>
                <w:p w14:paraId="1AA13E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2、本项目不涉及。</w:t>
                  </w:r>
                </w:p>
                <w:p w14:paraId="5EA106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3、本项目工业固体废弃物集中贮存区均已</w:t>
                  </w:r>
                  <w:r>
                    <w:rPr>
                      <w:rFonts w:hint="default" w:ascii="Times New Roman" w:hAnsi="Times New Roman" w:eastAsia="宋体" w:cs="Times New Roman"/>
                      <w:color w:val="auto"/>
                      <w:spacing w:val="0"/>
                      <w:w w:val="100"/>
                      <w:position w:val="0"/>
                      <w:sz w:val="21"/>
                      <w:szCs w:val="24"/>
                      <w:highlight w:val="none"/>
                      <w:lang w:val="zh-CN" w:eastAsia="zh-CN" w:bidi="ar-SA"/>
                    </w:rPr>
                    <w:t>采取防扬散、防流失、防渗漏</w:t>
                  </w:r>
                  <w:r>
                    <w:rPr>
                      <w:rFonts w:hint="eastAsia" w:cs="Times New Roman"/>
                      <w:color w:val="auto"/>
                      <w:spacing w:val="0"/>
                      <w:w w:val="100"/>
                      <w:position w:val="0"/>
                      <w:sz w:val="21"/>
                      <w:szCs w:val="24"/>
                      <w:highlight w:val="none"/>
                      <w:lang w:val="en-US" w:eastAsia="zh-CN" w:bidi="ar-SA"/>
                    </w:rPr>
                    <w:t>等</w:t>
                  </w:r>
                  <w:r>
                    <w:rPr>
                      <w:rFonts w:hint="default" w:ascii="Times New Roman" w:hAnsi="Times New Roman" w:eastAsia="宋体" w:cs="Times New Roman"/>
                      <w:color w:val="auto"/>
                      <w:spacing w:val="0"/>
                      <w:w w:val="100"/>
                      <w:position w:val="0"/>
                      <w:sz w:val="21"/>
                      <w:szCs w:val="24"/>
                      <w:highlight w:val="none"/>
                      <w:lang w:val="zh-CN" w:eastAsia="zh-CN" w:bidi="ar-SA"/>
                    </w:rPr>
                    <w:t>水污染防治要求的措施，防止污染水环境。</w:t>
                  </w:r>
                </w:p>
                <w:p w14:paraId="277F3B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cs="Times New Roman"/>
                      <w:color w:val="auto"/>
                      <w:kern w:val="0"/>
                      <w:sz w:val="21"/>
                      <w:szCs w:val="21"/>
                      <w:highlight w:val="none"/>
                      <w:lang w:val="en-US" w:eastAsia="zh-CN"/>
                    </w:rPr>
                  </w:pPr>
                  <w:r>
                    <w:rPr>
                      <w:rFonts w:hint="eastAsia" w:cs="Times New Roman"/>
                      <w:color w:val="auto"/>
                      <w:spacing w:val="0"/>
                      <w:w w:val="100"/>
                      <w:position w:val="0"/>
                      <w:sz w:val="21"/>
                      <w:szCs w:val="24"/>
                      <w:highlight w:val="none"/>
                      <w:lang w:val="en-US" w:eastAsia="zh-CN" w:bidi="ar-SA"/>
                    </w:rPr>
                    <w:t>4、</w:t>
                  </w:r>
                  <w:r>
                    <w:rPr>
                      <w:rFonts w:hint="default" w:ascii="Times New Roman" w:hAnsi="Times New Roman" w:eastAsia="宋体" w:cs="Times New Roman"/>
                      <w:color w:val="auto"/>
                      <w:spacing w:val="0"/>
                      <w:w w:val="100"/>
                      <w:position w:val="0"/>
                      <w:sz w:val="21"/>
                      <w:szCs w:val="24"/>
                      <w:highlight w:val="none"/>
                      <w:lang w:val="en-US" w:eastAsia="zh-CN" w:bidi="ar-SA"/>
                    </w:rPr>
                    <w:t>本项目废水</w:t>
                  </w:r>
                  <w:r>
                    <w:rPr>
                      <w:rFonts w:hint="default" w:ascii="Times New Roman" w:hAnsi="Times New Roman" w:eastAsia="宋体" w:cs="Times New Roman"/>
                      <w:color w:val="auto"/>
                      <w:spacing w:val="0"/>
                      <w:w w:val="100"/>
                      <w:position w:val="0"/>
                      <w:sz w:val="21"/>
                      <w:szCs w:val="24"/>
                      <w:highlight w:val="none"/>
                      <w:lang w:val="zh-CN" w:eastAsia="zh-CN" w:bidi="ar-SA"/>
                    </w:rPr>
                    <w:t>经</w:t>
                  </w:r>
                  <w:r>
                    <w:rPr>
                      <w:rFonts w:hint="eastAsia" w:ascii="Times New Roman" w:hAnsi="Times New Roman" w:eastAsia="宋体" w:cs="Times New Roman"/>
                      <w:color w:val="auto"/>
                      <w:spacing w:val="0"/>
                      <w:w w:val="100"/>
                      <w:position w:val="0"/>
                      <w:sz w:val="21"/>
                      <w:szCs w:val="24"/>
                      <w:highlight w:val="none"/>
                      <w:lang w:val="zh-CN" w:eastAsia="zh-CN" w:bidi="ar-SA"/>
                    </w:rPr>
                    <w:t>厂综合污水处理站</w:t>
                  </w:r>
                  <w:r>
                    <w:rPr>
                      <w:rFonts w:hint="default" w:ascii="Times New Roman" w:hAnsi="Times New Roman" w:eastAsia="宋体" w:cs="Times New Roman"/>
                      <w:color w:val="auto"/>
                      <w:spacing w:val="0"/>
                      <w:w w:val="100"/>
                      <w:position w:val="0"/>
                      <w:sz w:val="21"/>
                      <w:szCs w:val="24"/>
                      <w:highlight w:val="none"/>
                      <w:lang w:val="zh-CN" w:eastAsia="zh-CN" w:bidi="ar-SA"/>
                    </w:rPr>
                    <w:t>处理达标后排入</w:t>
                  </w:r>
                  <w:r>
                    <w:rPr>
                      <w:rFonts w:hint="eastAsia" w:ascii="Times New Roman" w:hAnsi="Times New Roman" w:eastAsia="宋体" w:cs="Times New Roman"/>
                      <w:color w:val="auto"/>
                      <w:spacing w:val="0"/>
                      <w:w w:val="100"/>
                      <w:position w:val="0"/>
                      <w:sz w:val="21"/>
                      <w:szCs w:val="24"/>
                      <w:highlight w:val="none"/>
                      <w:lang w:val="zh-CN"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4"/>
                      <w:highlight w:val="none"/>
                      <w:lang w:val="zh-CN" w:eastAsia="zh-CN" w:bidi="ar-SA"/>
                    </w:rPr>
                    <w:t>进一步处理。</w:t>
                  </w:r>
                  <w:r>
                    <w:rPr>
                      <w:rFonts w:hint="eastAsia" w:cs="Times New Roman"/>
                      <w:color w:val="auto"/>
                      <w:spacing w:val="0"/>
                      <w:w w:val="100"/>
                      <w:position w:val="0"/>
                      <w:sz w:val="21"/>
                      <w:szCs w:val="24"/>
                      <w:highlight w:val="none"/>
                      <w:lang w:val="en-US" w:eastAsia="zh-CN" w:bidi="ar-SA"/>
                    </w:rPr>
                    <w:t>本</w:t>
                  </w:r>
                  <w:r>
                    <w:rPr>
                      <w:rFonts w:hint="eastAsia" w:cs="Times New Roman"/>
                      <w:color w:val="auto"/>
                      <w:spacing w:val="0"/>
                      <w:w w:val="100"/>
                      <w:position w:val="0"/>
                      <w:sz w:val="21"/>
                      <w:szCs w:val="24"/>
                      <w:highlight w:val="none"/>
                      <w:lang w:val="zh-CN" w:eastAsia="zh-CN" w:bidi="ar-SA"/>
                    </w:rPr>
                    <w:t>项目建成后，</w:t>
                  </w:r>
                  <w:r>
                    <w:rPr>
                      <w:rFonts w:hint="default" w:ascii="Times New Roman" w:hAnsi="Times New Roman" w:eastAsia="宋体" w:cs="Times New Roman"/>
                      <w:color w:val="auto"/>
                      <w:spacing w:val="0"/>
                      <w:w w:val="100"/>
                      <w:position w:val="0"/>
                      <w:sz w:val="21"/>
                      <w:szCs w:val="24"/>
                      <w:highlight w:val="none"/>
                      <w:lang w:val="en-US" w:eastAsia="zh-CN" w:bidi="ar-SA"/>
                    </w:rPr>
                    <w:t>企业</w:t>
                  </w:r>
                  <w:r>
                    <w:rPr>
                      <w:rFonts w:hint="eastAsia" w:cs="Times New Roman"/>
                      <w:color w:val="auto"/>
                      <w:spacing w:val="0"/>
                      <w:w w:val="100"/>
                      <w:position w:val="0"/>
                      <w:sz w:val="21"/>
                      <w:szCs w:val="24"/>
                      <w:highlight w:val="none"/>
                      <w:lang w:val="en-US" w:eastAsia="zh-CN" w:bidi="ar-SA"/>
                    </w:rPr>
                    <w:t>需完成应</w:t>
                  </w:r>
                  <w:r>
                    <w:rPr>
                      <w:rFonts w:hint="default" w:ascii="Times New Roman" w:hAnsi="Times New Roman" w:eastAsia="宋体" w:cs="Times New Roman"/>
                      <w:color w:val="auto"/>
                      <w:spacing w:val="0"/>
                      <w:w w:val="100"/>
                      <w:position w:val="0"/>
                      <w:sz w:val="21"/>
                      <w:szCs w:val="24"/>
                      <w:highlight w:val="none"/>
                      <w:lang w:val="en-US" w:eastAsia="zh-CN" w:bidi="ar-SA"/>
                    </w:rPr>
                    <w:t>急预案</w:t>
                  </w:r>
                  <w:r>
                    <w:rPr>
                      <w:rFonts w:hint="eastAsia" w:cs="Times New Roman"/>
                      <w:color w:val="auto"/>
                      <w:spacing w:val="0"/>
                      <w:w w:val="100"/>
                      <w:position w:val="0"/>
                      <w:sz w:val="21"/>
                      <w:szCs w:val="24"/>
                      <w:highlight w:val="none"/>
                      <w:lang w:val="en-US" w:eastAsia="zh-CN" w:bidi="ar-SA"/>
                    </w:rPr>
                    <w:t>的修订</w:t>
                  </w:r>
                  <w:r>
                    <w:rPr>
                      <w:rFonts w:hint="default" w:ascii="Times New Roman" w:hAnsi="Times New Roman" w:eastAsia="宋体" w:cs="Times New Roman"/>
                      <w:color w:val="auto"/>
                      <w:spacing w:val="0"/>
                      <w:w w:val="100"/>
                      <w:position w:val="0"/>
                      <w:sz w:val="21"/>
                      <w:szCs w:val="24"/>
                      <w:highlight w:val="none"/>
                      <w:lang w:val="en-US" w:eastAsia="zh-CN" w:bidi="ar-SA"/>
                    </w:rPr>
                    <w:t>并备案</w:t>
                  </w:r>
                  <w:r>
                    <w:rPr>
                      <w:rFonts w:hint="eastAsia" w:cs="Times New Roman"/>
                      <w:color w:val="auto"/>
                      <w:spacing w:val="0"/>
                      <w:w w:val="100"/>
                      <w:position w:val="0"/>
                      <w:sz w:val="21"/>
                      <w:szCs w:val="24"/>
                      <w:highlight w:val="none"/>
                      <w:lang w:val="en-US" w:eastAsia="zh-CN" w:bidi="ar-SA"/>
                    </w:rPr>
                    <w:t>，定期进行预防演练</w:t>
                  </w:r>
                  <w:r>
                    <w:rPr>
                      <w:rFonts w:hint="default" w:ascii="Times New Roman" w:hAnsi="Times New Roman" w:eastAsia="宋体" w:cs="Times New Roman"/>
                      <w:color w:val="auto"/>
                      <w:spacing w:val="0"/>
                      <w:w w:val="100"/>
                      <w:position w:val="0"/>
                      <w:sz w:val="21"/>
                      <w:szCs w:val="24"/>
                      <w:highlight w:val="none"/>
                      <w:lang w:val="en-US" w:eastAsia="zh-CN" w:bidi="ar-SA"/>
                    </w:rPr>
                    <w:t>。</w:t>
                  </w:r>
                </w:p>
              </w:tc>
              <w:tc>
                <w:tcPr>
                  <w:tcW w:w="526" w:type="dxa"/>
                  <w:vMerge w:val="continue"/>
                  <w:noWrap w:val="0"/>
                  <w:vAlign w:val="center"/>
                </w:tcPr>
                <w:p w14:paraId="16E4567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p>
              </w:tc>
            </w:tr>
            <w:tr w14:paraId="2BD23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815" w:type="dxa"/>
                  <w:gridSpan w:val="9"/>
                  <w:noWrap w:val="0"/>
                  <w:vAlign w:val="center"/>
                </w:tcPr>
                <w:p w14:paraId="595F5D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大气环境总体准入要求</w:t>
                  </w:r>
                </w:p>
              </w:tc>
            </w:tr>
            <w:tr w14:paraId="6FD84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9" w:hRule="atLeast"/>
              </w:trPr>
              <w:tc>
                <w:tcPr>
                  <w:tcW w:w="606" w:type="dxa"/>
                  <w:noWrap w:val="0"/>
                  <w:vAlign w:val="center"/>
                </w:tcPr>
                <w:p w14:paraId="6A2042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管控类型</w:t>
                  </w:r>
                </w:p>
              </w:tc>
              <w:tc>
                <w:tcPr>
                  <w:tcW w:w="3590" w:type="dxa"/>
                  <w:gridSpan w:val="6"/>
                  <w:noWrap w:val="0"/>
                  <w:vAlign w:val="center"/>
                </w:tcPr>
                <w:p w14:paraId="17C603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准入要求</w:t>
                  </w:r>
                </w:p>
              </w:tc>
              <w:tc>
                <w:tcPr>
                  <w:tcW w:w="2093" w:type="dxa"/>
                  <w:noWrap w:val="0"/>
                  <w:vAlign w:val="center"/>
                </w:tcPr>
                <w:p w14:paraId="7B2EF9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28D33D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3D5B3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22B2B2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空间布局约束</w:t>
                  </w:r>
                </w:p>
              </w:tc>
              <w:tc>
                <w:tcPr>
                  <w:tcW w:w="3590" w:type="dxa"/>
                  <w:gridSpan w:val="6"/>
                  <w:noWrap w:val="0"/>
                  <w:vAlign w:val="center"/>
                </w:tcPr>
                <w:p w14:paraId="0E04E2EB">
                  <w:pPr>
                    <w:spacing w:line="240" w:lineRule="exact"/>
                    <w:rPr>
                      <w:color w:val="auto"/>
                      <w:sz w:val="21"/>
                      <w:szCs w:val="21"/>
                    </w:rPr>
                  </w:pPr>
                  <w:r>
                    <w:rPr>
                      <w:rFonts w:hint="eastAsia"/>
                      <w:color w:val="auto"/>
                      <w:sz w:val="21"/>
                      <w:szCs w:val="21"/>
                    </w:rPr>
                    <w:t xml:space="preserve">1、加大钢铁、焦化等行业结构调整力度，推进化工、石化企业治理改造，优先发展战略新兴产业和先进制造业，坚决遏制高耗能高排放低水平项目盲目发展。 </w:t>
                  </w:r>
                </w:p>
                <w:p w14:paraId="4A08C873">
                  <w:pPr>
                    <w:spacing w:line="240" w:lineRule="exact"/>
                    <w:rPr>
                      <w:color w:val="auto"/>
                      <w:sz w:val="21"/>
                      <w:szCs w:val="21"/>
                    </w:rPr>
                  </w:pPr>
                  <w:r>
                    <w:rPr>
                      <w:rFonts w:hint="eastAsia"/>
                      <w:color w:val="auto"/>
                      <w:sz w:val="21"/>
                      <w:szCs w:val="21"/>
                    </w:rPr>
                    <w:t xml:space="preserve">2、引导重点行业向环境容量充足、扩散条件较好区域布局。 </w:t>
                  </w:r>
                </w:p>
                <w:p w14:paraId="12239B2A">
                  <w:pPr>
                    <w:spacing w:line="240" w:lineRule="exact"/>
                    <w:rPr>
                      <w:color w:val="auto"/>
                      <w:sz w:val="21"/>
                      <w:szCs w:val="21"/>
                    </w:rPr>
                  </w:pPr>
                  <w:r>
                    <w:rPr>
                      <w:rFonts w:hint="eastAsia"/>
                      <w:color w:val="auto"/>
                      <w:sz w:val="21"/>
                      <w:szCs w:val="21"/>
                    </w:rPr>
                    <w:t xml:space="preserve">3、大气环境受体敏感重点管控区、大气环境布局敏感重点管控区、大气环境弱扩散重点管控区严格控制高耗能、高排放项目建设。严禁新增钢铁、焦化、水泥、平板玻璃、电解铝等产能。 </w:t>
                  </w:r>
                </w:p>
                <w:p w14:paraId="23BBF495">
                  <w:pPr>
                    <w:spacing w:line="240" w:lineRule="exact"/>
                    <w:rPr>
                      <w:color w:val="auto"/>
                      <w:sz w:val="21"/>
                      <w:szCs w:val="21"/>
                    </w:rPr>
                  </w:pPr>
                  <w:r>
                    <w:rPr>
                      <w:rFonts w:hint="eastAsia"/>
                      <w:color w:val="auto"/>
                      <w:sz w:val="21"/>
                      <w:szCs w:val="21"/>
                    </w:rPr>
                    <w:t xml:space="preserve">4、大气环境受体敏感重点管控区中重点涉气行业企业，除必须依托城市或直接服务于城市的企业外，均应规划退城搬迁。 </w:t>
                  </w:r>
                </w:p>
                <w:p w14:paraId="13DAE4A6">
                  <w:pPr>
                    <w:spacing w:line="240" w:lineRule="exact"/>
                    <w:rPr>
                      <w:color w:val="auto"/>
                      <w:sz w:val="21"/>
                      <w:szCs w:val="21"/>
                    </w:rPr>
                  </w:pPr>
                  <w:r>
                    <w:rPr>
                      <w:rFonts w:hint="eastAsia"/>
                      <w:color w:val="auto"/>
                      <w:sz w:val="21"/>
                      <w:szCs w:val="21"/>
                    </w:rPr>
                    <w:t xml:space="preserve">5、大气环境弱扩散重点管控区内严格控制新建、扩建燃煤火电、钢铁，以及除国家、省、市规划外的石化等高污染高排放项目。 </w:t>
                  </w:r>
                </w:p>
                <w:p w14:paraId="7B1C94F2">
                  <w:pPr>
                    <w:spacing w:line="240" w:lineRule="exact"/>
                    <w:rPr>
                      <w:color w:val="auto"/>
                      <w:sz w:val="21"/>
                      <w:szCs w:val="21"/>
                    </w:rPr>
                  </w:pPr>
                  <w:r>
                    <w:rPr>
                      <w:rFonts w:hint="eastAsia"/>
                      <w:color w:val="auto"/>
                      <w:sz w:val="21"/>
                      <w:szCs w:val="21"/>
                    </w:rPr>
                    <w:t xml:space="preserve">6、对热效率低下、敞开未封闭，装备简易落后、自动化程度低，布局分散、规模小、无组织排放突出，以及无治理设施或治理设施工艺落后的工业炉窑，依法责令停业关闭。 </w:t>
                  </w:r>
                </w:p>
                <w:p w14:paraId="15FE5A1B">
                  <w:pPr>
                    <w:spacing w:line="240" w:lineRule="exact"/>
                    <w:rPr>
                      <w:color w:val="auto"/>
                      <w:sz w:val="21"/>
                      <w:szCs w:val="21"/>
                    </w:rPr>
                  </w:pPr>
                  <w:r>
                    <w:rPr>
                      <w:rFonts w:hint="eastAsia"/>
                      <w:color w:val="auto"/>
                      <w:sz w:val="21"/>
                      <w:szCs w:val="21"/>
                    </w:rPr>
                    <w:t xml:space="preserve">7、全市禁止新建35蒸吨/小时及以下燃煤锅炉，35蒸吨/小时以上燃煤锅炉要达到超低排放标准。城市主城区和县城禁止新建35蒸吨/小时及以下生物质和燃油(醇基燃料)锅炉，35蒸吨/小时以上的燃油和生物质锅炉要达到超低排放标准。 </w:t>
                  </w:r>
                </w:p>
                <w:p w14:paraId="7515F0B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olor w:val="auto"/>
                      <w:sz w:val="21"/>
                      <w:szCs w:val="21"/>
                    </w:rPr>
                    <w:t>8、禁燃区内不得新建、扩建燃烧煤炭、重油、渣油等高污染燃料的设施；现有未改用清洁能源替代的高污染燃料设施，应当配套建设先进工艺的脱硫、脱硝、除尘装置或者采取其他措施，控制二氧化硫、氮氧化物和烟尘等排放；仍未达到大气污染物排放标准的，应当停止使用。禁燃区内禁止原煤散烧。禁止销售、使用高污染燃料。</w:t>
                  </w:r>
                </w:p>
              </w:tc>
              <w:tc>
                <w:tcPr>
                  <w:tcW w:w="2093" w:type="dxa"/>
                  <w:noWrap w:val="0"/>
                  <w:vAlign w:val="center"/>
                </w:tcPr>
                <w:p w14:paraId="6AD4530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1、</w:t>
                  </w:r>
                  <w:r>
                    <w:rPr>
                      <w:rFonts w:hint="eastAsia" w:ascii="Times New Roman" w:hAnsi="Times New Roman" w:eastAsia="宋体" w:cs="Times New Roman"/>
                      <w:b w:val="0"/>
                      <w:bCs w:val="0"/>
                      <w:color w:val="auto"/>
                      <w:kern w:val="0"/>
                      <w:sz w:val="21"/>
                      <w:szCs w:val="21"/>
                      <w:highlight w:val="none"/>
                      <w:vertAlign w:val="baseline"/>
                      <w:lang w:val="en-US" w:eastAsia="zh-CN" w:bidi="ar-SA"/>
                    </w:rPr>
                    <w:t>本项目为食品及饲料添加剂制造项目，位于石家庄高新技术产业开发区循环化工园区</w:t>
                  </w:r>
                  <w:r>
                    <w:rPr>
                      <w:rFonts w:hint="eastAsia" w:cs="Times New Roman"/>
                      <w:b w:val="0"/>
                      <w:bCs w:val="0"/>
                      <w:color w:val="auto"/>
                      <w:kern w:val="0"/>
                      <w:sz w:val="21"/>
                      <w:szCs w:val="21"/>
                      <w:highlight w:val="none"/>
                      <w:vertAlign w:val="baseline"/>
                      <w:lang w:val="en-US" w:eastAsia="zh-CN" w:bidi="ar-SA"/>
                    </w:rPr>
                    <w:t>，不属于高耗能高排放低水平项目。</w:t>
                  </w:r>
                </w:p>
                <w:p w14:paraId="7CF8341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2、本项目不属于重点行业。</w:t>
                  </w:r>
                </w:p>
                <w:p w14:paraId="20FEBD9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3、本项目不属于高耗能、高排放项目。</w:t>
                  </w:r>
                </w:p>
                <w:p w14:paraId="4C15B90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4、本项目位于</w:t>
                  </w:r>
                  <w:r>
                    <w:rPr>
                      <w:rFonts w:hint="eastAsia" w:ascii="Times New Roman" w:hAnsi="Times New Roman" w:eastAsia="宋体" w:cs="Times New Roman"/>
                      <w:b w:val="0"/>
                      <w:bCs w:val="0"/>
                      <w:color w:val="auto"/>
                      <w:kern w:val="0"/>
                      <w:sz w:val="21"/>
                      <w:szCs w:val="21"/>
                      <w:highlight w:val="none"/>
                      <w:vertAlign w:val="baseline"/>
                      <w:lang w:val="en-US" w:eastAsia="zh-CN" w:bidi="ar-SA"/>
                    </w:rPr>
                    <w:t>石家庄高新技术产业开发区循环化工园区，不在大气环境受体敏感重点管控区</w:t>
                  </w:r>
                  <w:r>
                    <w:rPr>
                      <w:rFonts w:hint="eastAsia" w:cs="Times New Roman"/>
                      <w:b w:val="0"/>
                      <w:bCs w:val="0"/>
                      <w:color w:val="auto"/>
                      <w:kern w:val="0"/>
                      <w:sz w:val="21"/>
                      <w:szCs w:val="21"/>
                      <w:highlight w:val="none"/>
                      <w:vertAlign w:val="baseline"/>
                      <w:lang w:val="en-US" w:eastAsia="zh-CN" w:bidi="ar-SA"/>
                    </w:rPr>
                    <w:t>。</w:t>
                  </w:r>
                </w:p>
                <w:p w14:paraId="0CC3471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5、本项目位于</w:t>
                  </w:r>
                  <w:r>
                    <w:rPr>
                      <w:rFonts w:hint="eastAsia" w:ascii="Times New Roman" w:hAnsi="Times New Roman" w:eastAsia="宋体" w:cs="Times New Roman"/>
                      <w:b w:val="0"/>
                      <w:bCs w:val="0"/>
                      <w:color w:val="auto"/>
                      <w:kern w:val="0"/>
                      <w:sz w:val="21"/>
                      <w:szCs w:val="21"/>
                      <w:highlight w:val="none"/>
                      <w:vertAlign w:val="baseline"/>
                      <w:lang w:val="en-US" w:eastAsia="zh-CN" w:bidi="ar-SA"/>
                    </w:rPr>
                    <w:t>石家庄高新技术产业开发区循环化工园区</w:t>
                  </w:r>
                  <w:r>
                    <w:rPr>
                      <w:rFonts w:hint="eastAsia" w:cs="Times New Roman"/>
                      <w:b w:val="0"/>
                      <w:bCs w:val="0"/>
                      <w:color w:val="auto"/>
                      <w:kern w:val="0"/>
                      <w:sz w:val="21"/>
                      <w:szCs w:val="21"/>
                      <w:highlight w:val="none"/>
                      <w:vertAlign w:val="baseline"/>
                      <w:lang w:val="en-US" w:eastAsia="zh-CN" w:bidi="ar-SA"/>
                    </w:rPr>
                    <w:t>，不在大气环境弱扩散重点管控区。</w:t>
                  </w:r>
                </w:p>
                <w:p w14:paraId="0E5A6FE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6-8、本</w:t>
                  </w:r>
                  <w:r>
                    <w:rPr>
                      <w:rFonts w:hint="eastAsia" w:ascii="Times New Roman" w:hAnsi="Times New Roman" w:eastAsia="宋体" w:cs="Times New Roman"/>
                      <w:b w:val="0"/>
                      <w:bCs w:val="0"/>
                      <w:color w:val="auto"/>
                      <w:kern w:val="0"/>
                      <w:sz w:val="21"/>
                      <w:szCs w:val="21"/>
                      <w:highlight w:val="none"/>
                      <w:vertAlign w:val="baseline"/>
                      <w:lang w:val="en-US" w:eastAsia="zh-CN" w:bidi="ar-SA"/>
                    </w:rPr>
                    <w:t>项目供热依托园区供热设施供给，不涉及工业炉窑、燃煤锅炉；不涉及煤炭、重油、渣油等高污染燃料。</w:t>
                  </w:r>
                </w:p>
                <w:p w14:paraId="3B0119C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b w:val="0"/>
                      <w:bCs w:val="0"/>
                      <w:color w:val="auto"/>
                      <w:kern w:val="0"/>
                      <w:sz w:val="21"/>
                      <w:szCs w:val="21"/>
                      <w:highlight w:val="none"/>
                      <w:vertAlign w:val="baseline"/>
                      <w:lang w:val="en-US" w:eastAsia="zh-CN" w:bidi="ar-SA"/>
                    </w:rPr>
                  </w:pPr>
                </w:p>
              </w:tc>
              <w:tc>
                <w:tcPr>
                  <w:tcW w:w="526" w:type="dxa"/>
                  <w:noWrap w:val="0"/>
                  <w:vAlign w:val="center"/>
                </w:tcPr>
                <w:p w14:paraId="62F256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71B7E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6A044A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污染物排放管控</w:t>
                  </w:r>
                </w:p>
              </w:tc>
              <w:tc>
                <w:tcPr>
                  <w:tcW w:w="3590" w:type="dxa"/>
                  <w:gridSpan w:val="6"/>
                  <w:noWrap w:val="0"/>
                  <w:vAlign w:val="center"/>
                </w:tcPr>
                <w:p w14:paraId="16CC99FA">
                  <w:pPr>
                    <w:spacing w:line="240" w:lineRule="exact"/>
                    <w:rPr>
                      <w:color w:val="auto"/>
                      <w:sz w:val="21"/>
                      <w:szCs w:val="21"/>
                    </w:rPr>
                  </w:pPr>
                  <w:r>
                    <w:rPr>
                      <w:rFonts w:hint="eastAsia"/>
                      <w:color w:val="auto"/>
                      <w:sz w:val="21"/>
                      <w:szCs w:val="21"/>
                    </w:rPr>
                    <w:t xml:space="preserve">1、严格区域削减要求。严格执行《生态环境部办公厅关于加强重点行业建设项目区域削减措施监督管理的通知》(环办环评〔2020〕36 号)相关要求。 </w:t>
                  </w:r>
                </w:p>
                <w:p w14:paraId="3FD76B2A">
                  <w:pPr>
                    <w:spacing w:line="240" w:lineRule="exact"/>
                    <w:rPr>
                      <w:color w:val="auto"/>
                      <w:sz w:val="21"/>
                      <w:szCs w:val="21"/>
                    </w:rPr>
                  </w:pPr>
                  <w:r>
                    <w:rPr>
                      <w:rFonts w:hint="eastAsia"/>
                      <w:color w:val="auto"/>
                      <w:sz w:val="21"/>
                      <w:szCs w:val="21"/>
                    </w:rPr>
                    <w:t xml:space="preserve">2、对保留的工业炉窑开展环保提标改造，配套建设高效脱硫脱硝除尘设施，确保稳定达标排放，按照《河北省工业炉窑综合治理实施方案》执行。 </w:t>
                  </w:r>
                </w:p>
                <w:p w14:paraId="3EC2CD04">
                  <w:pPr>
                    <w:spacing w:line="240" w:lineRule="exact"/>
                    <w:rPr>
                      <w:color w:val="auto"/>
                      <w:sz w:val="21"/>
                      <w:szCs w:val="21"/>
                    </w:rPr>
                  </w:pPr>
                  <w:r>
                    <w:rPr>
                      <w:rFonts w:hint="eastAsia"/>
                      <w:color w:val="auto"/>
                      <w:sz w:val="21"/>
                      <w:szCs w:val="21"/>
                    </w:rPr>
                    <w:t xml:space="preserve">3、按照《低挥发性有机化合物含量涂料产品技术要求》(GB/T 38597-2020)，开展低挥发性有机物含量涂料推广替代试点工作，加快推进党政机关单位定点印刷企业率先使用水性油墨、大豆油墨等低挥发性有机物含量油墨和胶粘剂。 </w:t>
                  </w:r>
                </w:p>
                <w:p w14:paraId="60EDFF9B">
                  <w:pPr>
                    <w:spacing w:line="240" w:lineRule="exact"/>
                    <w:rPr>
                      <w:color w:val="auto"/>
                      <w:sz w:val="21"/>
                      <w:szCs w:val="21"/>
                    </w:rPr>
                  </w:pPr>
                  <w:r>
                    <w:rPr>
                      <w:rFonts w:hint="eastAsia"/>
                      <w:color w:val="auto"/>
                      <w:sz w:val="21"/>
                      <w:szCs w:val="21"/>
                    </w:rPr>
                    <w:t xml:space="preserve">4、加强无组织排放治理，开展钢铁、水泥、燃煤电厂、焦化平板玻璃、陶瓷等行业重点行业无组织排放检查工作，物料存储运输等全部采用密闭或封闭形式。 </w:t>
                  </w:r>
                </w:p>
                <w:p w14:paraId="46B1D04E">
                  <w:pPr>
                    <w:spacing w:line="240" w:lineRule="exact"/>
                    <w:rPr>
                      <w:color w:val="auto"/>
                      <w:sz w:val="21"/>
                      <w:szCs w:val="21"/>
                    </w:rPr>
                  </w:pPr>
                  <w:r>
                    <w:rPr>
                      <w:rFonts w:hint="eastAsia"/>
                      <w:color w:val="auto"/>
                      <w:sz w:val="21"/>
                      <w:szCs w:val="21"/>
                    </w:rPr>
                    <w:t xml:space="preserve">5、加快推进铁路专用线建设，大宗货物及产品年货运量150万吨以上的企业原则上全部修建铁路专用线，达不到的采用清洁能源汽车或国六排放标准汽车代替。 </w:t>
                  </w:r>
                </w:p>
                <w:p w14:paraId="02B8733A">
                  <w:pPr>
                    <w:spacing w:line="240" w:lineRule="exact"/>
                    <w:rPr>
                      <w:color w:val="auto"/>
                      <w:sz w:val="21"/>
                      <w:szCs w:val="21"/>
                    </w:rPr>
                  </w:pPr>
                  <w:r>
                    <w:rPr>
                      <w:rFonts w:hint="eastAsia"/>
                      <w:color w:val="auto"/>
                      <w:sz w:val="21"/>
                      <w:szCs w:val="21"/>
                    </w:rPr>
                    <w:t xml:space="preserve">6、深化建筑施工扬尘专项整治，严格执行《石家庄市建设工程围挡设置和扬尘管理标准》加强道路扬尘综合整治。全市工业企业料堆场全部实现规范管理；对环境敏感区的煤场、料场、渣场实现在线监控和视频监控全覆盖。 </w:t>
                  </w:r>
                </w:p>
                <w:p w14:paraId="1BFAFF85">
                  <w:pPr>
                    <w:spacing w:line="240" w:lineRule="exact"/>
                    <w:rPr>
                      <w:color w:val="auto"/>
                      <w:sz w:val="21"/>
                      <w:szCs w:val="21"/>
                    </w:rPr>
                  </w:pPr>
                  <w:r>
                    <w:rPr>
                      <w:rFonts w:hint="eastAsia"/>
                      <w:color w:val="auto"/>
                      <w:sz w:val="21"/>
                      <w:szCs w:val="21"/>
                    </w:rPr>
                    <w:t xml:space="preserve">7、严禁秸秆、垃圾露天焚烧，实施农村地区的散煤替代及清洁开发利用工程。 </w:t>
                  </w:r>
                </w:p>
                <w:p w14:paraId="5B27742D">
                  <w:pPr>
                    <w:spacing w:line="240" w:lineRule="exact"/>
                    <w:rPr>
                      <w:color w:val="auto"/>
                      <w:sz w:val="21"/>
                      <w:szCs w:val="21"/>
                    </w:rPr>
                  </w:pPr>
                  <w:r>
                    <w:rPr>
                      <w:rFonts w:hint="eastAsia"/>
                      <w:color w:val="auto"/>
                      <w:sz w:val="21"/>
                      <w:szCs w:val="21"/>
                    </w:rPr>
                    <w:t xml:space="preserve">8、巩固钢铁、焦化、煤电、水泥、平板玻璃、陶瓷等行业超低排放成效，实施工艺全流程深度治理，全面加强无组织排放管控。 </w:t>
                  </w:r>
                </w:p>
                <w:p w14:paraId="3A4157E5">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olor w:val="auto"/>
                      <w:sz w:val="21"/>
                      <w:szCs w:val="21"/>
                    </w:rPr>
                    <w:t>9、对以煤、石油焦、重油等为燃料的工业炉窑，加快使用清洁低碳能源以及利用工厂余热、电厂热力等进行替代，全市禁止掺烧高硫石油焦(硫含量大于 3%)。玻璃行业全面禁止掺烧高硫石油焦。</w:t>
                  </w:r>
                </w:p>
              </w:tc>
              <w:tc>
                <w:tcPr>
                  <w:tcW w:w="2093" w:type="dxa"/>
                  <w:noWrap w:val="0"/>
                  <w:vAlign w:val="center"/>
                </w:tcPr>
                <w:p w14:paraId="1DC291F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1、</w:t>
                  </w:r>
                  <w:r>
                    <w:rPr>
                      <w:rFonts w:hint="eastAsia" w:ascii="Times New Roman" w:hAnsi="Times New Roman" w:eastAsia="宋体" w:cs="Times New Roman"/>
                      <w:b w:val="0"/>
                      <w:bCs w:val="0"/>
                      <w:color w:val="auto"/>
                      <w:kern w:val="0"/>
                      <w:sz w:val="21"/>
                      <w:szCs w:val="21"/>
                      <w:highlight w:val="none"/>
                      <w:vertAlign w:val="baseline"/>
                      <w:lang w:val="en-US" w:eastAsia="zh-CN" w:bidi="ar-SA"/>
                    </w:rPr>
                    <w:t>本项目为</w:t>
                  </w:r>
                  <w:r>
                    <w:rPr>
                      <w:rFonts w:hint="eastAsia" w:ascii="Times New Roman" w:hAnsi="Times New Roman" w:eastAsia="宋体" w:cs="Times New Roman"/>
                      <w:color w:val="auto"/>
                      <w:kern w:val="0"/>
                      <w:sz w:val="21"/>
                      <w:szCs w:val="21"/>
                      <w:highlight w:val="none"/>
                      <w:lang w:val="en-US" w:eastAsia="zh-CN" w:bidi="ar"/>
                    </w:rPr>
                    <w:t>食品及饲料添加剂制造项目</w:t>
                  </w:r>
                  <w:r>
                    <w:rPr>
                      <w:rFonts w:hint="eastAsia" w:ascii="Times New Roman" w:hAnsi="Times New Roman" w:eastAsia="宋体" w:cs="Times New Roman"/>
                      <w:b w:val="0"/>
                      <w:bCs w:val="0"/>
                      <w:color w:val="auto"/>
                      <w:kern w:val="0"/>
                      <w:sz w:val="21"/>
                      <w:szCs w:val="21"/>
                      <w:highlight w:val="none"/>
                      <w:vertAlign w:val="baseline"/>
                      <w:lang w:val="en-US" w:eastAsia="zh-CN" w:bidi="ar-SA"/>
                    </w:rPr>
                    <w:t>，</w:t>
                  </w:r>
                  <w:r>
                    <w:rPr>
                      <w:rFonts w:hint="eastAsia" w:cs="Times New Roman"/>
                      <w:b w:val="0"/>
                      <w:bCs w:val="0"/>
                      <w:color w:val="auto"/>
                      <w:kern w:val="0"/>
                      <w:sz w:val="21"/>
                      <w:szCs w:val="21"/>
                      <w:highlight w:val="none"/>
                      <w:vertAlign w:val="baseline"/>
                      <w:lang w:val="en-US" w:eastAsia="zh-CN" w:bidi="ar-SA"/>
                    </w:rPr>
                    <w:t>不属于重点行业。</w:t>
                  </w:r>
                </w:p>
                <w:p w14:paraId="288D4CD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2、项目</w:t>
                  </w:r>
                  <w:r>
                    <w:rPr>
                      <w:rFonts w:hint="eastAsia" w:ascii="Times New Roman" w:hAnsi="Times New Roman" w:eastAsia="宋体" w:cs="Times New Roman"/>
                      <w:b w:val="0"/>
                      <w:bCs w:val="0"/>
                      <w:color w:val="auto"/>
                      <w:kern w:val="0"/>
                      <w:sz w:val="21"/>
                      <w:szCs w:val="21"/>
                      <w:highlight w:val="none"/>
                      <w:vertAlign w:val="baseline"/>
                      <w:lang w:val="en-US" w:eastAsia="zh-CN" w:bidi="ar-SA"/>
                    </w:rPr>
                    <w:t>不涉及。</w:t>
                  </w:r>
                </w:p>
                <w:p w14:paraId="745CBC9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3、项目不涉及。</w:t>
                  </w:r>
                </w:p>
                <w:p w14:paraId="53C5978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4、</w:t>
                  </w:r>
                  <w:r>
                    <w:rPr>
                      <w:rFonts w:hint="eastAsia" w:ascii="Times New Roman" w:hAnsi="Times New Roman" w:eastAsia="宋体" w:cs="Times New Roman"/>
                      <w:b w:val="0"/>
                      <w:bCs w:val="0"/>
                      <w:color w:val="auto"/>
                      <w:kern w:val="0"/>
                      <w:sz w:val="21"/>
                      <w:szCs w:val="21"/>
                      <w:highlight w:val="none"/>
                      <w:vertAlign w:val="baseline"/>
                      <w:lang w:val="en-US" w:eastAsia="zh-CN" w:bidi="ar-SA"/>
                    </w:rPr>
                    <w:t>项目物料存储运输采用密闭形式，</w:t>
                  </w:r>
                  <w:commentRangeStart w:id="3"/>
                  <w:r>
                    <w:rPr>
                      <w:rFonts w:hint="eastAsia" w:ascii="Times New Roman" w:hAnsi="Times New Roman" w:eastAsia="宋体" w:cs="Times New Roman"/>
                      <w:b w:val="0"/>
                      <w:bCs w:val="0"/>
                      <w:color w:val="auto"/>
                      <w:kern w:val="0"/>
                      <w:sz w:val="21"/>
                      <w:szCs w:val="21"/>
                      <w:highlight w:val="none"/>
                      <w:vertAlign w:val="baseline"/>
                      <w:lang w:val="en-US" w:eastAsia="zh-CN" w:bidi="ar-SA"/>
                    </w:rPr>
                    <w:t>投</w:t>
                  </w:r>
                  <w:commentRangeEnd w:id="3"/>
                  <w:r>
                    <w:commentReference w:id="3"/>
                  </w:r>
                  <w:r>
                    <w:rPr>
                      <w:rFonts w:hint="eastAsia" w:ascii="Times New Roman" w:hAnsi="Times New Roman" w:eastAsia="宋体" w:cs="Times New Roman"/>
                      <w:b w:val="0"/>
                      <w:bCs w:val="0"/>
                      <w:color w:val="auto"/>
                      <w:kern w:val="0"/>
                      <w:sz w:val="21"/>
                      <w:szCs w:val="21"/>
                      <w:highlight w:val="none"/>
                      <w:vertAlign w:val="baseline"/>
                      <w:lang w:val="en-US" w:eastAsia="zh-CN" w:bidi="ar-SA"/>
                    </w:rPr>
                    <w:t>甘氨酸亚铁投料、包装工位上方设置</w:t>
                  </w:r>
                  <w:r>
                    <w:rPr>
                      <w:rFonts w:hint="eastAsia" w:cs="Times New Roman"/>
                      <w:b w:val="0"/>
                      <w:bCs w:val="0"/>
                      <w:color w:val="5300FF"/>
                      <w:kern w:val="0"/>
                      <w:sz w:val="21"/>
                      <w:szCs w:val="21"/>
                      <w:highlight w:val="none"/>
                      <w:vertAlign w:val="baseline"/>
                      <w:lang w:val="en-US" w:eastAsia="zh-CN" w:bidi="ar-SA"/>
                    </w:rPr>
                    <w:t>集气罩+软帘</w:t>
                  </w:r>
                  <w:r>
                    <w:rPr>
                      <w:rFonts w:hint="eastAsia" w:ascii="Times New Roman" w:hAnsi="Times New Roman" w:eastAsia="宋体" w:cs="Times New Roman"/>
                      <w:b w:val="0"/>
                      <w:bCs w:val="0"/>
                      <w:color w:val="auto"/>
                      <w:kern w:val="0"/>
                      <w:sz w:val="21"/>
                      <w:szCs w:val="21"/>
                      <w:highlight w:val="none"/>
                      <w:vertAlign w:val="baseline"/>
                      <w:lang w:val="en-US" w:eastAsia="zh-CN" w:bidi="ar-SA"/>
                    </w:rPr>
                    <w:t>，收集粉尘经布袋除尘器处理达标</w:t>
                  </w:r>
                  <w:commentRangeStart w:id="4"/>
                  <w:r>
                    <w:rPr>
                      <w:rFonts w:hint="eastAsia" w:ascii="Times New Roman" w:hAnsi="Times New Roman" w:eastAsia="宋体" w:cs="Times New Roman"/>
                      <w:b w:val="0"/>
                      <w:bCs w:val="0"/>
                      <w:color w:val="auto"/>
                      <w:kern w:val="0"/>
                      <w:sz w:val="21"/>
                      <w:szCs w:val="21"/>
                      <w:highlight w:val="none"/>
                      <w:vertAlign w:val="baseline"/>
                      <w:lang w:val="en-US" w:eastAsia="zh-CN" w:bidi="ar-SA"/>
                    </w:rPr>
                    <w:t>厚</w:t>
                  </w:r>
                  <w:commentRangeEnd w:id="4"/>
                  <w:r>
                    <w:commentReference w:id="4"/>
                  </w:r>
                  <w:r>
                    <w:rPr>
                      <w:rFonts w:hint="eastAsia" w:ascii="Times New Roman" w:hAnsi="Times New Roman" w:eastAsia="宋体" w:cs="Times New Roman"/>
                      <w:b w:val="0"/>
                      <w:bCs w:val="0"/>
                      <w:color w:val="auto"/>
                      <w:kern w:val="0"/>
                      <w:sz w:val="21"/>
                      <w:szCs w:val="21"/>
                      <w:highlight w:val="none"/>
                      <w:vertAlign w:val="baseline"/>
                      <w:lang w:val="en-US" w:eastAsia="zh-CN" w:bidi="ar-SA"/>
                    </w:rPr>
                    <w:t>排放，有效控制无组织粉尘排放。</w:t>
                  </w:r>
                </w:p>
                <w:p w14:paraId="6431A0A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5、项目不涉及。</w:t>
                  </w:r>
                </w:p>
                <w:p w14:paraId="1A76ECC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6、本项目施工期严格落实扬尘污染整治要求。</w:t>
                  </w:r>
                </w:p>
                <w:p w14:paraId="3FB5D09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7、项目不涉及。</w:t>
                  </w:r>
                </w:p>
                <w:p w14:paraId="3E733A4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8、项目不涉及。</w:t>
                  </w:r>
                </w:p>
                <w:p w14:paraId="76216B88">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9、项目不涉及。</w:t>
                  </w:r>
                </w:p>
              </w:tc>
              <w:tc>
                <w:tcPr>
                  <w:tcW w:w="526" w:type="dxa"/>
                  <w:noWrap w:val="0"/>
                  <w:vAlign w:val="center"/>
                </w:tcPr>
                <w:p w14:paraId="14F9583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7DB87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6" w:hRule="atLeast"/>
              </w:trPr>
              <w:tc>
                <w:tcPr>
                  <w:tcW w:w="606" w:type="dxa"/>
                  <w:noWrap w:val="0"/>
                  <w:vAlign w:val="center"/>
                </w:tcPr>
                <w:p w14:paraId="41E9084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环境风险</w:t>
                  </w:r>
                </w:p>
                <w:p w14:paraId="632A0BA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防控</w:t>
                  </w:r>
                </w:p>
              </w:tc>
              <w:tc>
                <w:tcPr>
                  <w:tcW w:w="3590" w:type="dxa"/>
                  <w:gridSpan w:val="6"/>
                  <w:noWrap w:val="0"/>
                  <w:vAlign w:val="center"/>
                </w:tcPr>
                <w:p w14:paraId="4A6612D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强化源头准入，落实国家重点管控新污染物清单及其禁止、限制、限排措施。对使用有毒有害化学物质或在生产过程中排放新污染物的企业，依法实施强制性清洁生产审核。强化石油化工、涂料、纺织印染、橡胶、农药、医药等行业新污染物环境风险管控。</w:t>
                  </w:r>
                </w:p>
              </w:tc>
              <w:tc>
                <w:tcPr>
                  <w:tcW w:w="2093" w:type="dxa"/>
                  <w:noWrap w:val="0"/>
                  <w:vAlign w:val="center"/>
                </w:tcPr>
                <w:p w14:paraId="3ADF9BB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本项目</w:t>
                  </w:r>
                  <w:r>
                    <w:rPr>
                      <w:rFonts w:hint="eastAsia" w:cs="Times New Roman"/>
                      <w:b w:val="0"/>
                      <w:bCs w:val="0"/>
                      <w:color w:val="auto"/>
                      <w:kern w:val="0"/>
                      <w:sz w:val="21"/>
                      <w:szCs w:val="21"/>
                      <w:highlight w:val="none"/>
                      <w:vertAlign w:val="baseline"/>
                      <w:lang w:val="en-US" w:eastAsia="zh-CN" w:bidi="ar-SA"/>
                    </w:rPr>
                    <w:t>不涉及新污染物</w:t>
                  </w:r>
                  <w:r>
                    <w:rPr>
                      <w:rFonts w:hint="eastAsia" w:ascii="Times New Roman" w:hAnsi="Times New Roman" w:eastAsia="宋体" w:cs="Times New Roman"/>
                      <w:b w:val="0"/>
                      <w:bCs w:val="0"/>
                      <w:color w:val="auto"/>
                      <w:kern w:val="0"/>
                      <w:sz w:val="21"/>
                      <w:szCs w:val="21"/>
                      <w:highlight w:val="none"/>
                      <w:vertAlign w:val="baseline"/>
                      <w:lang w:val="en-US" w:eastAsia="zh-CN" w:bidi="ar-SA"/>
                    </w:rPr>
                    <w:t>。</w:t>
                  </w:r>
                </w:p>
              </w:tc>
              <w:tc>
                <w:tcPr>
                  <w:tcW w:w="526" w:type="dxa"/>
                  <w:noWrap w:val="0"/>
                  <w:vAlign w:val="center"/>
                </w:tcPr>
                <w:p w14:paraId="4A7C69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0ECDB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165D6B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全市土壤环境总体管控要求</w:t>
                  </w:r>
                </w:p>
              </w:tc>
            </w:tr>
            <w:tr w14:paraId="504E8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3122992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属性</w:t>
                  </w:r>
                </w:p>
              </w:tc>
              <w:tc>
                <w:tcPr>
                  <w:tcW w:w="3590" w:type="dxa"/>
                  <w:gridSpan w:val="6"/>
                  <w:noWrap w:val="0"/>
                  <w:vAlign w:val="center"/>
                </w:tcPr>
                <w:p w14:paraId="509C20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管控要求</w:t>
                  </w:r>
                </w:p>
              </w:tc>
              <w:tc>
                <w:tcPr>
                  <w:tcW w:w="2093" w:type="dxa"/>
                  <w:noWrap w:val="0"/>
                  <w:vAlign w:val="center"/>
                </w:tcPr>
                <w:p w14:paraId="52F82D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69F742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0F522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4AEBB9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土壤污染重点监管</w:t>
                  </w:r>
                </w:p>
                <w:p w14:paraId="092809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单位</w:t>
                  </w:r>
                </w:p>
              </w:tc>
              <w:tc>
                <w:tcPr>
                  <w:tcW w:w="3590" w:type="dxa"/>
                  <w:gridSpan w:val="6"/>
                  <w:noWrap w:val="0"/>
                  <w:vAlign w:val="center"/>
                </w:tcPr>
                <w:p w14:paraId="07F20BB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olor w:val="auto"/>
                      <w:sz w:val="21"/>
                      <w:szCs w:val="21"/>
                    </w:rPr>
                  </w:pPr>
                  <w:r>
                    <w:rPr>
                      <w:rFonts w:hint="eastAsia"/>
                      <w:color w:val="auto"/>
                      <w:sz w:val="21"/>
                      <w:szCs w:val="21"/>
                    </w:rPr>
                    <w:t>1、土壤污染重点监管单位应该严格控制有毒有害物质排放，并按年度向相关主管部门报告排放情况；建立土壤污染隐患排查制度，保证持续有效防止有毒有害物质渗漏、流失、扬散；制定、《中华人民共和国土壤污染防治法》、《河实施自行监测方案，并将监测数据报相关主管部门。并对监测数据的真实性和准确性负责。相关主管部门发现土壤污染重点监管单位监测数据异常，应当及时进行调查。</w:t>
                  </w:r>
                </w:p>
                <w:p w14:paraId="6E152BE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olor w:val="auto"/>
                      <w:sz w:val="21"/>
                      <w:szCs w:val="21"/>
                    </w:rPr>
                  </w:pPr>
                  <w:r>
                    <w:rPr>
                      <w:rFonts w:hint="eastAsia"/>
                      <w:color w:val="auto"/>
                      <w:sz w:val="21"/>
                      <w:szCs w:val="21"/>
                    </w:rPr>
                    <w:t>2、土壤污染重点监管单位拆除设施、设备或者建筑物、构筑物的，应当制定包括应急措施在内的土壤污染防治工作方案。</w:t>
                  </w:r>
                </w:p>
                <w:p w14:paraId="3061428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olor w:val="auto"/>
                      <w:sz w:val="21"/>
                      <w:szCs w:val="21"/>
                    </w:rPr>
                    <w:t>3、土壤污染重点监管单位生产经营用地的用途变更或者在其土地使用权收回、转让前，应当由土地使用权人按照规定进行土壤污染状况调查。土壤污染状况调查报告应当作为不动产登记资料送交地方人民政府不动产登记机构，并报地方人民政府相关主管部门备案。</w:t>
                  </w:r>
                </w:p>
              </w:tc>
              <w:tc>
                <w:tcPr>
                  <w:tcW w:w="2093" w:type="dxa"/>
                  <w:noWrap w:val="0"/>
                  <w:vAlign w:val="center"/>
                </w:tcPr>
                <w:p w14:paraId="49A1AA09">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cs="Times New Roman"/>
                      <w:color w:val="auto"/>
                      <w:spacing w:val="0"/>
                      <w:w w:val="100"/>
                      <w:kern w:val="0"/>
                      <w:position w:val="0"/>
                      <w:sz w:val="21"/>
                      <w:szCs w:val="21"/>
                      <w:highlight w:val="none"/>
                      <w:lang w:val="en-US" w:eastAsia="zh-CN" w:bidi="ar"/>
                    </w:rPr>
                  </w:pPr>
                  <w:r>
                    <w:rPr>
                      <w:rFonts w:hint="eastAsia" w:cs="Times New Roman"/>
                      <w:color w:val="auto"/>
                      <w:spacing w:val="0"/>
                      <w:w w:val="100"/>
                      <w:kern w:val="0"/>
                      <w:position w:val="0"/>
                      <w:sz w:val="21"/>
                      <w:szCs w:val="21"/>
                      <w:highlight w:val="none"/>
                      <w:lang w:val="en-US" w:eastAsia="zh-CN" w:bidi="ar"/>
                    </w:rPr>
                    <w:t>企业已建立土壤污染隐患排查制度，定期开展土壤污染隐患排查。</w:t>
                  </w:r>
                </w:p>
                <w:p w14:paraId="1C55FD2E">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eastAsia" w:cs="Times New Roman"/>
                      <w:color w:val="auto"/>
                      <w:spacing w:val="0"/>
                      <w:w w:val="100"/>
                      <w:kern w:val="0"/>
                      <w:position w:val="0"/>
                      <w:sz w:val="21"/>
                      <w:szCs w:val="21"/>
                      <w:highlight w:val="none"/>
                      <w:lang w:val="en-US" w:eastAsia="zh-CN" w:bidi="ar"/>
                    </w:rPr>
                    <w:t>本项目拆除设备前，应按要求编制包括应急措施在内的土壤污染防治工作方案</w:t>
                  </w:r>
                  <w:r>
                    <w:rPr>
                      <w:rFonts w:hint="default" w:ascii="Times New Roman" w:hAnsi="Times New Roman" w:eastAsia="宋体" w:cs="Times New Roman"/>
                      <w:color w:val="auto"/>
                      <w:spacing w:val="0"/>
                      <w:w w:val="100"/>
                      <w:position w:val="0"/>
                      <w:sz w:val="21"/>
                      <w:szCs w:val="24"/>
                      <w:highlight w:val="none"/>
                      <w:lang w:val="zh-CN" w:eastAsia="zh-CN" w:bidi="ar-SA"/>
                    </w:rPr>
                    <w:t>。</w:t>
                  </w:r>
                </w:p>
                <w:p w14:paraId="19CC28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eastAsia" w:ascii="Times New Roman" w:hAnsi="Times New Roman" w:eastAsia="宋体" w:cs="Times New Roman"/>
                      <w:color w:val="auto"/>
                      <w:spacing w:val="0"/>
                      <w:w w:val="100"/>
                      <w:position w:val="0"/>
                      <w:sz w:val="21"/>
                      <w:szCs w:val="24"/>
                      <w:highlight w:val="none"/>
                      <w:lang w:val="en-US" w:eastAsia="zh-CN" w:bidi="ar-SA"/>
                    </w:rPr>
                    <w:t>3、项目不涉及。</w:t>
                  </w:r>
                </w:p>
                <w:p w14:paraId="479D701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color w:val="auto"/>
                      <w:spacing w:val="0"/>
                      <w:w w:val="100"/>
                      <w:kern w:val="0"/>
                      <w:position w:val="0"/>
                      <w:sz w:val="21"/>
                      <w:szCs w:val="21"/>
                      <w:highlight w:val="none"/>
                      <w:lang w:val="en-US" w:eastAsia="zh-CN" w:bidi="ar"/>
                    </w:rPr>
                  </w:pPr>
                </w:p>
              </w:tc>
              <w:tc>
                <w:tcPr>
                  <w:tcW w:w="526" w:type="dxa"/>
                  <w:noWrap w:val="0"/>
                  <w:vAlign w:val="center"/>
                </w:tcPr>
                <w:p w14:paraId="1C33171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符合</w:t>
                  </w:r>
                </w:p>
              </w:tc>
            </w:tr>
            <w:tr w14:paraId="3C955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42D6AE3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bookmarkStart w:id="13" w:name="OLE_LINK22"/>
                  <w:r>
                    <w:rPr>
                      <w:rFonts w:hint="eastAsia" w:ascii="Times New Roman" w:hAnsi="Times New Roman" w:eastAsia="宋体" w:cs="Times New Roman"/>
                      <w:b/>
                      <w:bCs/>
                      <w:color w:val="auto"/>
                      <w:kern w:val="0"/>
                      <w:sz w:val="21"/>
                      <w:szCs w:val="21"/>
                      <w:highlight w:val="none"/>
                      <w:vertAlign w:val="baseline"/>
                      <w:lang w:val="en-US" w:eastAsia="zh-CN" w:bidi="ar-SA"/>
                    </w:rPr>
                    <w:t>全市自然资源总体管控要求</w:t>
                  </w:r>
                  <w:bookmarkEnd w:id="13"/>
                </w:p>
              </w:tc>
            </w:tr>
            <w:tr w14:paraId="17E52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371EE0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lang w:val="en-US" w:eastAsia="zh-CN" w:bidi="ar-SA"/>
                    </w:rPr>
                  </w:pPr>
                  <w:r>
                    <w:rPr>
                      <w:rFonts w:hint="eastAsia" w:ascii="Times New Roman" w:hAnsi="Times New Roman" w:eastAsia="宋体" w:cs="Times New Roman"/>
                      <w:b/>
                      <w:bCs/>
                      <w:color w:val="auto"/>
                      <w:kern w:val="0"/>
                      <w:sz w:val="21"/>
                      <w:szCs w:val="21"/>
                      <w:highlight w:val="none"/>
                      <w:lang w:val="en-US" w:eastAsia="zh-CN" w:bidi="ar-SA"/>
                    </w:rPr>
                    <w:t>要素</w:t>
                  </w:r>
                </w:p>
              </w:tc>
              <w:tc>
                <w:tcPr>
                  <w:tcW w:w="813" w:type="dxa"/>
                  <w:gridSpan w:val="2"/>
                  <w:noWrap w:val="0"/>
                  <w:vAlign w:val="center"/>
                </w:tcPr>
                <w:p w14:paraId="0C3BD7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管控类型</w:t>
                  </w:r>
                </w:p>
              </w:tc>
              <w:tc>
                <w:tcPr>
                  <w:tcW w:w="2777" w:type="dxa"/>
                  <w:gridSpan w:val="4"/>
                  <w:noWrap w:val="0"/>
                  <w:vAlign w:val="center"/>
                </w:tcPr>
                <w:p w14:paraId="05101E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管控要求</w:t>
                  </w:r>
                </w:p>
              </w:tc>
              <w:tc>
                <w:tcPr>
                  <w:tcW w:w="2093" w:type="dxa"/>
                  <w:noWrap w:val="0"/>
                  <w:vAlign w:val="center"/>
                </w:tcPr>
                <w:p w14:paraId="3916ACD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2B5747C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15DE9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7" w:hRule="atLeast"/>
              </w:trPr>
              <w:tc>
                <w:tcPr>
                  <w:tcW w:w="606" w:type="dxa"/>
                  <w:noWrap w:val="0"/>
                  <w:vAlign w:val="center"/>
                </w:tcPr>
                <w:p w14:paraId="47BD76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eastAsia="宋体" w:cs="Times New Roman"/>
                      <w:b w:val="0"/>
                      <w:bCs w:val="0"/>
                      <w:color w:val="auto"/>
                      <w:kern w:val="0"/>
                      <w:sz w:val="21"/>
                      <w:szCs w:val="21"/>
                      <w:highlight w:val="none"/>
                      <w:lang w:val="en-US" w:eastAsia="zh-CN" w:bidi="ar-SA"/>
                    </w:rPr>
                    <w:t>水资源</w:t>
                  </w:r>
                </w:p>
              </w:tc>
              <w:tc>
                <w:tcPr>
                  <w:tcW w:w="813" w:type="dxa"/>
                  <w:gridSpan w:val="2"/>
                  <w:noWrap w:val="0"/>
                  <w:vAlign w:val="center"/>
                </w:tcPr>
                <w:p w14:paraId="402EEC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地下水开采重点管控区（地下水严重超采区）</w:t>
                  </w:r>
                </w:p>
              </w:tc>
              <w:tc>
                <w:tcPr>
                  <w:tcW w:w="2777" w:type="dxa"/>
                  <w:gridSpan w:val="4"/>
                  <w:noWrap w:val="0"/>
                  <w:vAlign w:val="center"/>
                </w:tcPr>
                <w:p w14:paraId="72226B95">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在地下水禁采区内，除为保障地下工程施工安全和生产安全必须进行临时应急取(排)水、为消除对公共安全或者公共利益的危害临时应急取水，以及为开展地下水监测、勘探、试验少量取水外，禁止取用地下水。</w:t>
                  </w:r>
                </w:p>
                <w:p w14:paraId="280C4BC5">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2、在地下水限采区内，对当地社会发展和群众生活有重大影响的重点建设项目确需取用地下水的，应按照用1 减2的比例以及先减后加的原则，同步削减其他取水单位的地下水开采量，且不得深层、浅层地下水相互替代。</w:t>
                  </w:r>
                </w:p>
              </w:tc>
              <w:tc>
                <w:tcPr>
                  <w:tcW w:w="2093" w:type="dxa"/>
                  <w:noWrap w:val="0"/>
                  <w:vAlign w:val="center"/>
                </w:tcPr>
                <w:p w14:paraId="374DA35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1、</w:t>
                  </w:r>
                  <w:r>
                    <w:rPr>
                      <w:rFonts w:hint="eastAsia" w:ascii="Times New Roman" w:hAnsi="Times New Roman" w:eastAsia="宋体" w:cs="Times New Roman"/>
                      <w:b w:val="0"/>
                      <w:bCs w:val="0"/>
                      <w:color w:val="auto"/>
                      <w:kern w:val="0"/>
                      <w:sz w:val="21"/>
                      <w:szCs w:val="21"/>
                      <w:highlight w:val="none"/>
                      <w:vertAlign w:val="baseline"/>
                      <w:lang w:val="en-US" w:eastAsia="zh-CN" w:bidi="ar-SA"/>
                    </w:rPr>
                    <w:t>本区域属于浅层水一般超采区，属于限制开采区</w:t>
                  </w:r>
                  <w:r>
                    <w:rPr>
                      <w:rFonts w:hint="eastAsia" w:cs="Times New Roman"/>
                      <w:b w:val="0"/>
                      <w:bCs w:val="0"/>
                      <w:color w:val="auto"/>
                      <w:kern w:val="0"/>
                      <w:sz w:val="21"/>
                      <w:szCs w:val="21"/>
                      <w:highlight w:val="none"/>
                      <w:vertAlign w:val="baseline"/>
                      <w:lang w:val="en-US" w:eastAsia="zh-CN" w:bidi="ar-SA"/>
                    </w:rPr>
                    <w:t>。</w:t>
                  </w:r>
                </w:p>
                <w:p w14:paraId="690F01D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2、</w:t>
                  </w:r>
                  <w:r>
                    <w:rPr>
                      <w:rFonts w:hint="eastAsia" w:ascii="Times New Roman" w:hAnsi="Times New Roman" w:eastAsia="宋体" w:cs="Times New Roman"/>
                      <w:b w:val="0"/>
                      <w:bCs w:val="0"/>
                      <w:color w:val="auto"/>
                      <w:kern w:val="0"/>
                      <w:sz w:val="21"/>
                      <w:szCs w:val="21"/>
                      <w:highlight w:val="none"/>
                      <w:vertAlign w:val="baseline"/>
                      <w:lang w:val="en-US" w:eastAsia="zh-CN" w:bidi="ar-SA"/>
                    </w:rPr>
                    <w:t>本厂区不开采地下水，项目用水由园区自来水管网统一供给，所用水源属于南水北调地表水。</w:t>
                  </w:r>
                </w:p>
              </w:tc>
              <w:tc>
                <w:tcPr>
                  <w:tcW w:w="526" w:type="dxa"/>
                  <w:noWrap w:val="0"/>
                  <w:vAlign w:val="center"/>
                </w:tcPr>
                <w:p w14:paraId="00FA30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28A5C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6" w:hRule="atLeast"/>
              </w:trPr>
              <w:tc>
                <w:tcPr>
                  <w:tcW w:w="606" w:type="dxa"/>
                  <w:noWrap w:val="0"/>
                  <w:vAlign w:val="center"/>
                </w:tcPr>
                <w:p w14:paraId="0523E2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eastAsia="宋体" w:cs="Times New Roman"/>
                      <w:b w:val="0"/>
                      <w:bCs w:val="0"/>
                      <w:color w:val="auto"/>
                      <w:kern w:val="0"/>
                      <w:sz w:val="21"/>
                      <w:szCs w:val="21"/>
                      <w:highlight w:val="none"/>
                      <w:lang w:val="en-US" w:eastAsia="zh-CN" w:bidi="ar-SA"/>
                    </w:rPr>
                    <w:t>能源</w:t>
                  </w:r>
                </w:p>
              </w:tc>
              <w:tc>
                <w:tcPr>
                  <w:tcW w:w="813" w:type="dxa"/>
                  <w:gridSpan w:val="2"/>
                  <w:noWrap w:val="0"/>
                  <w:vAlign w:val="center"/>
                </w:tcPr>
                <w:p w14:paraId="14A570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高污染燃料禁燃区</w:t>
                  </w:r>
                </w:p>
              </w:tc>
              <w:tc>
                <w:tcPr>
                  <w:tcW w:w="2777" w:type="dxa"/>
                  <w:gridSpan w:val="4"/>
                  <w:noWrap w:val="0"/>
                  <w:vAlign w:val="center"/>
                </w:tcPr>
                <w:p w14:paraId="511D360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1、禁燃区内不得新建、改建、扩建燃烧煤炭、重油、渣油等高污染燃料的设施；现有燃烧高污染燃料的设施，应当限期改用清洁能源；未改用清洁能源替代的高污染燃料设施，应当配套建设先进工艺的脱硫、脱硝、除尘装置或者采取其他措施，控制二氧化硫、氮氧化物和烟尘等排放;仍未达到大气污染物排放标准的，应当停止使用。</w:t>
                  </w:r>
                </w:p>
                <w:p w14:paraId="53BEB0A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2、禁燃区内禁止销售、使用高污染燃料。</w:t>
                  </w:r>
                </w:p>
                <w:p w14:paraId="4EA159B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3、禁燃区内禁止原煤散烧。</w:t>
                  </w:r>
                </w:p>
                <w:p w14:paraId="37D2E9B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color w:val="auto"/>
                      <w:kern w:val="0"/>
                      <w:sz w:val="21"/>
                      <w:szCs w:val="21"/>
                      <w:highlight w:val="none"/>
                      <w:lang w:val="en-US" w:eastAsia="zh-CN" w:bidi="ar"/>
                    </w:rPr>
                    <w:t>4、其他平原县和山区县执行县级政府确定的禁燃区范围和管理要求。</w:t>
                  </w:r>
                </w:p>
              </w:tc>
              <w:tc>
                <w:tcPr>
                  <w:tcW w:w="2093" w:type="dxa"/>
                  <w:noWrap w:val="0"/>
                  <w:vAlign w:val="center"/>
                </w:tcPr>
                <w:p w14:paraId="4765309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1、</w:t>
                  </w:r>
                  <w:r>
                    <w:rPr>
                      <w:rFonts w:hint="eastAsia" w:ascii="Times New Roman" w:hAnsi="Times New Roman" w:eastAsia="宋体" w:cs="Times New Roman"/>
                      <w:b w:val="0"/>
                      <w:bCs w:val="0"/>
                      <w:color w:val="auto"/>
                      <w:kern w:val="0"/>
                      <w:sz w:val="21"/>
                      <w:szCs w:val="21"/>
                      <w:highlight w:val="none"/>
                      <w:vertAlign w:val="baseline"/>
                      <w:lang w:val="en-US" w:eastAsia="zh-CN" w:bidi="ar-SA"/>
                    </w:rPr>
                    <w:t>本项目</w:t>
                  </w:r>
                  <w:r>
                    <w:rPr>
                      <w:rFonts w:hint="eastAsia" w:cs="Times New Roman"/>
                      <w:b w:val="0"/>
                      <w:bCs w:val="0"/>
                      <w:color w:val="auto"/>
                      <w:kern w:val="0"/>
                      <w:sz w:val="21"/>
                      <w:szCs w:val="21"/>
                      <w:highlight w:val="none"/>
                      <w:vertAlign w:val="baseline"/>
                      <w:lang w:val="en-US" w:eastAsia="zh-CN" w:bidi="ar-SA"/>
                    </w:rPr>
                    <w:t>及现有工程均</w:t>
                  </w:r>
                  <w:r>
                    <w:rPr>
                      <w:rFonts w:hint="eastAsia" w:ascii="Times New Roman" w:hAnsi="Times New Roman" w:eastAsia="宋体" w:cs="Times New Roman"/>
                      <w:b w:val="0"/>
                      <w:bCs w:val="0"/>
                      <w:color w:val="auto"/>
                      <w:kern w:val="0"/>
                      <w:sz w:val="21"/>
                      <w:szCs w:val="21"/>
                      <w:highlight w:val="none"/>
                      <w:vertAlign w:val="baseline"/>
                      <w:lang w:val="en-US" w:eastAsia="zh-CN" w:bidi="ar-SA"/>
                    </w:rPr>
                    <w:t>不涉及</w:t>
                  </w:r>
                  <w:r>
                    <w:rPr>
                      <w:rFonts w:hint="eastAsia" w:cs="Times New Roman"/>
                      <w:b w:val="0"/>
                      <w:bCs w:val="0"/>
                      <w:color w:val="auto"/>
                      <w:kern w:val="0"/>
                      <w:sz w:val="21"/>
                      <w:szCs w:val="21"/>
                      <w:highlight w:val="none"/>
                      <w:vertAlign w:val="baseline"/>
                      <w:lang w:val="en-US" w:eastAsia="zh-CN" w:bidi="ar-SA"/>
                    </w:rPr>
                    <w:t>高污染燃料的设施。</w:t>
                  </w:r>
                </w:p>
                <w:p w14:paraId="573798E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2、本项目不涉及</w:t>
                  </w:r>
                  <w:r>
                    <w:rPr>
                      <w:rFonts w:hint="eastAsia" w:ascii="Times New Roman" w:hAnsi="Times New Roman" w:eastAsia="宋体" w:cs="Times New Roman"/>
                      <w:b w:val="0"/>
                      <w:bCs w:val="0"/>
                      <w:color w:val="auto"/>
                      <w:kern w:val="0"/>
                      <w:sz w:val="21"/>
                      <w:szCs w:val="21"/>
                      <w:highlight w:val="none"/>
                      <w:vertAlign w:val="baseline"/>
                      <w:lang w:val="en-US" w:eastAsia="zh-CN" w:bidi="ar-SA"/>
                    </w:rPr>
                    <w:t>高污染燃料使用</w:t>
                  </w:r>
                  <w:r>
                    <w:rPr>
                      <w:rFonts w:hint="eastAsia" w:cs="Times New Roman"/>
                      <w:b w:val="0"/>
                      <w:bCs w:val="0"/>
                      <w:color w:val="auto"/>
                      <w:kern w:val="0"/>
                      <w:sz w:val="21"/>
                      <w:szCs w:val="21"/>
                      <w:highlight w:val="none"/>
                      <w:vertAlign w:val="baseline"/>
                      <w:lang w:val="en-US" w:eastAsia="zh-CN" w:bidi="ar-SA"/>
                    </w:rPr>
                    <w:t>。</w:t>
                  </w:r>
                </w:p>
                <w:p w14:paraId="21FAF93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3、项目不涉及原煤使用。</w:t>
                  </w:r>
                </w:p>
                <w:p w14:paraId="37D636D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b w:val="0"/>
                      <w:bCs w:val="0"/>
                      <w:color w:val="auto"/>
                      <w:kern w:val="0"/>
                      <w:sz w:val="21"/>
                      <w:szCs w:val="21"/>
                      <w:highlight w:val="none"/>
                      <w:vertAlign w:val="baseline"/>
                      <w:lang w:val="en-US" w:eastAsia="zh-CN" w:bidi="ar-SA"/>
                    </w:rPr>
                    <w:t>4、项目不涉及。</w:t>
                  </w:r>
                </w:p>
              </w:tc>
              <w:tc>
                <w:tcPr>
                  <w:tcW w:w="526" w:type="dxa"/>
                  <w:noWrap w:val="0"/>
                  <w:vAlign w:val="center"/>
                </w:tcPr>
                <w:p w14:paraId="5AFA18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3C07D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0D8340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全市产业布局总体管控要求</w:t>
                  </w:r>
                </w:p>
              </w:tc>
            </w:tr>
            <w:tr w14:paraId="66D59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0237C4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lang w:val="en-US" w:eastAsia="zh-CN" w:bidi="ar-SA"/>
                    </w:rPr>
                  </w:pPr>
                  <w:r>
                    <w:rPr>
                      <w:rFonts w:hint="eastAsia" w:ascii="Times New Roman" w:hAnsi="Times New Roman" w:eastAsia="宋体" w:cs="Times New Roman"/>
                      <w:b/>
                      <w:bCs/>
                      <w:color w:val="auto"/>
                      <w:kern w:val="0"/>
                      <w:sz w:val="21"/>
                      <w:szCs w:val="21"/>
                      <w:highlight w:val="none"/>
                      <w:lang w:val="en-US" w:eastAsia="zh-CN" w:bidi="ar-SA"/>
                    </w:rPr>
                    <w:t>分类</w:t>
                  </w:r>
                </w:p>
              </w:tc>
              <w:tc>
                <w:tcPr>
                  <w:tcW w:w="3590" w:type="dxa"/>
                  <w:gridSpan w:val="6"/>
                  <w:noWrap w:val="0"/>
                  <w:vAlign w:val="center"/>
                </w:tcPr>
                <w:p w14:paraId="1B719DA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管控要求</w:t>
                  </w:r>
                </w:p>
              </w:tc>
              <w:tc>
                <w:tcPr>
                  <w:tcW w:w="2093" w:type="dxa"/>
                  <w:noWrap w:val="0"/>
                  <w:vAlign w:val="center"/>
                </w:tcPr>
                <w:p w14:paraId="2D8725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1AF057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2E5BC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2192D67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lang w:val="en-US" w:eastAsia="zh-CN" w:bidi="ar-SA"/>
                    </w:rPr>
                  </w:pPr>
                  <w:bookmarkStart w:id="14" w:name="OLE_LINK23"/>
                  <w:r>
                    <w:rPr>
                      <w:rFonts w:hint="eastAsia" w:ascii="Times New Roman" w:hAnsi="Times New Roman" w:eastAsia="宋体" w:cs="Times New Roman"/>
                      <w:b w:val="0"/>
                      <w:bCs w:val="0"/>
                      <w:color w:val="auto"/>
                      <w:kern w:val="0"/>
                      <w:sz w:val="21"/>
                      <w:szCs w:val="21"/>
                      <w:highlight w:val="none"/>
                      <w:lang w:val="en-US" w:eastAsia="zh-CN" w:bidi="ar-SA"/>
                    </w:rPr>
                    <w:t>产业总体布局要求</w:t>
                  </w:r>
                  <w:bookmarkEnd w:id="14"/>
                </w:p>
              </w:tc>
              <w:tc>
                <w:tcPr>
                  <w:tcW w:w="3590" w:type="dxa"/>
                  <w:gridSpan w:val="6"/>
                  <w:noWrap w:val="0"/>
                  <w:vAlign w:val="center"/>
                </w:tcPr>
                <w:p w14:paraId="1DA7CB7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1、严格建设项目环境准入，新、改、扩建项目的环境影响评价应满足区域、规划环评要求。</w:t>
                  </w:r>
                </w:p>
                <w:p w14:paraId="5C4D407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2、新建、改建、扩建用煤项目，应当实行煤炭的等量或者减量替代。</w:t>
                  </w:r>
                </w:p>
                <w:p w14:paraId="4ABB3E9D">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3、严格执行国家《产业结构调整指导目录》、《市场准入负面清单》以及《河北省禁止投资的产业目录》中准入要求。</w:t>
                  </w:r>
                </w:p>
                <w:p w14:paraId="1558555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4、严格控制《环境保护综合名录》中“高污染、高环境风险”产品加工项目，城市工业企业退城搬迁改造及产能置换项目除外。</w:t>
                  </w:r>
                </w:p>
                <w:p w14:paraId="58BD001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5、新建项目一律不得违规占用河库管理范围。</w:t>
                  </w:r>
                </w:p>
                <w:p w14:paraId="404C218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6、以石化、化工、涂装、医药、包装印刷、油品储运销等行业领域为重点，安全高效推进挥发性有机物(VOCs)综合治理，实施原辅材料和产品源头替代、无组织排放和末端深度治理等提升改造工程。</w:t>
                  </w:r>
                </w:p>
                <w:p w14:paraId="0794CE1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7、锅炉大气污染物排放控制要求、污染物监测要求、达标判定要求按照河北省地标《锅炉大气污染物排放标准》(DB13/5161-2020)执行。</w:t>
                  </w:r>
                </w:p>
                <w:p w14:paraId="634F4CB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8、禁止在居民区和学校、医院、疗养院、养老院等单位周边新建、改建、扩建有色金属冶炼、石油加工、焦化、化工、电镀、制革等可能造成土壤污染的建设项目。</w:t>
                  </w:r>
                </w:p>
                <w:p w14:paraId="7C94C67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9、在地下水超采区控制高耗水产业发展。</w:t>
                  </w:r>
                </w:p>
                <w:p w14:paraId="2CEB100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10、涉重金属重点行业企业“十四五”期间依法依规至少开展一轮强制性清洁生产审核，到2025年底，涉重金属重点行业企业基本达到国内清洁生产先进水平。</w:t>
                  </w:r>
                </w:p>
                <w:p w14:paraId="1182C0E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11、按照《关于进一步加强塑料污染治理的实施方案》要求，石家庄城市建成区和重点领域禁止、限制部分塑料制品的生产、销售和使用。</w:t>
                  </w:r>
                </w:p>
                <w:p w14:paraId="444FD44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12、实施制造业绿色改造重点专项，开展制造业绿色发展示范工程，推进生物医药、化工、钢铁等行业工艺技术装备绿色化改造。鼓励企业实施绿色战略、绿色标准、绿色管理和绿色生产，推行“互联网+绿色制造”模式，开发绿色产品，建设绿色工厂，打造绿色供应链，构建绿色制造体系。大力发展节能环保、清洁生产和清洁能源产业。在钢铁、火电、水泥、化工等重点行业推广低碳节能技术改造，探索开展碳捕集、利用与封存试验示范，控制工业领域温室气体排放。加快构建绿色低碳的综合交通运输体系，实施一批绿色公路、绿色机场等示范工程。全面推行清洁生产，推进钢铁、石化、建材、纺织、食品等重点行业强制性清洁生产审核。</w:t>
                  </w:r>
                </w:p>
                <w:p w14:paraId="459EABE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13、新建、改建、扩建“两高”项目须符合生态环境保护法律法规和相关法定规划，满足重点污染物排放总量控制、碳排放达峰目标、生态环境准入清单、相关规划环评和相应行业建设项目环境准入条件、环评文件审批原则要求。新增主要污染物排放量的“两高”项目，严格落实生态环境部《关于加强重点行业建设项目区域削减措施监督管理的通知要求》，提出有效区域削减方案，主要污染物实行区域倍量削减，规范削减措施来源，强化建设单位、出让减排量排污单位和地方政府责任，确保落实区域削减措施。</w:t>
                  </w:r>
                </w:p>
                <w:p w14:paraId="518F780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14、省级人民政府及其有关部门批准设立的经济技术开发区、高新技术产业开发区、旅游度假区等产业园区及市级人民政府批准设立的各类产业园区，在编制开发建设有关规划时，应依法开展规划环评工作，编制环境影响报告书。涉及“一区多园”的产业园区，应整体开展规划环境影响评价(跟踪评价)工作，实现规划环评“一本制”。</w:t>
                  </w:r>
                </w:p>
              </w:tc>
              <w:tc>
                <w:tcPr>
                  <w:tcW w:w="2093" w:type="dxa"/>
                  <w:noWrap w:val="0"/>
                  <w:vAlign w:val="center"/>
                </w:tcPr>
                <w:p w14:paraId="6BD24B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1、本项目符合</w:t>
                  </w:r>
                  <w:commentRangeStart w:id="5"/>
                  <w:r>
                    <w:rPr>
                      <w:rFonts w:hint="eastAsia" w:ascii="Times New Roman" w:hAnsi="Times New Roman" w:cs="Times New Roman"/>
                      <w:color w:val="auto"/>
                      <w:spacing w:val="0"/>
                      <w:w w:val="100"/>
                      <w:position w:val="0"/>
                      <w:sz w:val="21"/>
                      <w:szCs w:val="21"/>
                      <w:highlight w:val="none"/>
                      <w:lang w:val="en-US" w:eastAsia="zh-CN" w:bidi="ar-SA"/>
                    </w:rPr>
                    <w:t>石家庄高新技术产业开发区循环化工园区</w:t>
                  </w:r>
                  <w:commentRangeEnd w:id="5"/>
                  <w:r>
                    <w:commentReference w:id="5"/>
                  </w:r>
                  <w:r>
                    <w:rPr>
                      <w:rFonts w:hint="default" w:ascii="Times New Roman" w:hAnsi="Times New Roman" w:eastAsia="宋体" w:cs="Times New Roman"/>
                      <w:color w:val="auto"/>
                      <w:spacing w:val="0"/>
                      <w:w w:val="100"/>
                      <w:position w:val="0"/>
                      <w:sz w:val="21"/>
                      <w:szCs w:val="21"/>
                      <w:highlight w:val="none"/>
                      <w:lang w:val="en-US" w:eastAsia="zh-CN" w:bidi="ar-SA"/>
                    </w:rPr>
                    <w:t>规划环评要求。</w:t>
                  </w:r>
                </w:p>
                <w:p w14:paraId="45DE42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2、本项目不涉及燃煤。</w:t>
                  </w:r>
                </w:p>
                <w:p w14:paraId="52D018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bidi="ar-SA"/>
                    </w:rPr>
                    <w:t>3、</w:t>
                  </w:r>
                  <w:r>
                    <w:rPr>
                      <w:rFonts w:hint="default" w:ascii="Times New Roman" w:hAnsi="Times New Roman" w:eastAsia="宋体" w:cs="Times New Roman"/>
                      <w:color w:val="auto"/>
                      <w:spacing w:val="0"/>
                      <w:w w:val="100"/>
                      <w:position w:val="0"/>
                      <w:sz w:val="21"/>
                      <w:szCs w:val="21"/>
                      <w:highlight w:val="none"/>
                      <w:lang w:val="en-US" w:eastAsia="zh-CN" w:bidi="ar-SA"/>
                    </w:rPr>
                    <w:t>本项目不属于《产业结构调整指导目录（2024年本）》中的限制类和淘汰类，</w:t>
                  </w:r>
                  <w:r>
                    <w:rPr>
                      <w:rFonts w:hint="default" w:ascii="Times New Roman" w:hAnsi="Times New Roman" w:eastAsia="宋体" w:cs="Times New Roman"/>
                      <w:bCs/>
                      <w:color w:val="auto"/>
                      <w:spacing w:val="0"/>
                      <w:w w:val="100"/>
                      <w:position w:val="0"/>
                      <w:sz w:val="21"/>
                      <w:szCs w:val="21"/>
                      <w:highlight w:val="none"/>
                    </w:rPr>
                    <w:t>不</w:t>
                  </w:r>
                  <w:r>
                    <w:rPr>
                      <w:rFonts w:hint="default" w:ascii="Times New Roman" w:hAnsi="Times New Roman" w:eastAsia="宋体" w:cs="Times New Roman"/>
                      <w:bCs/>
                      <w:color w:val="auto"/>
                      <w:spacing w:val="0"/>
                      <w:w w:val="100"/>
                      <w:position w:val="0"/>
                      <w:sz w:val="21"/>
                      <w:szCs w:val="21"/>
                      <w:highlight w:val="none"/>
                      <w:lang w:val="en-US" w:eastAsia="zh-CN"/>
                    </w:rPr>
                    <w:t>属于</w:t>
                  </w:r>
                  <w:r>
                    <w:rPr>
                      <w:rFonts w:hint="default" w:ascii="Times New Roman" w:hAnsi="Times New Roman" w:eastAsia="宋体" w:cs="Times New Roman"/>
                      <w:color w:val="auto"/>
                      <w:spacing w:val="0"/>
                      <w:w w:val="100"/>
                      <w:kern w:val="0"/>
                      <w:position w:val="0"/>
                      <w:sz w:val="21"/>
                      <w:szCs w:val="21"/>
                      <w:highlight w:val="none"/>
                      <w:lang w:eastAsia="zh-CN"/>
                    </w:rPr>
                    <w:t>《市场准入负面清单》（202</w:t>
                  </w:r>
                  <w:r>
                    <w:rPr>
                      <w:rFonts w:hint="eastAsia" w:cs="Times New Roman"/>
                      <w:color w:val="auto"/>
                      <w:spacing w:val="0"/>
                      <w:w w:val="100"/>
                      <w:kern w:val="0"/>
                      <w:position w:val="0"/>
                      <w:sz w:val="21"/>
                      <w:szCs w:val="21"/>
                      <w:highlight w:val="none"/>
                      <w:lang w:val="en-US" w:eastAsia="zh-CN"/>
                    </w:rPr>
                    <w:t>5</w:t>
                  </w:r>
                  <w:r>
                    <w:rPr>
                      <w:rFonts w:hint="default" w:ascii="Times New Roman" w:hAnsi="Times New Roman" w:eastAsia="宋体" w:cs="Times New Roman"/>
                      <w:color w:val="auto"/>
                      <w:spacing w:val="0"/>
                      <w:w w:val="100"/>
                      <w:kern w:val="0"/>
                      <w:position w:val="0"/>
                      <w:sz w:val="21"/>
                      <w:szCs w:val="21"/>
                      <w:highlight w:val="none"/>
                      <w:lang w:eastAsia="zh-CN"/>
                    </w:rPr>
                    <w:t>年版）</w:t>
                  </w:r>
                  <w:r>
                    <w:rPr>
                      <w:rFonts w:hint="default" w:ascii="Times New Roman" w:hAnsi="Times New Roman" w:eastAsia="宋体" w:cs="Times New Roman"/>
                      <w:bCs/>
                      <w:color w:val="auto"/>
                      <w:spacing w:val="0"/>
                      <w:w w:val="100"/>
                      <w:position w:val="0"/>
                      <w:sz w:val="21"/>
                      <w:szCs w:val="21"/>
                      <w:highlight w:val="none"/>
                    </w:rPr>
                    <w:t>中列出的禁止准入类事项，</w:t>
                  </w:r>
                  <w:r>
                    <w:rPr>
                      <w:rFonts w:hint="default" w:ascii="Times New Roman" w:hAnsi="Times New Roman" w:eastAsia="宋体" w:cs="Times New Roman"/>
                      <w:color w:val="auto"/>
                      <w:spacing w:val="0"/>
                      <w:w w:val="100"/>
                      <w:position w:val="0"/>
                      <w:sz w:val="21"/>
                      <w:szCs w:val="21"/>
                      <w:highlight w:val="none"/>
                      <w:lang w:val="en-US" w:eastAsia="zh-CN" w:bidi="ar-SA"/>
                    </w:rPr>
                    <w:t>不属于《河北省禁止投资的产业目录》，符合相关准入要求。</w:t>
                  </w:r>
                </w:p>
                <w:p w14:paraId="4CCB96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bidi="ar-SA"/>
                    </w:rPr>
                    <w:t>4、</w:t>
                  </w:r>
                  <w:r>
                    <w:rPr>
                      <w:rFonts w:hint="default" w:ascii="Times New Roman" w:hAnsi="Times New Roman" w:eastAsia="宋体" w:cs="Times New Roman"/>
                      <w:color w:val="auto"/>
                      <w:spacing w:val="0"/>
                      <w:w w:val="100"/>
                      <w:position w:val="0"/>
                      <w:sz w:val="21"/>
                      <w:szCs w:val="21"/>
                      <w:highlight w:val="none"/>
                      <w:lang w:val="en-US" w:eastAsia="zh-CN" w:bidi="ar-SA"/>
                    </w:rPr>
                    <w:t>对照《环境保护综合名录（2021年版）》，项目产品</w:t>
                  </w:r>
                  <w:r>
                    <w:rPr>
                      <w:rFonts w:hint="eastAsia" w:cs="Times New Roman"/>
                      <w:color w:val="auto"/>
                      <w:spacing w:val="0"/>
                      <w:w w:val="100"/>
                      <w:position w:val="0"/>
                      <w:sz w:val="21"/>
                      <w:szCs w:val="21"/>
                      <w:highlight w:val="none"/>
                      <w:lang w:val="en-US" w:eastAsia="zh-CN" w:bidi="ar-SA"/>
                    </w:rPr>
                    <w:t>甘氨酸亚铁</w:t>
                  </w:r>
                  <w:r>
                    <w:rPr>
                      <w:rFonts w:hint="default" w:ascii="Times New Roman" w:hAnsi="Times New Roman" w:eastAsia="宋体" w:cs="Times New Roman"/>
                      <w:color w:val="auto"/>
                      <w:spacing w:val="0"/>
                      <w:w w:val="100"/>
                      <w:position w:val="0"/>
                      <w:sz w:val="21"/>
                      <w:szCs w:val="21"/>
                      <w:highlight w:val="none"/>
                      <w:lang w:val="en-US" w:eastAsia="zh-CN" w:bidi="ar-SA"/>
                    </w:rPr>
                    <w:t>，不属于</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高污染、高风险</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产品加工项目。</w:t>
                  </w:r>
                </w:p>
                <w:p w14:paraId="6FDDB8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bidi="ar-SA"/>
                    </w:rPr>
                    <w:t>5</w:t>
                  </w:r>
                  <w:r>
                    <w:rPr>
                      <w:rFonts w:hint="default" w:ascii="Times New Roman" w:hAnsi="Times New Roman" w:eastAsia="宋体" w:cs="Times New Roman"/>
                      <w:color w:val="auto"/>
                      <w:spacing w:val="0"/>
                      <w:w w:val="100"/>
                      <w:position w:val="0"/>
                      <w:sz w:val="21"/>
                      <w:szCs w:val="21"/>
                      <w:highlight w:val="none"/>
                      <w:lang w:val="en-US" w:eastAsia="zh-CN" w:bidi="ar-SA"/>
                    </w:rPr>
                    <w:t>、本项目不新增占地，不在河库管理范围。</w:t>
                  </w:r>
                </w:p>
                <w:p w14:paraId="3050E0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bidi="ar-SA"/>
                    </w:rPr>
                    <w:t>6</w:t>
                  </w:r>
                  <w:r>
                    <w:rPr>
                      <w:rFonts w:hint="default" w:ascii="Times New Roman" w:hAnsi="Times New Roman" w:eastAsia="宋体" w:cs="Times New Roman"/>
                      <w:color w:val="auto"/>
                      <w:spacing w:val="0"/>
                      <w:w w:val="100"/>
                      <w:position w:val="0"/>
                      <w:sz w:val="21"/>
                      <w:szCs w:val="21"/>
                      <w:highlight w:val="none"/>
                      <w:lang w:val="en-US" w:eastAsia="zh-CN" w:bidi="ar-SA"/>
                    </w:rPr>
                    <w:t>、本项目</w:t>
                  </w:r>
                  <w:r>
                    <w:rPr>
                      <w:rFonts w:hint="eastAsia" w:cs="Times New Roman"/>
                      <w:color w:val="auto"/>
                      <w:spacing w:val="0"/>
                      <w:w w:val="100"/>
                      <w:position w:val="0"/>
                      <w:sz w:val="21"/>
                      <w:szCs w:val="21"/>
                      <w:highlight w:val="none"/>
                      <w:lang w:val="en-US" w:eastAsia="zh-CN" w:bidi="ar-SA"/>
                    </w:rPr>
                    <w:t>污染物主要为颗粒物</w:t>
                  </w:r>
                  <w:r>
                    <w:rPr>
                      <w:rFonts w:hint="default" w:ascii="Times New Roman" w:hAnsi="Times New Roman" w:eastAsia="宋体" w:cs="Times New Roman"/>
                      <w:color w:val="auto"/>
                      <w:spacing w:val="0"/>
                      <w:w w:val="100"/>
                      <w:position w:val="0"/>
                      <w:sz w:val="21"/>
                      <w:szCs w:val="21"/>
                      <w:highlight w:val="none"/>
                      <w:lang w:val="en-US" w:eastAsia="zh-CN" w:bidi="ar-SA"/>
                    </w:rPr>
                    <w:t>。</w:t>
                  </w:r>
                </w:p>
                <w:p w14:paraId="5ED9E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bidi="ar-SA"/>
                    </w:rPr>
                    <w:t>7、本项目不</w:t>
                  </w:r>
                  <w:commentRangeStart w:id="6"/>
                  <w:r>
                    <w:rPr>
                      <w:rFonts w:hint="eastAsia" w:cs="Times New Roman"/>
                      <w:color w:val="auto"/>
                      <w:spacing w:val="0"/>
                      <w:w w:val="100"/>
                      <w:position w:val="0"/>
                      <w:sz w:val="21"/>
                      <w:szCs w:val="21"/>
                      <w:highlight w:val="none"/>
                      <w:lang w:val="en-US" w:eastAsia="zh-CN" w:bidi="ar-SA"/>
                    </w:rPr>
                    <w:t>适用</w:t>
                  </w:r>
                  <w:commentRangeEnd w:id="6"/>
                  <w:r>
                    <w:commentReference w:id="6"/>
                  </w:r>
                  <w:r>
                    <w:rPr>
                      <w:rFonts w:hint="eastAsia" w:cs="Times New Roman"/>
                      <w:color w:val="auto"/>
                      <w:spacing w:val="0"/>
                      <w:w w:val="100"/>
                      <w:position w:val="0"/>
                      <w:sz w:val="21"/>
                      <w:szCs w:val="21"/>
                      <w:highlight w:val="none"/>
                      <w:lang w:val="en-US" w:eastAsia="zh-CN" w:bidi="ar-SA"/>
                    </w:rPr>
                    <w:t>锅炉。</w:t>
                  </w:r>
                </w:p>
                <w:p w14:paraId="6E1037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bidi="ar-SA"/>
                    </w:rPr>
                    <w:t>8</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不涉及</w:t>
                  </w:r>
                  <w:r>
                    <w:rPr>
                      <w:rFonts w:hint="default" w:ascii="Times New Roman" w:hAnsi="Times New Roman" w:eastAsia="宋体" w:cs="Times New Roman"/>
                      <w:color w:val="auto"/>
                      <w:spacing w:val="0"/>
                      <w:w w:val="100"/>
                      <w:position w:val="0"/>
                      <w:sz w:val="21"/>
                      <w:szCs w:val="21"/>
                      <w:highlight w:val="none"/>
                      <w:lang w:val="en-US" w:eastAsia="zh-CN" w:bidi="ar-SA"/>
                    </w:rPr>
                    <w:t>。</w:t>
                  </w:r>
                </w:p>
                <w:p w14:paraId="53CB7C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bidi="ar-SA"/>
                    </w:rPr>
                    <w:t>9、</w:t>
                  </w:r>
                  <w:r>
                    <w:rPr>
                      <w:rFonts w:hint="default" w:ascii="Times New Roman" w:hAnsi="Times New Roman" w:eastAsia="宋体" w:cs="Times New Roman"/>
                      <w:color w:val="auto"/>
                      <w:spacing w:val="0"/>
                      <w:w w:val="100"/>
                      <w:position w:val="0"/>
                      <w:sz w:val="21"/>
                      <w:szCs w:val="21"/>
                      <w:highlight w:val="none"/>
                      <w:lang w:val="en-US" w:eastAsia="zh-CN" w:bidi="ar-SA"/>
                    </w:rPr>
                    <w:t>本项目所在区域属于一般超采区，同时项目所用新鲜水源来自南水北调地表水，不使用地下水。</w:t>
                  </w:r>
                </w:p>
                <w:p w14:paraId="52836A97">
                  <w:pPr>
                    <w:keepNext w:val="0"/>
                    <w:keepLines w:val="0"/>
                    <w:pageBreakBefore w:val="0"/>
                    <w:kinsoku/>
                    <w:wordWrap/>
                    <w:overflowPunct/>
                    <w:topLinePunct w:val="0"/>
                    <w:autoSpaceDE/>
                    <w:autoSpaceDN/>
                    <w:bidi w:val="0"/>
                    <w:adjustRightInd/>
                    <w:snapToGrid/>
                    <w:spacing w:line="240" w:lineRule="auto"/>
                    <w:rPr>
                      <w:rFonts w:hint="default"/>
                      <w:color w:val="auto"/>
                      <w:highlight w:val="none"/>
                      <w:lang w:val="en-US" w:eastAsia="zh-CN"/>
                    </w:rPr>
                  </w:pPr>
                  <w:r>
                    <w:rPr>
                      <w:rFonts w:hint="eastAsia" w:ascii="Times New Roman" w:hAnsi="Times New Roman" w:eastAsia="宋体" w:cs="Times New Roman"/>
                      <w:color w:val="auto"/>
                      <w:spacing w:val="0"/>
                      <w:w w:val="100"/>
                      <w:kern w:val="0"/>
                      <w:position w:val="0"/>
                      <w:sz w:val="21"/>
                      <w:szCs w:val="21"/>
                      <w:highlight w:val="none"/>
                      <w:lang w:val="en-US" w:eastAsia="zh-CN" w:bidi="ar"/>
                    </w:rPr>
                    <w:t>1</w:t>
                  </w:r>
                  <w:r>
                    <w:rPr>
                      <w:rFonts w:hint="eastAsia" w:cs="Times New Roman"/>
                      <w:color w:val="auto"/>
                      <w:spacing w:val="0"/>
                      <w:w w:val="100"/>
                      <w:kern w:val="0"/>
                      <w:position w:val="0"/>
                      <w:sz w:val="21"/>
                      <w:szCs w:val="21"/>
                      <w:highlight w:val="none"/>
                      <w:lang w:val="en-US" w:eastAsia="zh-CN" w:bidi="ar"/>
                    </w:rPr>
                    <w:t>0-14</w:t>
                  </w:r>
                  <w:r>
                    <w:rPr>
                      <w:rFonts w:hint="eastAsia" w:ascii="Times New Roman" w:hAnsi="Times New Roman" w:eastAsia="宋体" w:cs="Times New Roman"/>
                      <w:color w:val="auto"/>
                      <w:spacing w:val="0"/>
                      <w:w w:val="100"/>
                      <w:kern w:val="0"/>
                      <w:position w:val="0"/>
                      <w:sz w:val="21"/>
                      <w:szCs w:val="21"/>
                      <w:highlight w:val="none"/>
                      <w:lang w:val="en-US" w:eastAsia="zh-CN" w:bidi="ar"/>
                    </w:rPr>
                    <w:t>、</w:t>
                  </w:r>
                  <w:r>
                    <w:rPr>
                      <w:rFonts w:hint="default" w:ascii="Times New Roman" w:hAnsi="Times New Roman" w:eastAsia="宋体" w:cs="Times New Roman"/>
                      <w:color w:val="auto"/>
                      <w:spacing w:val="0"/>
                      <w:w w:val="100"/>
                      <w:position w:val="0"/>
                      <w:sz w:val="21"/>
                      <w:szCs w:val="21"/>
                      <w:highlight w:val="none"/>
                      <w:lang w:val="en-US" w:eastAsia="zh-CN" w:bidi="ar-SA"/>
                    </w:rPr>
                    <w:t>本项目属于</w:t>
                  </w:r>
                  <w:r>
                    <w:rPr>
                      <w:rFonts w:hint="eastAsia" w:ascii="Times New Roman" w:hAnsi="Times New Roman" w:eastAsia="宋体" w:cs="Times New Roman"/>
                      <w:color w:val="auto"/>
                      <w:spacing w:val="0"/>
                      <w:w w:val="100"/>
                      <w:position w:val="0"/>
                      <w:sz w:val="21"/>
                      <w:szCs w:val="21"/>
                      <w:highlight w:val="none"/>
                      <w:lang w:val="en-US" w:eastAsia="zh-CN" w:bidi="ar-SA"/>
                    </w:rPr>
                    <w:t>食品及饲料添加剂制造</w:t>
                  </w:r>
                  <w:r>
                    <w:rPr>
                      <w:rFonts w:hint="default" w:ascii="Times New Roman" w:hAnsi="Times New Roman" w:eastAsia="宋体" w:cs="Times New Roman"/>
                      <w:color w:val="auto"/>
                      <w:spacing w:val="0"/>
                      <w:w w:val="100"/>
                      <w:position w:val="0"/>
                      <w:sz w:val="21"/>
                      <w:szCs w:val="21"/>
                      <w:highlight w:val="none"/>
                      <w:lang w:val="en-US" w:eastAsia="zh-CN" w:bidi="ar-SA"/>
                    </w:rPr>
                    <w:t>项目，</w:t>
                  </w:r>
                  <w:r>
                    <w:rPr>
                      <w:rFonts w:hint="eastAsia" w:ascii="Times New Roman" w:hAnsi="Times New Roman" w:eastAsia="宋体" w:cs="Times New Roman"/>
                      <w:color w:val="auto"/>
                      <w:spacing w:val="0"/>
                      <w:w w:val="100"/>
                      <w:kern w:val="0"/>
                      <w:position w:val="0"/>
                      <w:sz w:val="21"/>
                      <w:szCs w:val="21"/>
                      <w:highlight w:val="none"/>
                      <w:lang w:val="en-US" w:eastAsia="zh-CN" w:bidi="ar"/>
                    </w:rPr>
                    <w:t>不属于</w:t>
                  </w:r>
                  <w:r>
                    <w:rPr>
                      <w:rFonts w:hint="eastAsia" w:cs="Times New Roman"/>
                      <w:color w:val="auto"/>
                      <w:spacing w:val="0"/>
                      <w:w w:val="100"/>
                      <w:kern w:val="0"/>
                      <w:position w:val="0"/>
                      <w:sz w:val="21"/>
                      <w:szCs w:val="21"/>
                      <w:highlight w:val="none"/>
                      <w:lang w:val="en-US" w:eastAsia="zh-CN" w:bidi="ar"/>
                    </w:rPr>
                    <w:t>“</w:t>
                  </w:r>
                  <w:r>
                    <w:rPr>
                      <w:rFonts w:hint="eastAsia" w:ascii="Times New Roman" w:hAnsi="Times New Roman" w:eastAsia="宋体" w:cs="Times New Roman"/>
                      <w:color w:val="auto"/>
                      <w:spacing w:val="0"/>
                      <w:w w:val="100"/>
                      <w:kern w:val="0"/>
                      <w:position w:val="0"/>
                      <w:sz w:val="21"/>
                      <w:szCs w:val="21"/>
                      <w:highlight w:val="none"/>
                      <w:lang w:val="en-US" w:eastAsia="zh-CN" w:bidi="ar"/>
                    </w:rPr>
                    <w:t>两高</w:t>
                  </w:r>
                  <w:r>
                    <w:rPr>
                      <w:rFonts w:hint="eastAsia" w:cs="Times New Roman"/>
                      <w:color w:val="auto"/>
                      <w:spacing w:val="0"/>
                      <w:w w:val="100"/>
                      <w:kern w:val="0"/>
                      <w:position w:val="0"/>
                      <w:sz w:val="21"/>
                      <w:szCs w:val="21"/>
                      <w:highlight w:val="none"/>
                      <w:lang w:val="en-US" w:eastAsia="zh-CN" w:bidi="ar"/>
                    </w:rPr>
                    <w:t>”</w:t>
                  </w:r>
                  <w:r>
                    <w:rPr>
                      <w:rFonts w:hint="eastAsia" w:ascii="Times New Roman" w:hAnsi="Times New Roman" w:eastAsia="宋体" w:cs="Times New Roman"/>
                      <w:color w:val="auto"/>
                      <w:spacing w:val="0"/>
                      <w:w w:val="100"/>
                      <w:kern w:val="0"/>
                      <w:position w:val="0"/>
                      <w:sz w:val="21"/>
                      <w:szCs w:val="21"/>
                      <w:highlight w:val="none"/>
                      <w:lang w:val="en-US" w:eastAsia="zh-CN" w:bidi="ar"/>
                    </w:rPr>
                    <w:t>项目</w:t>
                  </w:r>
                  <w:r>
                    <w:rPr>
                      <w:rFonts w:hint="eastAsia" w:ascii="Times New Roman" w:hAnsi="Times New Roman" w:cs="Times New Roman"/>
                      <w:color w:val="auto"/>
                      <w:spacing w:val="0"/>
                      <w:w w:val="100"/>
                      <w:position w:val="0"/>
                      <w:sz w:val="21"/>
                      <w:szCs w:val="21"/>
                      <w:highlight w:val="none"/>
                      <w:lang w:val="en-US" w:eastAsia="zh-CN" w:bidi="ar-SA"/>
                    </w:rPr>
                    <w:t>。</w:t>
                  </w:r>
                </w:p>
              </w:tc>
              <w:tc>
                <w:tcPr>
                  <w:tcW w:w="526" w:type="dxa"/>
                  <w:noWrap w:val="0"/>
                  <w:vAlign w:val="center"/>
                </w:tcPr>
                <w:p w14:paraId="6AD425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58D56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670D6C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eastAsia="宋体" w:cs="Times New Roman"/>
                      <w:b w:val="0"/>
                      <w:bCs w:val="0"/>
                      <w:color w:val="auto"/>
                      <w:kern w:val="0"/>
                      <w:sz w:val="21"/>
                      <w:szCs w:val="21"/>
                      <w:highlight w:val="none"/>
                      <w:lang w:val="en-US" w:eastAsia="zh-CN" w:bidi="ar-SA"/>
                    </w:rPr>
                    <w:t>项目入园准入要求</w:t>
                  </w:r>
                </w:p>
              </w:tc>
              <w:tc>
                <w:tcPr>
                  <w:tcW w:w="3590" w:type="dxa"/>
                  <w:gridSpan w:val="6"/>
                  <w:noWrap w:val="0"/>
                  <w:vAlign w:val="center"/>
                </w:tcPr>
                <w:p w14:paraId="7798301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1、县级以下原则不再建设新的园区，造纸、焦化、氮肥、有色金属、印染、原料药制造、皮革、农药、电镀、钢铁、石灰、平板玻璃、石化、化工等高污染工业项目必须入园进区。被认定为重点监控点的化工企业，可按照《河北省人民政府办公厅关于印发河北省化工重点监控点认定办法的通知》（冀政办字〔2021〕122号）相关要求执行。</w:t>
                  </w:r>
                </w:p>
                <w:p w14:paraId="268D911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2、加强园区规划及环评时效性。现有县市级工业区在遵从规划、规划环评及跟踪评价的要求前提下，严格遵循全省、地市及对应单元生态环境准入要求。</w:t>
                  </w:r>
                </w:p>
                <w:p w14:paraId="6C38488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3、对新设立或扩区未开展规划环评的园区，规划定位、范围、布局、结构、规模等发生调整未开展规划环评调整的以及规划实施已超过5年未进行规划环境影响跟踪评价的园区，督促园区管委会抓紧整改。</w:t>
                  </w:r>
                </w:p>
                <w:p w14:paraId="0BEBFA5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4、各级行政审批部门应把规划环评结论及审查意见的符合性作为入园建设项目环评审批的重要依据。严格落实产业园区规划环评对项目环评的指导要求，规划环评提出需要深入论证的，在项目环评审批阶段应重点把关。按要求可以简化内容的项目环评，不再增加相关环评内容要求。</w:t>
                  </w:r>
                </w:p>
              </w:tc>
              <w:tc>
                <w:tcPr>
                  <w:tcW w:w="2093" w:type="dxa"/>
                  <w:noWrap w:val="0"/>
                  <w:vAlign w:val="center"/>
                </w:tcPr>
                <w:p w14:paraId="75B77B50">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1、</w:t>
                  </w:r>
                  <w:r>
                    <w:rPr>
                      <w:rFonts w:hint="default" w:ascii="Times New Roman" w:hAnsi="Times New Roman" w:eastAsia="宋体" w:cs="Times New Roman"/>
                      <w:color w:val="auto"/>
                      <w:spacing w:val="0"/>
                      <w:w w:val="100"/>
                      <w:position w:val="0"/>
                      <w:sz w:val="21"/>
                      <w:szCs w:val="24"/>
                      <w:highlight w:val="none"/>
                      <w:lang w:val="en-US" w:eastAsia="zh-CN" w:bidi="ar-SA"/>
                    </w:rPr>
                    <w:t>本项目厂区位于</w:t>
                  </w:r>
                  <w:r>
                    <w:rPr>
                      <w:rFonts w:hint="eastAsia" w:ascii="Times New Roman" w:hAnsi="Times New Roman" w:cs="Times New Roman"/>
                      <w:color w:val="auto"/>
                      <w:spacing w:val="0"/>
                      <w:w w:val="100"/>
                      <w:position w:val="0"/>
                      <w:sz w:val="21"/>
                      <w:szCs w:val="24"/>
                      <w:highlight w:val="none"/>
                      <w:lang w:val="en-US" w:eastAsia="zh-CN" w:bidi="ar-SA"/>
                    </w:rPr>
                    <w:t>石家庄高新技术产业开发区循环化工园区</w:t>
                  </w:r>
                  <w:r>
                    <w:rPr>
                      <w:rFonts w:hint="eastAsia" w:cs="Times New Roman"/>
                      <w:color w:val="auto"/>
                      <w:spacing w:val="0"/>
                      <w:w w:val="100"/>
                      <w:position w:val="0"/>
                      <w:sz w:val="21"/>
                      <w:szCs w:val="24"/>
                      <w:highlight w:val="none"/>
                      <w:lang w:val="en-US" w:eastAsia="zh-CN" w:bidi="ar-SA"/>
                    </w:rPr>
                    <w:t>。</w:t>
                  </w:r>
                </w:p>
                <w:p w14:paraId="2D75B28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2、本项目厂区位于</w:t>
                  </w:r>
                  <w:r>
                    <w:rPr>
                      <w:rFonts w:hint="eastAsia" w:ascii="Times New Roman" w:hAnsi="Times New Roman" w:cs="Times New Roman"/>
                      <w:color w:val="auto"/>
                      <w:spacing w:val="0"/>
                      <w:w w:val="100"/>
                      <w:position w:val="0"/>
                      <w:sz w:val="21"/>
                      <w:szCs w:val="24"/>
                      <w:highlight w:val="none"/>
                      <w:lang w:val="en-US" w:eastAsia="zh-CN" w:bidi="ar-SA"/>
                    </w:rPr>
                    <w:t>石家庄高新技术产业开发区循环化工园区</w:t>
                  </w:r>
                  <w:r>
                    <w:rPr>
                      <w:rFonts w:hint="eastAsia" w:cs="Times New Roman"/>
                      <w:color w:val="auto"/>
                      <w:spacing w:val="0"/>
                      <w:w w:val="100"/>
                      <w:position w:val="0"/>
                      <w:sz w:val="21"/>
                      <w:szCs w:val="24"/>
                      <w:highlight w:val="none"/>
                      <w:lang w:val="en-US" w:eastAsia="zh-CN" w:bidi="ar-SA"/>
                    </w:rPr>
                    <w:t>，项目建设严格服从园区总体规划、规划环评及跟踪评价相关管控要求，同时全面落实全省、市域及所在管控单元生态环境准入各项规定，项目选址、产业类型、建设规模均符合区域生态环境准入清单要求。</w:t>
                  </w:r>
                </w:p>
                <w:p w14:paraId="7F4E58A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3、不涉及。</w:t>
                  </w:r>
                </w:p>
                <w:p w14:paraId="0660378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color w:val="auto"/>
                      <w:spacing w:val="0"/>
                      <w:w w:val="100"/>
                      <w:position w:val="0"/>
                      <w:sz w:val="21"/>
                      <w:szCs w:val="24"/>
                      <w:highlight w:val="none"/>
                      <w:lang w:val="en-US" w:eastAsia="zh-CN" w:bidi="ar-SA"/>
                    </w:rPr>
                    <w:t>4、本项目环评编制及审批过程中，严格以园区规划环评结论及审查意见作为重要审批依据，全面核查项目与园区规划环评相关要求的符合性。</w:t>
                  </w:r>
                </w:p>
              </w:tc>
              <w:tc>
                <w:tcPr>
                  <w:tcW w:w="526" w:type="dxa"/>
                  <w:noWrap w:val="0"/>
                  <w:vAlign w:val="center"/>
                </w:tcPr>
                <w:p w14:paraId="72B806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ascii="Times New Roman" w:hAnsi="Times New Roman" w:eastAsia="宋体" w:cs="Times New Roman"/>
                      <w:b w:val="0"/>
                      <w:bCs w:val="0"/>
                      <w:color w:val="auto"/>
                      <w:kern w:val="0"/>
                      <w:sz w:val="21"/>
                      <w:szCs w:val="21"/>
                      <w:highlight w:val="none"/>
                      <w:vertAlign w:val="baseline"/>
                      <w:lang w:val="en-US" w:eastAsia="zh-CN" w:bidi="ar-SA"/>
                    </w:rPr>
                    <w:t>符合</w:t>
                  </w:r>
                </w:p>
              </w:tc>
            </w:tr>
            <w:tr w14:paraId="64478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815" w:type="dxa"/>
                  <w:gridSpan w:val="9"/>
                  <w:noWrap w:val="0"/>
                  <w:vAlign w:val="center"/>
                </w:tcPr>
                <w:p w14:paraId="5737C1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b/>
                      <w:bCs/>
                      <w:color w:val="auto"/>
                      <w:spacing w:val="0"/>
                      <w:w w:val="100"/>
                      <w:position w:val="0"/>
                      <w:highlight w:val="none"/>
                      <w:lang w:val="en-US" w:eastAsia="zh-CN"/>
                    </w:rPr>
                    <w:t>藁城区</w:t>
                  </w:r>
                  <w:r>
                    <w:rPr>
                      <w:rFonts w:hint="eastAsia" w:ascii="Times New Roman" w:hAnsi="Times New Roman" w:eastAsia="宋体" w:cs="Times New Roman"/>
                      <w:b/>
                      <w:bCs/>
                      <w:color w:val="auto"/>
                      <w:kern w:val="0"/>
                      <w:sz w:val="21"/>
                      <w:szCs w:val="21"/>
                      <w:highlight w:val="none"/>
                      <w:vertAlign w:val="baseline"/>
                      <w:lang w:val="en-US" w:eastAsia="zh-CN" w:bidi="ar-SA"/>
                    </w:rPr>
                    <w:t>重点管控单元生态环境准入清单</w:t>
                  </w:r>
                </w:p>
              </w:tc>
            </w:tr>
            <w:tr w14:paraId="0FEDB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noWrap w:val="0"/>
                  <w:vAlign w:val="center"/>
                </w:tcPr>
                <w:p w14:paraId="152259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lang w:val="en-US" w:eastAsia="zh-CN" w:bidi="ar-SA"/>
                    </w:rPr>
                  </w:pPr>
                  <w:r>
                    <w:rPr>
                      <w:rFonts w:hint="eastAsia" w:ascii="Times New Roman" w:hAnsi="Times New Roman" w:eastAsia="宋体" w:cs="Times New Roman"/>
                      <w:b/>
                      <w:bCs/>
                      <w:color w:val="auto"/>
                      <w:kern w:val="0"/>
                      <w:sz w:val="21"/>
                      <w:szCs w:val="21"/>
                      <w:highlight w:val="none"/>
                      <w:lang w:val="en-US" w:eastAsia="zh-CN" w:bidi="ar-SA"/>
                    </w:rPr>
                    <w:t>单元类别</w:t>
                  </w:r>
                </w:p>
              </w:tc>
              <w:tc>
                <w:tcPr>
                  <w:tcW w:w="813" w:type="dxa"/>
                  <w:gridSpan w:val="2"/>
                  <w:noWrap w:val="0"/>
                  <w:vAlign w:val="center"/>
                </w:tcPr>
                <w:p w14:paraId="08BEA7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环境要素类别</w:t>
                  </w:r>
                </w:p>
              </w:tc>
              <w:tc>
                <w:tcPr>
                  <w:tcW w:w="427" w:type="dxa"/>
                  <w:noWrap w:val="0"/>
                  <w:vAlign w:val="center"/>
                </w:tcPr>
                <w:p w14:paraId="76C752A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维度</w:t>
                  </w:r>
                </w:p>
              </w:tc>
              <w:tc>
                <w:tcPr>
                  <w:tcW w:w="2234" w:type="dxa"/>
                  <w:gridSpan w:val="2"/>
                  <w:noWrap w:val="0"/>
                  <w:vAlign w:val="center"/>
                </w:tcPr>
                <w:p w14:paraId="6A1C8B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管控措施</w:t>
                  </w:r>
                </w:p>
              </w:tc>
              <w:tc>
                <w:tcPr>
                  <w:tcW w:w="2209" w:type="dxa"/>
                  <w:gridSpan w:val="2"/>
                  <w:noWrap w:val="0"/>
                  <w:vAlign w:val="center"/>
                </w:tcPr>
                <w:p w14:paraId="13CEBDC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本项目情况</w:t>
                  </w:r>
                </w:p>
              </w:tc>
              <w:tc>
                <w:tcPr>
                  <w:tcW w:w="526" w:type="dxa"/>
                  <w:noWrap w:val="0"/>
                  <w:vAlign w:val="center"/>
                </w:tcPr>
                <w:p w14:paraId="4DF6D2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default" w:ascii="Times New Roman" w:hAnsi="Times New Roman" w:eastAsia="宋体" w:cs="Times New Roman"/>
                      <w:b/>
                      <w:bCs/>
                      <w:color w:val="auto"/>
                      <w:kern w:val="0"/>
                      <w:sz w:val="21"/>
                      <w:szCs w:val="21"/>
                      <w:highlight w:val="none"/>
                      <w:vertAlign w:val="baseline"/>
                      <w:lang w:val="en-US" w:eastAsia="zh-CN" w:bidi="ar-SA"/>
                    </w:rPr>
                  </w:pPr>
                  <w:r>
                    <w:rPr>
                      <w:rFonts w:hint="eastAsia" w:ascii="Times New Roman" w:hAnsi="Times New Roman" w:eastAsia="宋体" w:cs="Times New Roman"/>
                      <w:b/>
                      <w:bCs/>
                      <w:color w:val="auto"/>
                      <w:kern w:val="0"/>
                      <w:sz w:val="21"/>
                      <w:szCs w:val="21"/>
                      <w:highlight w:val="none"/>
                      <w:vertAlign w:val="baseline"/>
                      <w:lang w:val="en-US" w:eastAsia="zh-CN" w:bidi="ar-SA"/>
                    </w:rPr>
                    <w:t>符合性</w:t>
                  </w:r>
                </w:p>
              </w:tc>
            </w:tr>
            <w:tr w14:paraId="20204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vMerge w:val="restart"/>
                  <w:noWrap w:val="0"/>
                  <w:vAlign w:val="center"/>
                </w:tcPr>
                <w:p w14:paraId="67C092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重点管控单元</w:t>
                  </w:r>
                </w:p>
                <w:p w14:paraId="31CD44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b w:val="0"/>
                      <w:bCs w:val="0"/>
                      <w:color w:val="auto"/>
                      <w:kern w:val="0"/>
                      <w:sz w:val="21"/>
                      <w:szCs w:val="21"/>
                      <w:highlight w:val="none"/>
                      <w:lang w:val="en-US" w:eastAsia="zh-CN" w:bidi="ar-SA"/>
                    </w:rPr>
                  </w:pPr>
                  <w:r>
                    <w:rPr>
                      <w:rFonts w:hint="eastAsia" w:cs="Times New Roman"/>
                      <w:color w:val="auto"/>
                      <w:spacing w:val="0"/>
                      <w:w w:val="100"/>
                      <w:position w:val="0"/>
                      <w:sz w:val="21"/>
                      <w:szCs w:val="24"/>
                      <w:highlight w:val="none"/>
                      <w:lang w:val="en-US" w:eastAsia="zh-CN" w:bidi="ar-SA"/>
                    </w:rPr>
                    <w:t>4</w:t>
                  </w:r>
                </w:p>
              </w:tc>
              <w:tc>
                <w:tcPr>
                  <w:tcW w:w="813" w:type="dxa"/>
                  <w:gridSpan w:val="2"/>
                  <w:vMerge w:val="restart"/>
                  <w:noWrap w:val="0"/>
                  <w:vAlign w:val="center"/>
                </w:tcPr>
                <w:p w14:paraId="30EF06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大气环境高排放重点管控区水环境工业重点管控区、</w:t>
                  </w:r>
                  <w:r>
                    <w:rPr>
                      <w:rFonts w:hint="default" w:ascii="Times New Roman" w:hAnsi="Times New Roman" w:eastAsia="宋体" w:cs="Times New Roman"/>
                      <w:b/>
                      <w:bCs/>
                      <w:color w:val="auto"/>
                      <w:spacing w:val="0"/>
                      <w:w w:val="100"/>
                      <w:position w:val="0"/>
                      <w:sz w:val="21"/>
                      <w:szCs w:val="24"/>
                      <w:highlight w:val="none"/>
                      <w:lang w:val="zh-CN" w:eastAsia="zh-CN" w:bidi="ar-SA"/>
                    </w:rPr>
                    <w:t>河北石家庄循环化工园区</w:t>
                  </w:r>
                  <w:r>
                    <w:rPr>
                      <w:rFonts w:hint="default" w:ascii="Times New Roman" w:hAnsi="Times New Roman" w:eastAsia="宋体" w:cs="Times New Roman"/>
                      <w:color w:val="auto"/>
                      <w:spacing w:val="0"/>
                      <w:w w:val="100"/>
                      <w:position w:val="0"/>
                      <w:sz w:val="21"/>
                      <w:szCs w:val="24"/>
                      <w:highlight w:val="none"/>
                      <w:lang w:val="zh-CN" w:eastAsia="zh-CN" w:bidi="ar-SA"/>
                    </w:rPr>
                    <w:t>、禁燃区</w:t>
                  </w:r>
                </w:p>
              </w:tc>
              <w:tc>
                <w:tcPr>
                  <w:tcW w:w="427" w:type="dxa"/>
                  <w:noWrap w:val="0"/>
                  <w:vAlign w:val="center"/>
                </w:tcPr>
                <w:p w14:paraId="2F96D5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空间布局约束</w:t>
                  </w:r>
                </w:p>
              </w:tc>
              <w:tc>
                <w:tcPr>
                  <w:tcW w:w="2234" w:type="dxa"/>
                  <w:gridSpan w:val="2"/>
                  <w:noWrap w:val="0"/>
                  <w:vAlign w:val="center"/>
                </w:tcPr>
                <w:p w14:paraId="29826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1、严格落实国家、河北省以及石家庄市最新产业目录准入要求。</w:t>
                  </w:r>
                </w:p>
                <w:p w14:paraId="046995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2、严格落实最新规划环评及其批复文件制定的环境准入要求。</w:t>
                  </w:r>
                </w:p>
              </w:tc>
              <w:tc>
                <w:tcPr>
                  <w:tcW w:w="2209" w:type="dxa"/>
                  <w:gridSpan w:val="2"/>
                  <w:noWrap w:val="0"/>
                  <w:vAlign w:val="center"/>
                </w:tcPr>
                <w:p w14:paraId="0FE45A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cs="Times New Roman"/>
                      <w:color w:val="auto"/>
                      <w:spacing w:val="0"/>
                      <w:w w:val="100"/>
                      <w:position w:val="0"/>
                      <w:sz w:val="21"/>
                      <w:szCs w:val="24"/>
                      <w:highlight w:val="none"/>
                      <w:lang w:val="en-US" w:eastAsia="zh-CN" w:bidi="ar-SA"/>
                    </w:rPr>
                  </w:pPr>
                  <w:r>
                    <w:rPr>
                      <w:rFonts w:hint="eastAsia" w:cs="Times New Roman"/>
                      <w:color w:val="auto"/>
                      <w:spacing w:val="0"/>
                      <w:w w:val="100"/>
                      <w:position w:val="0"/>
                      <w:sz w:val="21"/>
                      <w:szCs w:val="24"/>
                      <w:highlight w:val="none"/>
                      <w:lang w:val="en-US" w:eastAsia="zh-CN" w:bidi="ar-SA"/>
                    </w:rPr>
                    <w:t>1、</w:t>
                  </w:r>
                  <w:r>
                    <w:rPr>
                      <w:rFonts w:hint="default" w:ascii="Times New Roman" w:hAnsi="Times New Roman" w:eastAsia="宋体" w:cs="Times New Roman"/>
                      <w:color w:val="auto"/>
                      <w:spacing w:val="0"/>
                      <w:w w:val="100"/>
                      <w:position w:val="0"/>
                      <w:sz w:val="21"/>
                      <w:szCs w:val="24"/>
                      <w:highlight w:val="none"/>
                      <w:lang w:val="en-US" w:eastAsia="zh-CN" w:bidi="ar-SA"/>
                    </w:rPr>
                    <w:t>本项目不属于《产业结构调整指导目录</w:t>
                  </w:r>
                  <w:r>
                    <w:rPr>
                      <w:rFonts w:hint="eastAsia" w:cs="Times New Roman"/>
                      <w:color w:val="auto"/>
                      <w:spacing w:val="0"/>
                      <w:w w:val="100"/>
                      <w:position w:val="0"/>
                      <w:sz w:val="21"/>
                      <w:szCs w:val="24"/>
                      <w:highlight w:val="none"/>
                      <w:lang w:val="en-US" w:eastAsia="zh-CN" w:bidi="ar-SA"/>
                    </w:rPr>
                    <w:t>（</w:t>
                  </w:r>
                  <w:r>
                    <w:rPr>
                      <w:rFonts w:hint="default" w:ascii="Times New Roman" w:hAnsi="Times New Roman" w:eastAsia="宋体" w:cs="Times New Roman"/>
                      <w:color w:val="auto"/>
                      <w:spacing w:val="0"/>
                      <w:w w:val="100"/>
                      <w:position w:val="0"/>
                      <w:sz w:val="21"/>
                      <w:szCs w:val="24"/>
                      <w:highlight w:val="none"/>
                      <w:lang w:val="en-US" w:eastAsia="zh-CN" w:bidi="ar-SA"/>
                    </w:rPr>
                    <w:t>2024年本</w:t>
                  </w:r>
                  <w:r>
                    <w:rPr>
                      <w:rFonts w:hint="eastAsia" w:cs="Times New Roman"/>
                      <w:color w:val="auto"/>
                      <w:spacing w:val="0"/>
                      <w:w w:val="100"/>
                      <w:position w:val="0"/>
                      <w:sz w:val="21"/>
                      <w:szCs w:val="24"/>
                      <w:highlight w:val="none"/>
                      <w:lang w:val="en-US" w:eastAsia="zh-CN" w:bidi="ar-SA"/>
                    </w:rPr>
                    <w:t>）</w:t>
                  </w:r>
                  <w:r>
                    <w:rPr>
                      <w:rFonts w:hint="default" w:ascii="Times New Roman" w:hAnsi="Times New Roman" w:eastAsia="宋体" w:cs="Times New Roman"/>
                      <w:color w:val="auto"/>
                      <w:spacing w:val="0"/>
                      <w:w w:val="100"/>
                      <w:position w:val="0"/>
                      <w:sz w:val="21"/>
                      <w:szCs w:val="24"/>
                      <w:highlight w:val="none"/>
                      <w:lang w:val="en-US" w:eastAsia="zh-CN" w:bidi="ar-SA"/>
                    </w:rPr>
                    <w:t>》鼓励类、限制类和淘汰类项目</w:t>
                  </w:r>
                  <w:r>
                    <w:rPr>
                      <w:rFonts w:hint="eastAsia" w:cs="Times New Roman"/>
                      <w:color w:val="auto"/>
                      <w:spacing w:val="0"/>
                      <w:w w:val="100"/>
                      <w:position w:val="0"/>
                      <w:sz w:val="21"/>
                      <w:szCs w:val="24"/>
                      <w:highlight w:val="none"/>
                      <w:lang w:val="en-US" w:eastAsia="zh-CN" w:bidi="ar-SA"/>
                    </w:rPr>
                    <w:t>，属于允许类项目。</w:t>
                  </w:r>
                </w:p>
                <w:p w14:paraId="09385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color w:val="auto"/>
                      <w:spacing w:val="0"/>
                      <w:w w:val="100"/>
                      <w:position w:val="0"/>
                      <w:sz w:val="21"/>
                      <w:szCs w:val="24"/>
                      <w:highlight w:val="none"/>
                      <w:lang w:val="en-US" w:eastAsia="zh-CN" w:bidi="ar-SA"/>
                    </w:rPr>
                    <w:t>2、本项目</w:t>
                  </w:r>
                  <w:r>
                    <w:rPr>
                      <w:rFonts w:hint="default" w:ascii="Times New Roman" w:hAnsi="Times New Roman" w:eastAsia="宋体" w:cs="Times New Roman"/>
                      <w:color w:val="auto"/>
                      <w:spacing w:val="0"/>
                      <w:w w:val="100"/>
                      <w:position w:val="0"/>
                      <w:sz w:val="21"/>
                      <w:szCs w:val="24"/>
                      <w:highlight w:val="none"/>
                      <w:lang w:val="en-US" w:eastAsia="zh-CN" w:bidi="ar-SA"/>
                    </w:rPr>
                    <w:t>不属于园区规划环评负面清单中的项目。</w:t>
                  </w:r>
                </w:p>
              </w:tc>
              <w:tc>
                <w:tcPr>
                  <w:tcW w:w="526" w:type="dxa"/>
                  <w:noWrap w:val="0"/>
                  <w:vAlign w:val="center"/>
                </w:tcPr>
                <w:p w14:paraId="389D5D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符合</w:t>
                  </w:r>
                </w:p>
              </w:tc>
            </w:tr>
            <w:tr w14:paraId="7AE4C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06" w:type="dxa"/>
                  <w:vMerge w:val="continue"/>
                  <w:noWrap w:val="0"/>
                  <w:vAlign w:val="center"/>
                </w:tcPr>
                <w:p w14:paraId="7CF484A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lang w:val="en-US" w:eastAsia="zh-CN" w:bidi="ar-SA"/>
                    </w:rPr>
                  </w:pPr>
                </w:p>
              </w:tc>
              <w:tc>
                <w:tcPr>
                  <w:tcW w:w="813" w:type="dxa"/>
                  <w:gridSpan w:val="2"/>
                  <w:vMerge w:val="continue"/>
                  <w:noWrap w:val="0"/>
                  <w:vAlign w:val="center"/>
                </w:tcPr>
                <w:p w14:paraId="71EA489F">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p>
              </w:tc>
              <w:tc>
                <w:tcPr>
                  <w:tcW w:w="427" w:type="dxa"/>
                  <w:noWrap w:val="0"/>
                  <w:vAlign w:val="center"/>
                </w:tcPr>
                <w:p w14:paraId="5E1DA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污染物排放管控</w:t>
                  </w:r>
                </w:p>
              </w:tc>
              <w:tc>
                <w:tcPr>
                  <w:tcW w:w="2234" w:type="dxa"/>
                  <w:gridSpan w:val="2"/>
                  <w:noWrap w:val="0"/>
                  <w:vAlign w:val="center"/>
                </w:tcPr>
                <w:p w14:paraId="69757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1、落实</w:t>
                  </w:r>
                  <w:bookmarkStart w:id="15" w:name="OLE_LINK24"/>
                  <w:r>
                    <w:rPr>
                      <w:rFonts w:hint="default" w:ascii="Times New Roman" w:hAnsi="Times New Roman" w:eastAsia="宋体" w:cs="Times New Roman"/>
                      <w:color w:val="auto"/>
                      <w:spacing w:val="0"/>
                      <w:w w:val="100"/>
                      <w:position w:val="0"/>
                      <w:sz w:val="21"/>
                      <w:szCs w:val="24"/>
                      <w:highlight w:val="none"/>
                      <w:lang w:val="zh-CN" w:eastAsia="zh-CN" w:bidi="ar-SA"/>
                    </w:rPr>
                    <w:t>《关于加强重点行业建设项目区域削减措施监督管理的通知》环办环评〔2020〕36号的要求</w:t>
                  </w:r>
                  <w:bookmarkEnd w:id="15"/>
                  <w:r>
                    <w:rPr>
                      <w:rFonts w:hint="default" w:ascii="Times New Roman" w:hAnsi="Times New Roman" w:eastAsia="宋体" w:cs="Times New Roman"/>
                      <w:color w:val="auto"/>
                      <w:spacing w:val="0"/>
                      <w:w w:val="100"/>
                      <w:position w:val="0"/>
                      <w:sz w:val="21"/>
                      <w:szCs w:val="24"/>
                      <w:highlight w:val="none"/>
                      <w:lang w:val="zh-CN" w:eastAsia="zh-CN" w:bidi="ar-SA"/>
                    </w:rPr>
                    <w:t>。</w:t>
                  </w:r>
                </w:p>
                <w:p w14:paraId="271D8E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2、开展大气污染物特别排放限值改造，化学原料制造、制药行业现有企业严格执行</w:t>
                  </w:r>
                  <w:bookmarkStart w:id="16" w:name="OLE_LINK25"/>
                  <w:r>
                    <w:rPr>
                      <w:rFonts w:hint="default" w:ascii="Times New Roman" w:hAnsi="Times New Roman" w:eastAsia="宋体" w:cs="Times New Roman"/>
                      <w:color w:val="auto"/>
                      <w:spacing w:val="0"/>
                      <w:w w:val="100"/>
                      <w:position w:val="0"/>
                      <w:sz w:val="21"/>
                      <w:szCs w:val="24"/>
                      <w:highlight w:val="none"/>
                      <w:lang w:val="zh-CN" w:eastAsia="zh-CN" w:bidi="ar-SA"/>
                    </w:rPr>
                    <w:t>二氧化硫、氮氧化物、颗粒物和挥发性有机物特别排放限值</w:t>
                  </w:r>
                  <w:bookmarkEnd w:id="16"/>
                  <w:r>
                    <w:rPr>
                      <w:rFonts w:hint="default" w:ascii="Times New Roman" w:hAnsi="Times New Roman" w:eastAsia="宋体" w:cs="Times New Roman"/>
                      <w:color w:val="auto"/>
                      <w:spacing w:val="0"/>
                      <w:w w:val="100"/>
                      <w:position w:val="0"/>
                      <w:sz w:val="21"/>
                      <w:szCs w:val="24"/>
                      <w:highlight w:val="none"/>
                      <w:lang w:val="zh-CN" w:eastAsia="zh-CN" w:bidi="ar-SA"/>
                    </w:rPr>
                    <w:t>。</w:t>
                  </w:r>
                </w:p>
                <w:p w14:paraId="3F80FC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3、石化化工行业达到《石油化学工业污染物排放</w:t>
                  </w:r>
                  <w:r>
                    <w:rPr>
                      <w:rFonts w:hint="eastAsia" w:cs="Times New Roman"/>
                      <w:color w:val="auto"/>
                      <w:spacing w:val="0"/>
                      <w:w w:val="100"/>
                      <w:position w:val="0"/>
                      <w:sz w:val="21"/>
                      <w:szCs w:val="24"/>
                      <w:highlight w:val="none"/>
                      <w:lang w:val="en-US" w:eastAsia="zh-CN" w:bidi="ar-SA"/>
                    </w:rPr>
                    <w:t>标准</w:t>
                  </w:r>
                  <w:r>
                    <w:rPr>
                      <w:rFonts w:hint="default" w:ascii="Times New Roman" w:hAnsi="Times New Roman" w:eastAsia="宋体" w:cs="Times New Roman"/>
                      <w:color w:val="auto"/>
                      <w:spacing w:val="0"/>
                      <w:w w:val="100"/>
                      <w:position w:val="0"/>
                      <w:sz w:val="21"/>
                      <w:szCs w:val="24"/>
                      <w:highlight w:val="none"/>
                      <w:lang w:val="zh-CN" w:eastAsia="zh-CN" w:bidi="ar-SA"/>
                    </w:rPr>
                    <w:t>》（GB31571-2015）中大气污染物特别排放限制要求标准要求；无机化工行业达到《无机化工行业污染物排放标准》（GB31573-2015）中大气污染物特别排放限制要求标准要求。</w:t>
                  </w:r>
                </w:p>
                <w:p w14:paraId="54206C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4、园区内工业炉窑污染物排行应达到《工业炉窑大气污染物排放标》（DB13/1640-2012）中的相关标准要求。</w:t>
                  </w:r>
                </w:p>
                <w:p w14:paraId="329A16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5、新（改、扩）建向环境水体直接排放污水的排污单位执行《子牙河流域水污染物排放标准》（DB13/2796-2018）重点控制区要求，出水水质满足《城镇污水处理污染物排放标准》一级A的同时满足《子牙河流域水污染物排放标准》，现有单位自2021年1月1日起执行。</w:t>
                  </w:r>
                </w:p>
              </w:tc>
              <w:tc>
                <w:tcPr>
                  <w:tcW w:w="2209" w:type="dxa"/>
                  <w:gridSpan w:val="2"/>
                  <w:noWrap w:val="0"/>
                  <w:vAlign w:val="center"/>
                </w:tcPr>
                <w:p w14:paraId="69EE0D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color w:val="auto"/>
                      <w:spacing w:val="0"/>
                      <w:w w:val="100"/>
                      <w:position w:val="0"/>
                      <w:sz w:val="21"/>
                      <w:szCs w:val="24"/>
                      <w:highlight w:val="none"/>
                      <w:lang w:val="zh-CN" w:eastAsia="zh-CN" w:bidi="ar-SA"/>
                    </w:rPr>
                  </w:pPr>
                  <w:r>
                    <w:rPr>
                      <w:rFonts w:hint="eastAsia" w:cs="Times New Roman"/>
                      <w:color w:val="auto"/>
                      <w:spacing w:val="0"/>
                      <w:w w:val="100"/>
                      <w:position w:val="0"/>
                      <w:sz w:val="21"/>
                      <w:szCs w:val="24"/>
                      <w:highlight w:val="none"/>
                      <w:lang w:val="en-US" w:eastAsia="zh-CN" w:bidi="ar-SA"/>
                    </w:rPr>
                    <w:t>1、本项目严格落实</w:t>
                  </w:r>
                  <w:r>
                    <w:rPr>
                      <w:rFonts w:hint="default" w:ascii="Times New Roman" w:hAnsi="Times New Roman" w:eastAsia="宋体" w:cs="Times New Roman"/>
                      <w:color w:val="auto"/>
                      <w:spacing w:val="0"/>
                      <w:w w:val="100"/>
                      <w:position w:val="0"/>
                      <w:sz w:val="21"/>
                      <w:szCs w:val="24"/>
                      <w:highlight w:val="none"/>
                      <w:lang w:val="zh-CN" w:eastAsia="zh-CN" w:bidi="ar-SA"/>
                    </w:rPr>
                    <w:t>《关于加强重点行业建设项目区域削减措施监督管理的通知》环办环评〔2020〕36号的要求</w:t>
                  </w:r>
                  <w:r>
                    <w:rPr>
                      <w:rFonts w:hint="eastAsia" w:ascii="Times New Roman" w:hAnsi="Times New Roman" w:eastAsia="宋体" w:cs="Times New Roman"/>
                      <w:color w:val="auto"/>
                      <w:spacing w:val="0"/>
                      <w:w w:val="100"/>
                      <w:position w:val="0"/>
                      <w:sz w:val="21"/>
                      <w:szCs w:val="24"/>
                      <w:highlight w:val="none"/>
                      <w:lang w:val="zh-CN" w:eastAsia="zh-CN" w:bidi="ar-SA"/>
                    </w:rPr>
                    <w:t>。</w:t>
                  </w:r>
                </w:p>
                <w:p w14:paraId="7A8F9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color w:val="auto"/>
                      <w:spacing w:val="0"/>
                      <w:w w:val="100"/>
                      <w:position w:val="0"/>
                      <w:sz w:val="21"/>
                      <w:szCs w:val="24"/>
                      <w:highlight w:val="none"/>
                      <w:lang w:val="en-US" w:eastAsia="zh-CN" w:bidi="ar-SA"/>
                    </w:rPr>
                  </w:pPr>
                  <w:r>
                    <w:rPr>
                      <w:rFonts w:hint="eastAsia" w:ascii="Times New Roman" w:hAnsi="Times New Roman" w:eastAsia="宋体" w:cs="Times New Roman"/>
                      <w:color w:val="auto"/>
                      <w:spacing w:val="0"/>
                      <w:w w:val="100"/>
                      <w:position w:val="0"/>
                      <w:sz w:val="21"/>
                      <w:szCs w:val="24"/>
                      <w:highlight w:val="none"/>
                      <w:lang w:val="en-US" w:eastAsia="zh-CN" w:bidi="ar-SA"/>
                    </w:rPr>
                    <w:t>2、本项目及现有工程废气中</w:t>
                  </w:r>
                  <w:r>
                    <w:rPr>
                      <w:rFonts w:hint="default" w:ascii="Times New Roman" w:hAnsi="Times New Roman" w:eastAsia="宋体" w:cs="Times New Roman"/>
                      <w:color w:val="auto"/>
                      <w:spacing w:val="0"/>
                      <w:w w:val="100"/>
                      <w:position w:val="0"/>
                      <w:sz w:val="21"/>
                      <w:szCs w:val="24"/>
                      <w:highlight w:val="none"/>
                      <w:lang w:val="zh-CN" w:eastAsia="zh-CN" w:bidi="ar-SA"/>
                    </w:rPr>
                    <w:t>二氧化硫、氮氧化物、颗粒物和挥发性有机物</w:t>
                  </w:r>
                  <w:r>
                    <w:rPr>
                      <w:rFonts w:hint="eastAsia" w:ascii="Times New Roman" w:hAnsi="Times New Roman" w:eastAsia="宋体" w:cs="Times New Roman"/>
                      <w:color w:val="auto"/>
                      <w:spacing w:val="0"/>
                      <w:w w:val="100"/>
                      <w:position w:val="0"/>
                      <w:sz w:val="21"/>
                      <w:szCs w:val="24"/>
                      <w:highlight w:val="none"/>
                      <w:lang w:val="en-US" w:eastAsia="zh-CN" w:bidi="ar-SA"/>
                    </w:rPr>
                    <w:t>已落实</w:t>
                  </w:r>
                  <w:r>
                    <w:rPr>
                      <w:rFonts w:hint="default" w:ascii="Times New Roman" w:hAnsi="Times New Roman" w:eastAsia="宋体" w:cs="Times New Roman"/>
                      <w:color w:val="auto"/>
                      <w:spacing w:val="0"/>
                      <w:w w:val="100"/>
                      <w:position w:val="0"/>
                      <w:sz w:val="21"/>
                      <w:szCs w:val="24"/>
                      <w:highlight w:val="none"/>
                      <w:lang w:val="zh-CN" w:eastAsia="zh-CN" w:bidi="ar-SA"/>
                    </w:rPr>
                    <w:t>特别排放限值</w:t>
                  </w:r>
                  <w:r>
                    <w:rPr>
                      <w:rFonts w:hint="eastAsia" w:ascii="Times New Roman" w:hAnsi="Times New Roman" w:eastAsia="宋体" w:cs="Times New Roman"/>
                      <w:color w:val="auto"/>
                      <w:spacing w:val="0"/>
                      <w:w w:val="100"/>
                      <w:position w:val="0"/>
                      <w:sz w:val="21"/>
                      <w:szCs w:val="24"/>
                      <w:highlight w:val="none"/>
                      <w:lang w:val="en-US" w:eastAsia="zh-CN" w:bidi="ar-SA"/>
                    </w:rPr>
                    <w:t>要求。</w:t>
                  </w:r>
                </w:p>
                <w:p w14:paraId="476441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color w:val="auto"/>
                      <w:spacing w:val="0"/>
                      <w:w w:val="100"/>
                      <w:position w:val="0"/>
                      <w:sz w:val="21"/>
                      <w:szCs w:val="24"/>
                      <w:highlight w:val="none"/>
                      <w:lang w:val="en-US" w:eastAsia="zh-CN" w:bidi="ar-SA"/>
                    </w:rPr>
                  </w:pPr>
                  <w:r>
                    <w:rPr>
                      <w:rFonts w:hint="eastAsia" w:ascii="Times New Roman" w:hAnsi="Times New Roman" w:eastAsia="宋体" w:cs="Times New Roman"/>
                      <w:color w:val="auto"/>
                      <w:spacing w:val="0"/>
                      <w:w w:val="100"/>
                      <w:position w:val="0"/>
                      <w:sz w:val="21"/>
                      <w:szCs w:val="24"/>
                      <w:highlight w:val="none"/>
                      <w:lang w:val="en-US" w:eastAsia="zh-CN" w:bidi="ar-SA"/>
                    </w:rPr>
                    <w:t>3、不涉及。</w:t>
                  </w:r>
                </w:p>
                <w:p w14:paraId="4AFA2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color w:val="auto"/>
                      <w:spacing w:val="0"/>
                      <w:w w:val="100"/>
                      <w:position w:val="0"/>
                      <w:sz w:val="21"/>
                      <w:szCs w:val="24"/>
                      <w:highlight w:val="none"/>
                      <w:lang w:val="en-US" w:eastAsia="zh-CN" w:bidi="ar-SA"/>
                    </w:rPr>
                  </w:pPr>
                  <w:r>
                    <w:rPr>
                      <w:rFonts w:hint="eastAsia" w:ascii="Times New Roman" w:hAnsi="Times New Roman" w:eastAsia="宋体" w:cs="Times New Roman"/>
                      <w:color w:val="auto"/>
                      <w:spacing w:val="0"/>
                      <w:w w:val="100"/>
                      <w:position w:val="0"/>
                      <w:sz w:val="21"/>
                      <w:szCs w:val="24"/>
                      <w:highlight w:val="none"/>
                      <w:lang w:val="en-US" w:eastAsia="zh-CN" w:bidi="ar-SA"/>
                    </w:rPr>
                    <w:t>4、不涉及。</w:t>
                  </w:r>
                </w:p>
                <w:p w14:paraId="6A0042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color w:val="auto"/>
                      <w:sz w:val="21"/>
                      <w:szCs w:val="21"/>
                      <w:highlight w:val="none"/>
                      <w:lang w:val="en-US" w:eastAsia="zh-CN"/>
                    </w:rPr>
                  </w:pPr>
                  <w:r>
                    <w:rPr>
                      <w:rFonts w:hint="eastAsia" w:ascii="Times New Roman" w:hAnsi="Times New Roman" w:eastAsia="宋体" w:cs="Times New Roman"/>
                      <w:color w:val="auto"/>
                      <w:spacing w:val="0"/>
                      <w:w w:val="100"/>
                      <w:position w:val="0"/>
                      <w:sz w:val="21"/>
                      <w:szCs w:val="24"/>
                      <w:highlight w:val="none"/>
                      <w:lang w:val="en-US" w:eastAsia="zh-CN" w:bidi="ar-SA"/>
                    </w:rPr>
                    <w:t>5、</w:t>
                  </w:r>
                  <w:r>
                    <w:rPr>
                      <w:rFonts w:hint="default" w:ascii="Times New Roman" w:hAnsi="Times New Roman" w:eastAsia="宋体" w:cs="Times New Roman"/>
                      <w:color w:val="auto"/>
                      <w:spacing w:val="0"/>
                      <w:w w:val="100"/>
                      <w:position w:val="0"/>
                      <w:sz w:val="21"/>
                      <w:szCs w:val="24"/>
                      <w:highlight w:val="none"/>
                      <w:lang w:val="zh-CN" w:eastAsia="zh-CN" w:bidi="ar-SA"/>
                    </w:rPr>
                    <w:t>项目</w:t>
                  </w:r>
                  <w:r>
                    <w:rPr>
                      <w:rFonts w:hint="eastAsia" w:ascii="Times New Roman" w:hAnsi="Times New Roman" w:eastAsia="宋体" w:cs="Times New Roman"/>
                      <w:color w:val="auto"/>
                      <w:spacing w:val="0"/>
                      <w:w w:val="100"/>
                      <w:position w:val="0"/>
                      <w:sz w:val="21"/>
                      <w:szCs w:val="24"/>
                      <w:highlight w:val="none"/>
                      <w:lang w:val="zh-CN" w:eastAsia="zh-CN" w:bidi="ar-SA"/>
                    </w:rPr>
                    <w:t>建设</w:t>
                  </w:r>
                  <w:r>
                    <w:rPr>
                      <w:rFonts w:hint="default" w:ascii="Times New Roman" w:hAnsi="Times New Roman" w:eastAsia="宋体" w:cs="Times New Roman"/>
                      <w:color w:val="auto"/>
                      <w:spacing w:val="0"/>
                      <w:w w:val="100"/>
                      <w:position w:val="0"/>
                      <w:sz w:val="21"/>
                      <w:szCs w:val="24"/>
                      <w:highlight w:val="none"/>
                      <w:lang w:val="zh-CN" w:eastAsia="zh-CN" w:bidi="ar-SA"/>
                    </w:rPr>
                    <w:t>完成后全厂各污染物经治理后均可达标排放。</w:t>
                  </w:r>
                  <w:r>
                    <w:rPr>
                      <w:rFonts w:hint="default" w:ascii="Times New Roman" w:hAnsi="Times New Roman" w:eastAsia="宋体" w:cs="Times New Roman"/>
                      <w:color w:val="auto"/>
                      <w:spacing w:val="0"/>
                      <w:w w:val="100"/>
                      <w:position w:val="0"/>
                      <w:sz w:val="21"/>
                      <w:szCs w:val="24"/>
                      <w:highlight w:val="none"/>
                      <w:lang w:val="en-US" w:eastAsia="zh-CN" w:bidi="ar-SA"/>
                    </w:rPr>
                    <w:t>项目废水</w:t>
                  </w:r>
                  <w:r>
                    <w:rPr>
                      <w:rFonts w:hint="default" w:ascii="Times New Roman" w:hAnsi="Times New Roman" w:eastAsia="宋体" w:cs="Times New Roman"/>
                      <w:color w:val="auto"/>
                      <w:spacing w:val="0"/>
                      <w:w w:val="100"/>
                      <w:position w:val="0"/>
                      <w:sz w:val="21"/>
                      <w:szCs w:val="24"/>
                      <w:highlight w:val="none"/>
                      <w:lang w:val="zh-CN" w:eastAsia="zh-CN" w:bidi="ar-SA"/>
                    </w:rPr>
                    <w:t>经</w:t>
                  </w:r>
                  <w:r>
                    <w:rPr>
                      <w:rFonts w:hint="eastAsia" w:cs="Times New Roman"/>
                      <w:color w:val="auto"/>
                      <w:spacing w:val="0"/>
                      <w:w w:val="100"/>
                      <w:position w:val="0"/>
                      <w:sz w:val="21"/>
                      <w:szCs w:val="24"/>
                      <w:highlight w:val="none"/>
                      <w:lang w:val="zh-CN" w:eastAsia="zh-CN" w:bidi="ar-SA"/>
                    </w:rPr>
                    <w:t>厂综合污水处理站</w:t>
                  </w:r>
                  <w:r>
                    <w:rPr>
                      <w:rFonts w:hint="default" w:ascii="Times New Roman" w:hAnsi="Times New Roman" w:eastAsia="宋体" w:cs="Times New Roman"/>
                      <w:color w:val="auto"/>
                      <w:spacing w:val="0"/>
                      <w:w w:val="100"/>
                      <w:position w:val="0"/>
                      <w:sz w:val="21"/>
                      <w:szCs w:val="24"/>
                      <w:highlight w:val="none"/>
                      <w:lang w:val="zh-CN" w:eastAsia="zh-CN" w:bidi="ar-SA"/>
                    </w:rPr>
                    <w:t>处理达标后排入</w:t>
                  </w:r>
                  <w:r>
                    <w:rPr>
                      <w:rFonts w:hint="eastAsia" w:cs="Times New Roman"/>
                      <w:color w:val="auto"/>
                      <w:spacing w:val="0"/>
                      <w:w w:val="100"/>
                      <w:position w:val="0"/>
                      <w:sz w:val="21"/>
                      <w:szCs w:val="24"/>
                      <w:highlight w:val="none"/>
                      <w:lang w:val="zh-CN"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4"/>
                      <w:highlight w:val="none"/>
                      <w:lang w:val="zh-CN" w:eastAsia="zh-CN" w:bidi="ar-SA"/>
                    </w:rPr>
                    <w:t>进一步处理。</w:t>
                  </w:r>
                </w:p>
              </w:tc>
              <w:tc>
                <w:tcPr>
                  <w:tcW w:w="526" w:type="dxa"/>
                  <w:noWrap w:val="0"/>
                  <w:vAlign w:val="center"/>
                </w:tcPr>
                <w:p w14:paraId="3F6F81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符合</w:t>
                  </w:r>
                </w:p>
              </w:tc>
            </w:tr>
            <w:tr w14:paraId="474D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0" w:hRule="atLeast"/>
              </w:trPr>
              <w:tc>
                <w:tcPr>
                  <w:tcW w:w="606" w:type="dxa"/>
                  <w:vMerge w:val="continue"/>
                  <w:noWrap w:val="0"/>
                  <w:vAlign w:val="center"/>
                </w:tcPr>
                <w:p w14:paraId="3F86F07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rPr>
                      <w:rFonts w:hint="eastAsia" w:ascii="Times New Roman" w:hAnsi="Times New Roman" w:eastAsia="宋体" w:cs="Times New Roman"/>
                      <w:b w:val="0"/>
                      <w:bCs w:val="0"/>
                      <w:color w:val="auto"/>
                      <w:kern w:val="0"/>
                      <w:sz w:val="21"/>
                      <w:szCs w:val="21"/>
                      <w:highlight w:val="none"/>
                      <w:lang w:val="en-US" w:eastAsia="zh-CN" w:bidi="ar-SA"/>
                    </w:rPr>
                  </w:pPr>
                </w:p>
              </w:tc>
              <w:tc>
                <w:tcPr>
                  <w:tcW w:w="813" w:type="dxa"/>
                  <w:gridSpan w:val="2"/>
                  <w:vMerge w:val="continue"/>
                  <w:noWrap w:val="0"/>
                  <w:vAlign w:val="center"/>
                </w:tcPr>
                <w:p w14:paraId="0292A329">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rPr>
                      <w:rFonts w:hint="eastAsia" w:ascii="Times New Roman" w:hAnsi="Times New Roman" w:eastAsia="宋体" w:cs="Times New Roman"/>
                      <w:b w:val="0"/>
                      <w:bCs w:val="0"/>
                      <w:color w:val="auto"/>
                      <w:kern w:val="0"/>
                      <w:sz w:val="21"/>
                      <w:szCs w:val="21"/>
                      <w:highlight w:val="none"/>
                      <w:vertAlign w:val="baseline"/>
                      <w:lang w:val="en-US" w:eastAsia="zh-CN" w:bidi="ar-SA"/>
                    </w:rPr>
                  </w:pPr>
                </w:p>
              </w:tc>
              <w:tc>
                <w:tcPr>
                  <w:tcW w:w="427" w:type="dxa"/>
                  <w:noWrap w:val="0"/>
                  <w:vAlign w:val="center"/>
                </w:tcPr>
                <w:p w14:paraId="1F1A9F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eastAsia"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环境风险防控</w:t>
                  </w:r>
                </w:p>
              </w:tc>
              <w:tc>
                <w:tcPr>
                  <w:tcW w:w="2234" w:type="dxa"/>
                  <w:gridSpan w:val="2"/>
                  <w:noWrap w:val="0"/>
                  <w:vAlign w:val="center"/>
                </w:tcPr>
                <w:p w14:paraId="55131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1、鼓励开展固体废弃物资源循环利用，定期对企业场地开展土壤及地下水监测。</w:t>
                  </w:r>
                </w:p>
                <w:p w14:paraId="67FF43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zh-CN" w:eastAsia="zh-CN" w:bidi="ar-SA"/>
                    </w:rPr>
                    <w:t>2、园区按照相关要求，建立完善环境风险管理相关制度和有效的事故风险防范体系。</w:t>
                  </w:r>
                </w:p>
              </w:tc>
              <w:tc>
                <w:tcPr>
                  <w:tcW w:w="2209" w:type="dxa"/>
                  <w:gridSpan w:val="2"/>
                  <w:noWrap w:val="0"/>
                  <w:vAlign w:val="center"/>
                </w:tcPr>
                <w:p w14:paraId="0B0419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zh-CN" w:eastAsia="zh-CN" w:bidi="ar-SA"/>
                    </w:rPr>
                  </w:pPr>
                  <w:r>
                    <w:rPr>
                      <w:rFonts w:hint="eastAsia" w:cs="Times New Roman"/>
                      <w:color w:val="auto"/>
                      <w:spacing w:val="0"/>
                      <w:w w:val="100"/>
                      <w:position w:val="0"/>
                      <w:sz w:val="21"/>
                      <w:szCs w:val="24"/>
                      <w:highlight w:val="none"/>
                      <w:lang w:val="en-US" w:eastAsia="zh-CN" w:bidi="ar-SA"/>
                    </w:rPr>
                    <w:t>1、</w:t>
                  </w:r>
                  <w:r>
                    <w:rPr>
                      <w:rFonts w:hint="default" w:ascii="Times New Roman" w:hAnsi="Times New Roman" w:eastAsia="宋体" w:cs="Times New Roman"/>
                      <w:color w:val="auto"/>
                      <w:spacing w:val="0"/>
                      <w:w w:val="100"/>
                      <w:position w:val="0"/>
                      <w:sz w:val="21"/>
                      <w:szCs w:val="24"/>
                      <w:highlight w:val="none"/>
                      <w:lang w:val="zh-CN" w:eastAsia="zh-CN" w:bidi="ar-SA"/>
                    </w:rPr>
                    <w:t>石家庄东华金龙按照要求定期开展土壤及地下水监测。</w:t>
                  </w:r>
                </w:p>
                <w:p w14:paraId="582C76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eastAsia" w:cs="Times New Roman"/>
                      <w:color w:val="auto"/>
                      <w:spacing w:val="0"/>
                      <w:w w:val="100"/>
                      <w:position w:val="0"/>
                      <w:sz w:val="21"/>
                      <w:szCs w:val="24"/>
                      <w:highlight w:val="none"/>
                      <w:lang w:val="en-US" w:eastAsia="zh-CN" w:bidi="ar-SA"/>
                    </w:rPr>
                    <w:t>2、</w:t>
                  </w:r>
                  <w:r>
                    <w:rPr>
                      <w:rFonts w:hint="eastAsia" w:cs="Times New Roman"/>
                      <w:color w:val="auto"/>
                      <w:spacing w:val="0"/>
                      <w:w w:val="100"/>
                      <w:position w:val="0"/>
                      <w:sz w:val="21"/>
                      <w:szCs w:val="24"/>
                      <w:highlight w:val="none"/>
                      <w:lang w:val="zh-CN" w:eastAsia="zh-CN" w:bidi="ar-SA"/>
                    </w:rPr>
                    <w:t>项目建成后，</w:t>
                  </w:r>
                  <w:r>
                    <w:rPr>
                      <w:rFonts w:hint="default" w:ascii="Times New Roman" w:hAnsi="Times New Roman" w:eastAsia="宋体" w:cs="Times New Roman"/>
                      <w:color w:val="auto"/>
                      <w:spacing w:val="0"/>
                      <w:w w:val="100"/>
                      <w:position w:val="0"/>
                      <w:sz w:val="21"/>
                      <w:szCs w:val="24"/>
                      <w:highlight w:val="none"/>
                      <w:lang w:val="en-US" w:eastAsia="zh-CN" w:bidi="ar-SA"/>
                    </w:rPr>
                    <w:t>企业</w:t>
                  </w:r>
                  <w:r>
                    <w:rPr>
                      <w:rFonts w:hint="eastAsia" w:cs="Times New Roman"/>
                      <w:color w:val="auto"/>
                      <w:spacing w:val="0"/>
                      <w:w w:val="100"/>
                      <w:position w:val="0"/>
                      <w:sz w:val="21"/>
                      <w:szCs w:val="24"/>
                      <w:highlight w:val="none"/>
                      <w:lang w:val="en-US" w:eastAsia="zh-CN" w:bidi="ar-SA"/>
                    </w:rPr>
                    <w:t>需完成应</w:t>
                  </w:r>
                  <w:r>
                    <w:rPr>
                      <w:rFonts w:hint="default" w:ascii="Times New Roman" w:hAnsi="Times New Roman" w:eastAsia="宋体" w:cs="Times New Roman"/>
                      <w:color w:val="auto"/>
                      <w:spacing w:val="0"/>
                      <w:w w:val="100"/>
                      <w:position w:val="0"/>
                      <w:sz w:val="21"/>
                      <w:szCs w:val="24"/>
                      <w:highlight w:val="none"/>
                      <w:lang w:val="en-US" w:eastAsia="zh-CN" w:bidi="ar-SA"/>
                    </w:rPr>
                    <w:t>急预案</w:t>
                  </w:r>
                  <w:r>
                    <w:rPr>
                      <w:rFonts w:hint="eastAsia" w:cs="Times New Roman"/>
                      <w:color w:val="auto"/>
                      <w:spacing w:val="0"/>
                      <w:w w:val="100"/>
                      <w:position w:val="0"/>
                      <w:sz w:val="21"/>
                      <w:szCs w:val="24"/>
                      <w:highlight w:val="none"/>
                      <w:lang w:val="en-US" w:eastAsia="zh-CN" w:bidi="ar-SA"/>
                    </w:rPr>
                    <w:t>的修订</w:t>
                  </w:r>
                  <w:r>
                    <w:rPr>
                      <w:rFonts w:hint="default" w:ascii="Times New Roman" w:hAnsi="Times New Roman" w:eastAsia="宋体" w:cs="Times New Roman"/>
                      <w:color w:val="auto"/>
                      <w:spacing w:val="0"/>
                      <w:w w:val="100"/>
                      <w:position w:val="0"/>
                      <w:sz w:val="21"/>
                      <w:szCs w:val="24"/>
                      <w:highlight w:val="none"/>
                      <w:lang w:val="en-US" w:eastAsia="zh-CN" w:bidi="ar-SA"/>
                    </w:rPr>
                    <w:t>并备案。</w:t>
                  </w:r>
                </w:p>
              </w:tc>
              <w:tc>
                <w:tcPr>
                  <w:tcW w:w="526" w:type="dxa"/>
                  <w:noWrap w:val="0"/>
                  <w:vAlign w:val="center"/>
                </w:tcPr>
                <w:p w14:paraId="5457FA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kern w:val="0"/>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符合</w:t>
                  </w:r>
                </w:p>
              </w:tc>
            </w:tr>
          </w:tbl>
          <w:p w14:paraId="6FA0B9B7">
            <w:pPr>
              <w:ind w:firstLine="420" w:firstLineChars="200"/>
              <w:rPr>
                <w:rFonts w:hint="eastAsia" w:eastAsia="宋体" w:cs="Times New Roman"/>
                <w:b w:val="0"/>
                <w:bCs w:val="0"/>
                <w:color w:val="auto"/>
                <w:sz w:val="21"/>
                <w:szCs w:val="21"/>
                <w:highlight w:val="none"/>
                <w:lang w:val="en-US" w:eastAsia="zh-CN"/>
              </w:rPr>
            </w:pPr>
            <w:r>
              <w:rPr>
                <w:rFonts w:hint="eastAsia" w:eastAsia="宋体" w:cs="Times New Roman"/>
                <w:b w:val="0"/>
                <w:bCs w:val="0"/>
                <w:color w:val="auto"/>
                <w:sz w:val="21"/>
                <w:szCs w:val="21"/>
                <w:highlight w:val="none"/>
                <w:lang w:val="en-US" w:eastAsia="zh-CN"/>
              </w:rPr>
              <w:t>综上所述，项目建设符合《石家庄市</w:t>
            </w:r>
            <w:r>
              <w:rPr>
                <w:rFonts w:hint="eastAsia" w:cs="Times New Roman"/>
                <w:b w:val="0"/>
                <w:bCs w:val="0"/>
                <w:color w:val="auto"/>
                <w:sz w:val="21"/>
                <w:szCs w:val="21"/>
                <w:highlight w:val="none"/>
                <w:lang w:val="en-US" w:eastAsia="zh-CN"/>
              </w:rPr>
              <w:t>“</w:t>
            </w:r>
            <w:r>
              <w:rPr>
                <w:rFonts w:hint="eastAsia" w:eastAsia="宋体" w:cs="Times New Roman"/>
                <w:b w:val="0"/>
                <w:bCs w:val="0"/>
                <w:color w:val="auto"/>
                <w:sz w:val="21"/>
                <w:szCs w:val="21"/>
                <w:highlight w:val="none"/>
                <w:lang w:val="en-US" w:eastAsia="zh-CN"/>
              </w:rPr>
              <w:t>三线一单</w:t>
            </w:r>
            <w:r>
              <w:rPr>
                <w:rFonts w:hint="eastAsia" w:cs="Times New Roman"/>
                <w:b w:val="0"/>
                <w:bCs w:val="0"/>
                <w:color w:val="auto"/>
                <w:sz w:val="21"/>
                <w:szCs w:val="21"/>
                <w:highlight w:val="none"/>
                <w:lang w:val="en-US" w:eastAsia="zh-CN"/>
              </w:rPr>
              <w:t>”</w:t>
            </w:r>
            <w:r>
              <w:rPr>
                <w:rFonts w:hint="eastAsia" w:eastAsia="宋体" w:cs="Times New Roman"/>
                <w:b w:val="0"/>
                <w:bCs w:val="0"/>
                <w:color w:val="auto"/>
                <w:sz w:val="21"/>
                <w:szCs w:val="21"/>
                <w:highlight w:val="none"/>
                <w:lang w:val="en-US" w:eastAsia="zh-CN"/>
              </w:rPr>
              <w:t>生态环境准入清单》（2023年版）的要求，符合藁城区重点管控单元生态环境准入清单要求。</w:t>
            </w:r>
          </w:p>
          <w:p w14:paraId="36C985F8">
            <w:pPr>
              <w:ind w:firstLine="422" w:firstLineChars="200"/>
              <w:rPr>
                <w:rFonts w:hint="eastAsia" w:eastAsia="宋体" w:cs="Times New Roman"/>
                <w:b/>
                <w:bCs/>
                <w:color w:val="auto"/>
                <w:sz w:val="21"/>
                <w:szCs w:val="21"/>
                <w:highlight w:val="none"/>
                <w:lang w:val="en-US" w:eastAsia="zh-CN"/>
              </w:rPr>
            </w:pPr>
            <w:r>
              <w:rPr>
                <w:rFonts w:hint="eastAsia" w:cs="Times New Roman"/>
                <w:b/>
                <w:bCs/>
                <w:color w:val="auto"/>
                <w:sz w:val="21"/>
                <w:szCs w:val="21"/>
                <w:highlight w:val="none"/>
                <w:lang w:val="en-US" w:eastAsia="zh-CN"/>
              </w:rPr>
              <w:t>（六）</w:t>
            </w:r>
            <w:r>
              <w:rPr>
                <w:rFonts w:hint="eastAsia" w:eastAsia="宋体" w:cs="Times New Roman"/>
                <w:b/>
                <w:bCs/>
                <w:color w:val="auto"/>
                <w:sz w:val="21"/>
                <w:szCs w:val="21"/>
                <w:highlight w:val="none"/>
                <w:lang w:val="en-US" w:eastAsia="zh-CN"/>
              </w:rPr>
              <w:t>相关环境政策符合性分析</w:t>
            </w:r>
          </w:p>
          <w:p w14:paraId="0810DD38">
            <w:pPr>
              <w:ind w:firstLine="420" w:firstLineChars="200"/>
              <w:rPr>
                <w:rFonts w:hint="default" w:ascii="Times New Roman" w:hAnsi="Times New Roman" w:eastAsia="宋体" w:cs="Times New Roman"/>
                <w:b w:val="0"/>
                <w:bCs w:val="0"/>
                <w:color w:val="auto"/>
                <w:sz w:val="21"/>
                <w:szCs w:val="21"/>
                <w:highlight w:val="none"/>
                <w:lang w:val="en-US" w:eastAsia="zh-CN"/>
              </w:rPr>
            </w:pPr>
            <w:r>
              <w:rPr>
                <w:rFonts w:hint="eastAsia" w:eastAsia="宋体" w:cs="Times New Roman"/>
                <w:b w:val="0"/>
                <w:bCs w:val="0"/>
                <w:color w:val="auto"/>
                <w:sz w:val="21"/>
                <w:szCs w:val="21"/>
                <w:highlight w:val="none"/>
                <w:lang w:val="en-US" w:eastAsia="zh-CN"/>
              </w:rPr>
              <w:t>本项目与其他环境管理要求符合性分析见表1-</w:t>
            </w:r>
            <w:r>
              <w:rPr>
                <w:rFonts w:hint="eastAsia" w:cs="Times New Roman"/>
                <w:b w:val="0"/>
                <w:bCs w:val="0"/>
                <w:color w:val="auto"/>
                <w:sz w:val="21"/>
                <w:szCs w:val="21"/>
                <w:highlight w:val="none"/>
                <w:lang w:val="en-US" w:eastAsia="zh-CN"/>
              </w:rPr>
              <w:t>6</w:t>
            </w:r>
            <w:r>
              <w:rPr>
                <w:rFonts w:hint="eastAsia" w:eastAsia="宋体" w:cs="Times New Roman"/>
                <w:b w:val="0"/>
                <w:bCs w:val="0"/>
                <w:color w:val="auto"/>
                <w:sz w:val="21"/>
                <w:szCs w:val="21"/>
                <w:highlight w:val="none"/>
                <w:lang w:val="en-US" w:eastAsia="zh-CN"/>
              </w:rPr>
              <w:t>。</w:t>
            </w:r>
          </w:p>
          <w:p w14:paraId="475B7D65">
            <w:pPr>
              <w:pStyle w:val="35"/>
              <w:autoSpaceDE/>
              <w:autoSpaceDN/>
              <w:spacing w:beforeLines="0" w:afterLines="0" w:line="360" w:lineRule="auto"/>
              <w:ind w:firstLine="0" w:firstLineChars="0"/>
              <w:jc w:val="center"/>
              <w:rPr>
                <w:rFonts w:hint="default" w:ascii="Times New Roman" w:hAnsi="Times New Roman" w:eastAsia="宋体" w:cs="Times New Roman"/>
                <w:b/>
                <w:bCs/>
                <w:color w:val="auto"/>
                <w:sz w:val="21"/>
                <w:szCs w:val="21"/>
                <w:highlight w:val="none"/>
                <w:vertAlign w:val="baseline"/>
                <w:lang w:val="en-US" w:eastAsia="zh-CN"/>
              </w:rPr>
            </w:pPr>
            <w:r>
              <w:rPr>
                <w:rFonts w:hint="default" w:ascii="Times New Roman" w:hAnsi="Times New Roman" w:eastAsia="宋体" w:cs="Times New Roman"/>
                <w:b/>
                <w:bCs/>
                <w:color w:val="auto"/>
                <w:sz w:val="21"/>
                <w:szCs w:val="21"/>
                <w:highlight w:val="none"/>
                <w:lang w:val="en-US" w:eastAsia="zh-CN"/>
              </w:rPr>
              <w:t>表 1-</w:t>
            </w:r>
            <w:r>
              <w:rPr>
                <w:rFonts w:hint="eastAsia" w:ascii="Times New Roman" w:cs="Times New Roman"/>
                <w:b/>
                <w:bCs/>
                <w:color w:val="auto"/>
                <w:sz w:val="21"/>
                <w:szCs w:val="21"/>
                <w:highlight w:val="none"/>
                <w:lang w:val="en-US" w:eastAsia="zh-CN"/>
              </w:rPr>
              <w:t>6</w:t>
            </w:r>
            <w:r>
              <w:rPr>
                <w:rFonts w:hint="default" w:ascii="Times New Roman" w:hAnsi="Times New Roman" w:eastAsia="宋体" w:cs="Times New Roman"/>
                <w:b/>
                <w:bCs/>
                <w:color w:val="auto"/>
                <w:sz w:val="21"/>
                <w:szCs w:val="21"/>
                <w:highlight w:val="none"/>
                <w:lang w:val="en-US" w:eastAsia="zh-CN"/>
              </w:rPr>
              <w:t xml:space="preserve"> 相关环境管理要求相符性分析一览表</w:t>
            </w:r>
          </w:p>
          <w:tbl>
            <w:tblPr>
              <w:tblStyle w:val="2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0"/>
              <w:gridCol w:w="3105"/>
              <w:gridCol w:w="1905"/>
              <w:gridCol w:w="554"/>
            </w:tblGrid>
            <w:tr w14:paraId="4C0DD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00" w:type="pct"/>
                  <w:gridSpan w:val="2"/>
                  <w:noWrap w:val="0"/>
                  <w:vAlign w:val="center"/>
                </w:tcPr>
                <w:p w14:paraId="39930288">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lang w:val="en-US" w:eastAsia="zh-CN" w:bidi="ar-SA"/>
                    </w:rPr>
                    <w:t>相关要求</w:t>
                  </w:r>
                </w:p>
              </w:tc>
              <w:tc>
                <w:tcPr>
                  <w:tcW w:w="1393" w:type="pct"/>
                  <w:vMerge w:val="restart"/>
                  <w:noWrap w:val="0"/>
                  <w:vAlign w:val="center"/>
                </w:tcPr>
                <w:p w14:paraId="3B661E8E">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本项目情况</w:t>
                  </w:r>
                </w:p>
              </w:tc>
              <w:tc>
                <w:tcPr>
                  <w:tcW w:w="405" w:type="pct"/>
                  <w:vMerge w:val="restart"/>
                  <w:noWrap w:val="0"/>
                  <w:vAlign w:val="center"/>
                </w:tcPr>
                <w:p w14:paraId="133DCBE6">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lang w:val="en-US" w:eastAsia="zh-CN" w:bidi="ar-SA"/>
                    </w:rPr>
                    <w:t>符合性</w:t>
                  </w:r>
                </w:p>
              </w:tc>
            </w:tr>
            <w:tr w14:paraId="345FB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noWrap w:val="0"/>
                  <w:vAlign w:val="center"/>
                </w:tcPr>
                <w:p w14:paraId="7ED00923">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lang w:val="en-US" w:eastAsia="zh-CN" w:bidi="ar-SA"/>
                    </w:rPr>
                    <w:t>文件名称</w:t>
                  </w:r>
                </w:p>
              </w:tc>
              <w:tc>
                <w:tcPr>
                  <w:tcW w:w="2271" w:type="pct"/>
                  <w:noWrap w:val="0"/>
                  <w:vAlign w:val="center"/>
                </w:tcPr>
                <w:p w14:paraId="74E50A07">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lang w:val="en-US" w:eastAsia="zh-CN" w:bidi="ar-SA"/>
                    </w:rPr>
                    <w:t>文件具体要求</w:t>
                  </w:r>
                </w:p>
              </w:tc>
              <w:tc>
                <w:tcPr>
                  <w:tcW w:w="1393" w:type="pct"/>
                  <w:vMerge w:val="continue"/>
                  <w:noWrap w:val="0"/>
                  <w:vAlign w:val="center"/>
                </w:tcPr>
                <w:p w14:paraId="2F581861">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p>
              </w:tc>
              <w:tc>
                <w:tcPr>
                  <w:tcW w:w="405" w:type="pct"/>
                  <w:vMerge w:val="continue"/>
                  <w:noWrap w:val="0"/>
                  <w:vAlign w:val="center"/>
                </w:tcPr>
                <w:p w14:paraId="6F06C400">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default" w:ascii="Times New Roman" w:hAnsi="Times New Roman" w:eastAsia="宋体" w:cs="Times New Roman"/>
                      <w:b/>
                      <w:bCs/>
                      <w:color w:val="auto"/>
                      <w:kern w:val="2"/>
                      <w:sz w:val="21"/>
                      <w:szCs w:val="21"/>
                      <w:highlight w:val="none"/>
                      <w:vertAlign w:val="baseline"/>
                      <w:lang w:val="en-US" w:eastAsia="zh-CN" w:bidi="ar-SA"/>
                    </w:rPr>
                  </w:pPr>
                </w:p>
              </w:tc>
            </w:tr>
            <w:tr w14:paraId="0A947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noWrap w:val="0"/>
                  <w:vAlign w:val="center"/>
                </w:tcPr>
                <w:p w14:paraId="521F5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43A05A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285C8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3F06F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759416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695AD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605BA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0C6D52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7B7F27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国务院关于印发</w:t>
                  </w:r>
                  <w:r>
                    <w:rPr>
                      <w:rFonts w:hint="eastAsia" w:cs="Times New Roman"/>
                      <w:color w:val="auto"/>
                      <w:spacing w:val="0"/>
                      <w:w w:val="100"/>
                      <w:position w:val="0"/>
                      <w:sz w:val="21"/>
                      <w:szCs w:val="21"/>
                      <w:highlight w:val="none"/>
                      <w:lang w:val="en-US" w:eastAsia="zh-CN" w:bidi="ar-SA"/>
                    </w:rPr>
                    <w:t>《空气质量持续改善行动计划》的</w:t>
                  </w:r>
                  <w:r>
                    <w:rPr>
                      <w:rFonts w:hint="default" w:ascii="Times New Roman" w:hAnsi="Times New Roman" w:eastAsia="宋体" w:cs="Times New Roman"/>
                      <w:color w:val="auto"/>
                      <w:spacing w:val="0"/>
                      <w:w w:val="100"/>
                      <w:position w:val="0"/>
                      <w:sz w:val="21"/>
                      <w:szCs w:val="21"/>
                      <w:highlight w:val="none"/>
                      <w:lang w:val="en-US" w:eastAsia="zh-CN" w:bidi="ar-SA"/>
                    </w:rPr>
                    <w:t>通知</w:t>
                  </w:r>
                </w:p>
              </w:tc>
              <w:tc>
                <w:tcPr>
                  <w:tcW w:w="2271" w:type="pct"/>
                  <w:noWrap w:val="0"/>
                  <w:vAlign w:val="center"/>
                </w:tcPr>
                <w:p w14:paraId="78CBC5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严格合理控制煤炭消费总量。在保障能源安全供应的前提下，重点区域继续实施煤炭消费总量控制。到2025年，京津冀及周边地区、长三角地区煤炭消费量较2020年分别下降10%和5%左右，汾渭平原煤炭消费量实现负增长，重点削减非电力用煤。重点区域新改扩建用煤项目，依法实行煤炭等量或减量替代，替代方案不完善的不予审批;不得将使用石油焦、焦炭、兰炭等高污染燃料作为煤炭减量替代措施。完善重点区域煤炭消费减量替代管理办法，煤矸石、原料用煤不纳入煤炭消费总量考核。原则上不再新增自备燃煤机组，支持自备燃煤机组实施清洁能源替代。对支撑电力稳定供应、电网安全运行、清洁能源大规模并网消纳的煤电项目及其用煤量应予以合理保障。</w:t>
                  </w:r>
                </w:p>
              </w:tc>
              <w:tc>
                <w:tcPr>
                  <w:tcW w:w="1393" w:type="pct"/>
                  <w:noWrap w:val="0"/>
                  <w:vAlign w:val="center"/>
                </w:tcPr>
                <w:p w14:paraId="3DCDDE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5DE6FD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691EAE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4BDFFA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629559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0895EB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75795F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2E77DA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7788DF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351BB2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489942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eastAsia" w:cs="Times New Roman"/>
                      <w:color w:val="auto"/>
                      <w:spacing w:val="0"/>
                      <w:w w:val="100"/>
                      <w:position w:val="0"/>
                      <w:sz w:val="21"/>
                      <w:szCs w:val="21"/>
                      <w:highlight w:val="none"/>
                      <w:lang w:val="en-US" w:eastAsia="zh-CN" w:bidi="ar-SA"/>
                    </w:rPr>
                  </w:pPr>
                </w:p>
                <w:p w14:paraId="2CB2E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bidi="ar-SA"/>
                    </w:rPr>
                    <w:t>本项目不涉及用煤。</w:t>
                  </w:r>
                </w:p>
              </w:tc>
              <w:tc>
                <w:tcPr>
                  <w:tcW w:w="405" w:type="pct"/>
                  <w:noWrap w:val="0"/>
                  <w:vAlign w:val="center"/>
                </w:tcPr>
                <w:p w14:paraId="25FEC8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469DE1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0190AC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69D9FC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7BB52E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304862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6D98F3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343C12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0FCFB4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0952F3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7285DC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p>
                <w:p w14:paraId="2E5397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bookmarkStart w:id="17" w:name="OLE_LINK26"/>
                  <w:r>
                    <w:rPr>
                      <w:rFonts w:hint="default" w:ascii="Times New Roman" w:hAnsi="Times New Roman" w:eastAsia="宋体" w:cs="Times New Roman"/>
                      <w:color w:val="auto"/>
                      <w:spacing w:val="0"/>
                      <w:w w:val="100"/>
                      <w:position w:val="0"/>
                      <w:sz w:val="21"/>
                      <w:szCs w:val="21"/>
                      <w:highlight w:val="none"/>
                      <w:lang w:val="en-US" w:eastAsia="zh-CN" w:bidi="ar-SA"/>
                    </w:rPr>
                    <w:t>符合</w:t>
                  </w:r>
                  <w:bookmarkEnd w:id="17"/>
                </w:p>
              </w:tc>
            </w:tr>
            <w:tr w14:paraId="5DC20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Align w:val="center"/>
                </w:tcPr>
                <w:p w14:paraId="5A80E5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河北省人民政府《关于印发&lt;河北省空气质量持续改善行</w:t>
                  </w:r>
                </w:p>
                <w:p w14:paraId="22CF5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动计划实施方案&gt;的通知》(冀政发〔2024〕4</w:t>
                  </w:r>
                </w:p>
                <w:p w14:paraId="798D0E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号)</w:t>
                  </w:r>
                </w:p>
              </w:tc>
              <w:tc>
                <w:tcPr>
                  <w:tcW w:w="2271" w:type="pct"/>
                  <w:vAlign w:val="center"/>
                </w:tcPr>
                <w:p w14:paraId="1AD083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严格环境准入。坚决遏制高耗能、高排放、低水平项目盲目上马。新改扩建项目严格落实国家和省产业规划、产业政策、生态环境分区管控方案、产能置换、</w:t>
                  </w:r>
                </w:p>
                <w:p w14:paraId="26CEE5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重点污染物总量控制、污染物排放区域削减、碳排放达峰目标等相关要求，原则上采用清洁运输方式。被置换产能项目关停后，新建项目方可投产</w:t>
                  </w:r>
                  <w:r>
                    <w:rPr>
                      <w:rFonts w:hint="eastAsia" w:cs="Times New Roman"/>
                      <w:color w:val="auto"/>
                      <w:spacing w:val="0"/>
                      <w:w w:val="100"/>
                      <w:position w:val="0"/>
                      <w:sz w:val="21"/>
                      <w:szCs w:val="21"/>
                      <w:highlight w:val="none"/>
                      <w:lang w:val="en-US" w:eastAsia="zh-CN" w:bidi="ar-SA"/>
                    </w:rPr>
                    <w:t>。</w:t>
                  </w:r>
                </w:p>
              </w:tc>
              <w:tc>
                <w:tcPr>
                  <w:tcW w:w="1393" w:type="pct"/>
                  <w:vAlign w:val="center"/>
                </w:tcPr>
                <w:p w14:paraId="43C9AF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4"/>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本项目属于</w:t>
                  </w:r>
                  <w:r>
                    <w:rPr>
                      <w:rFonts w:hint="eastAsia" w:cs="Times New Roman"/>
                      <w:color w:val="auto"/>
                      <w:spacing w:val="0"/>
                      <w:w w:val="100"/>
                      <w:position w:val="0"/>
                      <w:sz w:val="21"/>
                      <w:szCs w:val="24"/>
                      <w:highlight w:val="none"/>
                      <w:lang w:val="en-US" w:eastAsia="zh-CN" w:bidi="ar-SA"/>
                    </w:rPr>
                    <w:t>食品及饲料添加剂制造行业</w:t>
                  </w:r>
                  <w:r>
                    <w:rPr>
                      <w:rFonts w:hint="default" w:ascii="Times New Roman" w:hAnsi="Times New Roman" w:eastAsia="宋体" w:cs="Times New Roman"/>
                      <w:color w:val="auto"/>
                      <w:spacing w:val="0"/>
                      <w:w w:val="100"/>
                      <w:position w:val="0"/>
                      <w:sz w:val="21"/>
                      <w:szCs w:val="24"/>
                      <w:highlight w:val="none"/>
                      <w:lang w:val="en-US" w:eastAsia="zh-CN" w:bidi="ar-SA"/>
                    </w:rPr>
                    <w:t>，不属于高耗能、高排放项目，符合国家产业规划、产业政策、生态环境分区管控方案、规划环评、重点污染物总量控制、污染物排放区域削减等要求。</w:t>
                  </w:r>
                </w:p>
              </w:tc>
              <w:tc>
                <w:tcPr>
                  <w:tcW w:w="405" w:type="pct"/>
                  <w:vAlign w:val="center"/>
                </w:tcPr>
                <w:p w14:paraId="46164C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r w14:paraId="7AE73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Align w:val="center"/>
                </w:tcPr>
                <w:p w14:paraId="2CE640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《河北省水生态环境保护规划》（冀水领办〔2023〕32 号）</w:t>
                  </w:r>
                </w:p>
              </w:tc>
              <w:tc>
                <w:tcPr>
                  <w:tcW w:w="2271" w:type="pct"/>
                  <w:vAlign w:val="center"/>
                </w:tcPr>
                <w:p w14:paraId="33105B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加大工业园区污染整治力度。新设立和升级的经济开发区、 高新技术产业开发区、出口加工区等工业园区必须同步规划和建 设污水集中处理设施。建立工业园区污水集中处理设施进水浓度异常等突出问题清单,相关地市级人民政府组织排查整治工业园区污水管网老旧破损、混接错接等情况,实施清单管理、动态销 号。加快推进工业园区配套管网 “清污分流、雨污分流”,实现 废水分类收集、分质处理。入园企业废水必须经预处理达到集中处理要求,方可接入污水集中处理设施处理。原油加工及石油制品制造、磷肥制造等行业企业应收集处理厂区初期雨水,有条件的化工园区开展园区初期雨水污染控制试点示范。</w:t>
                  </w:r>
                </w:p>
              </w:tc>
              <w:tc>
                <w:tcPr>
                  <w:tcW w:w="1393" w:type="pct"/>
                  <w:vAlign w:val="center"/>
                </w:tcPr>
                <w:p w14:paraId="2F7733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4"/>
                      <w:highlight w:val="none"/>
                      <w:lang w:val="en-US" w:eastAsia="zh-CN" w:bidi="ar-SA"/>
                    </w:rPr>
                    <w:t>项目废水</w:t>
                  </w:r>
                  <w:r>
                    <w:rPr>
                      <w:rFonts w:hint="default" w:ascii="Times New Roman" w:hAnsi="Times New Roman" w:eastAsia="宋体" w:cs="Times New Roman"/>
                      <w:color w:val="auto"/>
                      <w:spacing w:val="0"/>
                      <w:w w:val="100"/>
                      <w:position w:val="0"/>
                      <w:sz w:val="21"/>
                      <w:szCs w:val="24"/>
                      <w:highlight w:val="none"/>
                      <w:lang w:val="zh-CN" w:eastAsia="zh-CN" w:bidi="ar-SA"/>
                    </w:rPr>
                    <w:t>经</w:t>
                  </w:r>
                  <w:r>
                    <w:rPr>
                      <w:rFonts w:hint="eastAsia" w:cs="Times New Roman"/>
                      <w:color w:val="auto"/>
                      <w:spacing w:val="0"/>
                      <w:w w:val="100"/>
                      <w:position w:val="0"/>
                      <w:sz w:val="21"/>
                      <w:szCs w:val="24"/>
                      <w:highlight w:val="none"/>
                      <w:lang w:val="zh-CN" w:eastAsia="zh-CN" w:bidi="ar-SA"/>
                    </w:rPr>
                    <w:t>厂综合污水处理站</w:t>
                  </w:r>
                  <w:r>
                    <w:rPr>
                      <w:rFonts w:hint="default" w:ascii="Times New Roman" w:hAnsi="Times New Roman" w:eastAsia="宋体" w:cs="Times New Roman"/>
                      <w:color w:val="auto"/>
                      <w:spacing w:val="0"/>
                      <w:w w:val="100"/>
                      <w:position w:val="0"/>
                      <w:sz w:val="21"/>
                      <w:szCs w:val="24"/>
                      <w:highlight w:val="none"/>
                      <w:lang w:val="zh-CN" w:eastAsia="zh-CN" w:bidi="ar-SA"/>
                    </w:rPr>
                    <w:t>处理达标后排入</w:t>
                  </w:r>
                  <w:r>
                    <w:rPr>
                      <w:rFonts w:hint="eastAsia" w:cs="Times New Roman"/>
                      <w:color w:val="auto"/>
                      <w:spacing w:val="0"/>
                      <w:w w:val="100"/>
                      <w:position w:val="0"/>
                      <w:sz w:val="21"/>
                      <w:szCs w:val="24"/>
                      <w:highlight w:val="none"/>
                      <w:lang w:val="zh-CN" w:eastAsia="zh-CN" w:bidi="ar-SA"/>
                    </w:rPr>
                    <w:t>石家庄高新区循化环境水务有限公司（良村南污水处理厂）</w:t>
                  </w:r>
                  <w:r>
                    <w:rPr>
                      <w:rFonts w:hint="default" w:ascii="Times New Roman" w:hAnsi="Times New Roman" w:eastAsia="宋体" w:cs="Times New Roman"/>
                      <w:color w:val="auto"/>
                      <w:spacing w:val="0"/>
                      <w:w w:val="100"/>
                      <w:position w:val="0"/>
                      <w:sz w:val="21"/>
                      <w:szCs w:val="24"/>
                      <w:highlight w:val="none"/>
                      <w:lang w:val="zh-CN" w:eastAsia="zh-CN" w:bidi="ar-SA"/>
                    </w:rPr>
                    <w:t>进一步处理。</w:t>
                  </w:r>
                </w:p>
              </w:tc>
              <w:tc>
                <w:tcPr>
                  <w:tcW w:w="405" w:type="pct"/>
                  <w:vAlign w:val="center"/>
                </w:tcPr>
                <w:p w14:paraId="4348E1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r w14:paraId="07A6B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Merge w:val="restart"/>
                  <w:vAlign w:val="center"/>
                </w:tcPr>
                <w:p w14:paraId="224371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zh-CN" w:eastAsia="zh-CN" w:bidi="ar-SA"/>
                    </w:rPr>
                    <w:t>《关于加强重点行业建设项目区域削减措施监督管理的通知》（</w:t>
                  </w:r>
                  <w:r>
                    <w:rPr>
                      <w:rFonts w:hint="default" w:ascii="Times New Roman" w:hAnsi="Times New Roman" w:eastAsia="宋体" w:cs="Times New Roman"/>
                      <w:color w:val="auto"/>
                      <w:spacing w:val="0"/>
                      <w:w w:val="100"/>
                      <w:position w:val="0"/>
                      <w:sz w:val="21"/>
                      <w:szCs w:val="21"/>
                      <w:highlight w:val="none"/>
                      <w:lang w:val="en-US" w:eastAsia="zh-CN" w:bidi="ar-SA"/>
                    </w:rPr>
                    <w:t>环办环评〔2020〕36号</w:t>
                  </w:r>
                  <w:r>
                    <w:rPr>
                      <w:rFonts w:hint="default" w:ascii="Times New Roman" w:hAnsi="Times New Roman" w:eastAsia="宋体" w:cs="Times New Roman"/>
                      <w:color w:val="auto"/>
                      <w:spacing w:val="0"/>
                      <w:w w:val="100"/>
                      <w:position w:val="0"/>
                      <w:sz w:val="21"/>
                      <w:szCs w:val="21"/>
                      <w:highlight w:val="none"/>
                      <w:lang w:val="zh-CN" w:eastAsia="zh-CN" w:bidi="ar-SA"/>
                    </w:rPr>
                    <w:t>）</w:t>
                  </w:r>
                </w:p>
              </w:tc>
              <w:tc>
                <w:tcPr>
                  <w:tcW w:w="2271" w:type="pct"/>
                  <w:vAlign w:val="center"/>
                </w:tcPr>
                <w:p w14:paraId="076546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严格区域削减要求。所在区域、流域控制单元环境质量未达到国家或者地方环境质量标准的，建设项目应提出有效的区域削减方案，主要污染物实行区域倍量削减，确保项目投产后区域环境质量有改善</w:t>
                  </w:r>
                  <w:r>
                    <w:rPr>
                      <w:rFonts w:hint="eastAsia" w:cs="Times New Roman"/>
                      <w:color w:val="auto"/>
                      <w:spacing w:val="0"/>
                      <w:w w:val="100"/>
                      <w:position w:val="0"/>
                      <w:sz w:val="21"/>
                      <w:szCs w:val="21"/>
                      <w:highlight w:val="none"/>
                      <w:lang w:val="en-US" w:eastAsia="zh-CN" w:bidi="ar-SA"/>
                    </w:rPr>
                    <w:t>。</w:t>
                  </w:r>
                </w:p>
              </w:tc>
              <w:tc>
                <w:tcPr>
                  <w:tcW w:w="1393" w:type="pct"/>
                  <w:vAlign w:val="center"/>
                </w:tcPr>
                <w:p w14:paraId="5EDB54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项目位于</w:t>
                  </w:r>
                  <w:r>
                    <w:rPr>
                      <w:rFonts w:hint="eastAsia" w:ascii="Times New Roman" w:hAnsi="Times New Roman" w:cs="Times New Roman"/>
                      <w:color w:val="auto"/>
                      <w:spacing w:val="0"/>
                      <w:w w:val="100"/>
                      <w:position w:val="0"/>
                      <w:sz w:val="21"/>
                      <w:szCs w:val="21"/>
                      <w:highlight w:val="none"/>
                      <w:lang w:val="en-US" w:eastAsia="zh-CN" w:bidi="ar-SA"/>
                    </w:rPr>
                    <w:t>石家庄高新技术产业开发区循环化工园区</w:t>
                  </w:r>
                  <w:r>
                    <w:rPr>
                      <w:rFonts w:hint="default" w:ascii="Times New Roman" w:hAnsi="Times New Roman" w:eastAsia="宋体" w:cs="Times New Roman"/>
                      <w:color w:val="auto"/>
                      <w:spacing w:val="0"/>
                      <w:w w:val="100"/>
                      <w:position w:val="0"/>
                      <w:sz w:val="21"/>
                      <w:szCs w:val="21"/>
                      <w:highlight w:val="none"/>
                      <w:lang w:val="en-US" w:eastAsia="zh-CN" w:bidi="ar-SA"/>
                    </w:rPr>
                    <w:t>，环境空气为不达区域</w:t>
                  </w:r>
                  <w:r>
                    <w:rPr>
                      <w:rFonts w:hint="eastAsia" w:cs="Times New Roman"/>
                      <w:color w:val="auto"/>
                      <w:spacing w:val="0"/>
                      <w:w w:val="100"/>
                      <w:position w:val="0"/>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lang w:val="en-US" w:eastAsia="zh-CN" w:bidi="ar-SA"/>
                    </w:rPr>
                    <w:t>本项目</w:t>
                  </w:r>
                  <w:r>
                    <w:rPr>
                      <w:rFonts w:hint="eastAsia" w:cs="Times New Roman"/>
                      <w:color w:val="auto"/>
                      <w:spacing w:val="0"/>
                      <w:w w:val="100"/>
                      <w:position w:val="0"/>
                      <w:sz w:val="21"/>
                      <w:szCs w:val="21"/>
                      <w:highlight w:val="none"/>
                      <w:lang w:val="en-US" w:eastAsia="zh-CN" w:bidi="ar-SA"/>
                    </w:rPr>
                    <w:t>主要污染物已实行区域倍量削减。</w:t>
                  </w:r>
                </w:p>
              </w:tc>
              <w:tc>
                <w:tcPr>
                  <w:tcW w:w="405" w:type="pct"/>
                  <w:vAlign w:val="center"/>
                </w:tcPr>
                <w:p w14:paraId="7B53BD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r w14:paraId="58434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Merge w:val="continue"/>
                </w:tcPr>
                <w:p w14:paraId="416DA9CF">
                  <w:pPr>
                    <w:keepNext w:val="0"/>
                    <w:keepLines w:val="0"/>
                    <w:pageBreakBefore w:val="0"/>
                    <w:widowControl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1"/>
                      <w:szCs w:val="21"/>
                      <w:highlight w:val="none"/>
                      <w:vertAlign w:val="baseline"/>
                    </w:rPr>
                  </w:pPr>
                </w:p>
              </w:tc>
              <w:tc>
                <w:tcPr>
                  <w:tcW w:w="2271" w:type="pct"/>
                  <w:vAlign w:val="center"/>
                </w:tcPr>
                <w:p w14:paraId="0256D3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建设项目申领排污许可证时，应说明区域削减措施落实情况并附具证明材料，对其完整性、真实性负责；建设项目开展竣工环境保护验收时，应说明区域削减方案落实情况，并上传至全国建设项目竣工环境保护验收信息系统。</w:t>
                  </w:r>
                </w:p>
              </w:tc>
              <w:tc>
                <w:tcPr>
                  <w:tcW w:w="1393" w:type="pct"/>
                  <w:vAlign w:val="center"/>
                </w:tcPr>
                <w:p w14:paraId="113555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项目实施后，企业严格按照要求变更排污证</w:t>
                  </w:r>
                  <w:r>
                    <w:rPr>
                      <w:rFonts w:hint="eastAsia" w:cs="Times New Roman"/>
                      <w:color w:val="auto"/>
                      <w:spacing w:val="0"/>
                      <w:w w:val="100"/>
                      <w:position w:val="0"/>
                      <w:sz w:val="21"/>
                      <w:szCs w:val="21"/>
                      <w:highlight w:val="none"/>
                      <w:lang w:val="en-US" w:eastAsia="zh-CN" w:bidi="ar-SA"/>
                    </w:rPr>
                    <w:t>。</w:t>
                  </w:r>
                </w:p>
              </w:tc>
              <w:tc>
                <w:tcPr>
                  <w:tcW w:w="405" w:type="pct"/>
                  <w:vAlign w:val="center"/>
                </w:tcPr>
                <w:p w14:paraId="412063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r w14:paraId="21B0A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Merge w:val="restart"/>
                  <w:vAlign w:val="center"/>
                </w:tcPr>
                <w:p w14:paraId="39633C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《“十四五”噪声污染防治行动计划》(环大气[2023]1</w:t>
                  </w:r>
                </w:p>
                <w:p w14:paraId="7F5611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b/>
                      <w:bCs/>
                      <w:color w:val="auto"/>
                      <w:sz w:val="21"/>
                      <w:szCs w:val="21"/>
                      <w:highlight w:val="none"/>
                      <w:vertAlign w:val="baseline"/>
                    </w:rPr>
                  </w:pPr>
                  <w:r>
                    <w:rPr>
                      <w:rFonts w:hint="default" w:ascii="Times New Roman" w:hAnsi="Times New Roman" w:eastAsia="宋体" w:cs="Times New Roman"/>
                      <w:color w:val="auto"/>
                      <w:spacing w:val="0"/>
                      <w:w w:val="100"/>
                      <w:position w:val="0"/>
                      <w:sz w:val="21"/>
                      <w:szCs w:val="21"/>
                      <w:highlight w:val="none"/>
                      <w:lang w:val="en-US" w:eastAsia="zh-CN" w:bidi="ar-SA"/>
                    </w:rPr>
                    <w:t>号)</w:t>
                  </w:r>
                </w:p>
              </w:tc>
              <w:tc>
                <w:tcPr>
                  <w:tcW w:w="2271" w:type="pct"/>
                  <w:vAlign w:val="center"/>
                </w:tcPr>
                <w:p w14:paraId="24D61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树立工业噪声污染治理标杆。排放噪声的工业企业应切实采取减振降噪措施，加强厂区内固定设备、运输工具、货物装卸等噪声源管理，同时避免突发噪声扰民。鼓励企业采用先进治理技术，打造行业噪声污染治理示范典型。</w:t>
                  </w:r>
                </w:p>
              </w:tc>
              <w:tc>
                <w:tcPr>
                  <w:tcW w:w="1393" w:type="pct"/>
                  <w:vAlign w:val="center"/>
                </w:tcPr>
                <w:p w14:paraId="64B0CC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本项目采取的降噪措施主要包括选用低噪声设备、设备</w:t>
                  </w:r>
                </w:p>
                <w:p w14:paraId="4D0D1A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安装减振垫、风机安装消声器、进出风口软连接、厂房</w:t>
                  </w:r>
                </w:p>
                <w:p w14:paraId="504AFB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隔声等措施</w:t>
                  </w:r>
                  <w:r>
                    <w:rPr>
                      <w:rFonts w:hint="eastAsia" w:cs="Times New Roman"/>
                      <w:color w:val="auto"/>
                      <w:spacing w:val="0"/>
                      <w:w w:val="100"/>
                      <w:position w:val="0"/>
                      <w:sz w:val="21"/>
                      <w:szCs w:val="21"/>
                      <w:highlight w:val="none"/>
                      <w:lang w:val="en-US" w:eastAsia="zh-CN" w:bidi="ar-SA"/>
                    </w:rPr>
                    <w:t>。</w:t>
                  </w:r>
                </w:p>
              </w:tc>
              <w:tc>
                <w:tcPr>
                  <w:tcW w:w="405" w:type="pct"/>
                  <w:vAlign w:val="center"/>
                </w:tcPr>
                <w:p w14:paraId="2D29C9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bookmarkStart w:id="18" w:name="OLE_LINK12"/>
                  <w:r>
                    <w:rPr>
                      <w:rFonts w:hint="default" w:ascii="Times New Roman" w:hAnsi="Times New Roman" w:eastAsia="宋体" w:cs="Times New Roman"/>
                      <w:color w:val="auto"/>
                      <w:spacing w:val="0"/>
                      <w:w w:val="100"/>
                      <w:position w:val="0"/>
                      <w:sz w:val="21"/>
                      <w:szCs w:val="21"/>
                      <w:highlight w:val="none"/>
                      <w:lang w:val="en-US" w:eastAsia="zh-CN" w:bidi="ar-SA"/>
                    </w:rPr>
                    <w:t>符合</w:t>
                  </w:r>
                  <w:bookmarkEnd w:id="18"/>
                </w:p>
              </w:tc>
            </w:tr>
            <w:tr w14:paraId="5A231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Merge w:val="continue"/>
                </w:tcPr>
                <w:p w14:paraId="3287DAD4">
                  <w:pPr>
                    <w:keepNext w:val="0"/>
                    <w:keepLines w:val="0"/>
                    <w:pageBreakBefore w:val="0"/>
                    <w:widowControl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1"/>
                      <w:szCs w:val="21"/>
                      <w:highlight w:val="none"/>
                      <w:vertAlign w:val="baseline"/>
                    </w:rPr>
                  </w:pPr>
                </w:p>
              </w:tc>
              <w:tc>
                <w:tcPr>
                  <w:tcW w:w="2271" w:type="pct"/>
                  <w:vAlign w:val="center"/>
                </w:tcPr>
                <w:p w14:paraId="07745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推进工业噪声实施排污许可和重点排污单位管理。发布工业噪声排污许可证申请与核发技术规范，依法核发排污许可证或进行排污登记，并加强监管；实行排污许可管理的单位依证排污，按照规定开展自行监测并向社会公开。</w:t>
                  </w:r>
                </w:p>
              </w:tc>
              <w:tc>
                <w:tcPr>
                  <w:tcW w:w="1393" w:type="pct"/>
                  <w:vAlign w:val="center"/>
                </w:tcPr>
                <w:p w14:paraId="15EA3B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现有工程已按《排污许可证申请与核发技术规范 工业</w:t>
                  </w:r>
                </w:p>
                <w:p w14:paraId="593D0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噪声》(HJ 1301-2023)要求完</w:t>
                  </w:r>
                </w:p>
                <w:p w14:paraId="0CA871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善排污许可证并定期开展自行监测；本项目建成后延续</w:t>
                  </w:r>
                </w:p>
                <w:p w14:paraId="734C10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相关要求。</w:t>
                  </w:r>
                </w:p>
              </w:tc>
              <w:tc>
                <w:tcPr>
                  <w:tcW w:w="405" w:type="pct"/>
                  <w:vAlign w:val="center"/>
                </w:tcPr>
                <w:p w14:paraId="6156E2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r w14:paraId="79AF0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Merge w:val="continue"/>
                </w:tcPr>
                <w:p w14:paraId="19404944">
                  <w:pPr>
                    <w:keepNext w:val="0"/>
                    <w:keepLines w:val="0"/>
                    <w:pageBreakBefore w:val="0"/>
                    <w:widowControl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bCs/>
                      <w:color w:val="auto"/>
                      <w:sz w:val="21"/>
                      <w:szCs w:val="21"/>
                      <w:highlight w:val="none"/>
                      <w:vertAlign w:val="baseline"/>
                    </w:rPr>
                  </w:pPr>
                </w:p>
              </w:tc>
              <w:tc>
                <w:tcPr>
                  <w:tcW w:w="2271" w:type="pct"/>
                  <w:vAlign w:val="center"/>
                </w:tcPr>
                <w:p w14:paraId="171B75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落实管控责任。施工单位编制并落实噪声污染防治工作方案，采取有效隔声降噪设备、设施或施工工艺。</w:t>
                  </w:r>
                </w:p>
              </w:tc>
              <w:tc>
                <w:tcPr>
                  <w:tcW w:w="1393" w:type="pct"/>
                  <w:vAlign w:val="center"/>
                </w:tcPr>
                <w:p w14:paraId="6FCAE7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在承包合同中应明确施工单位环保责任和义务，并将环</w:t>
                  </w:r>
                </w:p>
                <w:p w14:paraId="6CADDC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保工作的好坏作为工程验收的标准之一。</w:t>
                  </w:r>
                </w:p>
              </w:tc>
              <w:tc>
                <w:tcPr>
                  <w:tcW w:w="405" w:type="pct"/>
                  <w:vAlign w:val="center"/>
                </w:tcPr>
                <w:p w14:paraId="0696D8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r w14:paraId="44F8C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Align w:val="center"/>
                </w:tcPr>
                <w:p w14:paraId="18829A5D">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2630F3EF">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5ED85E0F">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0D7A5EA3">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46000719">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132CBC21">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61BCBC89">
                  <w:pPr>
                    <w:keepNext w:val="0"/>
                    <w:keepLines w:val="0"/>
                    <w:pageBreakBefore w:val="0"/>
                    <w:widowControl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Times New Roman" w:hAnsi="Times New Roman" w:eastAsia="宋体" w:cs="Times New Roman"/>
                      <w:b w:val="0"/>
                      <w:bCs w:val="0"/>
                      <w:color w:val="auto"/>
                      <w:sz w:val="21"/>
                      <w:szCs w:val="21"/>
                      <w:highlight w:val="none"/>
                      <w:vertAlign w:val="baseline"/>
                    </w:rPr>
                    <w:t>石家庄市人民政府关于印发《石家庄市大气环境质量限期达标规划》的通知-石政发 〔2025〕11号</w:t>
                  </w:r>
                </w:p>
              </w:tc>
              <w:tc>
                <w:tcPr>
                  <w:tcW w:w="2271" w:type="pct"/>
                  <w:vAlign w:val="center"/>
                </w:tcPr>
                <w:p w14:paraId="0EAD8251">
                  <w:pPr>
                    <w:keepNext w:val="0"/>
                    <w:keepLines w:val="0"/>
                    <w:pageBreakBefore w:val="0"/>
                    <w:widowControl w:val="0"/>
                    <w:wordWrap/>
                    <w:topLinePunct w:val="0"/>
                    <w:bidi w:val="0"/>
                    <w:adjustRightInd/>
                    <w:snapToGrid/>
                    <w:spacing w:line="240" w:lineRule="auto"/>
                    <w:ind w:firstLine="0" w:firstLineChars="0"/>
                    <w:jc w:val="both"/>
                    <w:textAlignment w:val="center"/>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Times New Roman" w:hAnsi="Times New Roman" w:eastAsia="宋体" w:cs="Times New Roman"/>
                      <w:b w:val="0"/>
                      <w:bCs w:val="0"/>
                      <w:color w:val="auto"/>
                      <w:sz w:val="21"/>
                      <w:szCs w:val="21"/>
                      <w:highlight w:val="none"/>
                      <w:vertAlign w:val="baseline"/>
                    </w:rPr>
                    <w:t>严格环境准入严格落实生态环境分区管控。强化生态环境分区管控的刚性约束和政策引领作用，新、改、扩建项目的环境影响评价应满足区域、规划环评要求。按照 《石家庄市生态环境准入清单》要求，严格控制生产和使用高 VOCs含量涂料、油墨、胶粘剂、清洗剂等建设项目，提高低(无)VOCs含量产品比重。严控 “两高”项目准入。全市不再新增钢铁 (含铸造用生铁)、焦化、水泥熟料 (超出产能进行产能置换除外)、平板玻璃、电解铝、氧化铝 (含氢氧化铝)、煤化工产能。严格执行重点行业产能减量或等量置换相关规定。对本地新、改、扩建项目排放的颗粒物、SO</w:t>
                  </w:r>
                  <w:r>
                    <w:rPr>
                      <w:rFonts w:hint="eastAsia" w:ascii="Times New Roman" w:hAnsi="Times New Roman" w:eastAsia="宋体" w:cs="Times New Roman"/>
                      <w:b w:val="0"/>
                      <w:bCs w:val="0"/>
                      <w:color w:val="auto"/>
                      <w:sz w:val="21"/>
                      <w:szCs w:val="21"/>
                      <w:highlight w:val="none"/>
                      <w:vertAlign w:val="subscript"/>
                      <w:lang w:val="en-US" w:eastAsia="zh-CN"/>
                    </w:rPr>
                    <w:t>2</w:t>
                  </w:r>
                  <w:r>
                    <w:rPr>
                      <w:rFonts w:hint="eastAsia" w:ascii="Times New Roman" w:hAnsi="Times New Roman" w:eastAsia="宋体" w:cs="Times New Roman"/>
                      <w:b w:val="0"/>
                      <w:bCs w:val="0"/>
                      <w:color w:val="auto"/>
                      <w:sz w:val="21"/>
                      <w:szCs w:val="21"/>
                      <w:highlight w:val="none"/>
                      <w:vertAlign w:val="baseline"/>
                    </w:rPr>
                    <w:t>、NOx、VOCs实行两倍削减替代。建设项目为高架源的,污染物替代指标应来源于高架源。</w:t>
                  </w:r>
                </w:p>
              </w:tc>
              <w:tc>
                <w:tcPr>
                  <w:tcW w:w="1393" w:type="pct"/>
                  <w:vAlign w:val="center"/>
                </w:tcPr>
                <w:p w14:paraId="5D8DF167">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5CC34594">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0FF5176E">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30223B79">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4683A7D1">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63944C62">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34B5462C">
                  <w:pPr>
                    <w:keepNext w:val="0"/>
                    <w:keepLines w:val="0"/>
                    <w:pageBreakBefore w:val="0"/>
                    <w:widowControl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Times New Roman" w:hAnsi="Times New Roman" w:eastAsia="宋体" w:cs="Times New Roman"/>
                      <w:b w:val="0"/>
                      <w:bCs w:val="0"/>
                      <w:color w:val="auto"/>
                      <w:sz w:val="21"/>
                      <w:szCs w:val="21"/>
                      <w:highlight w:val="none"/>
                      <w:vertAlign w:val="baseline"/>
                    </w:rPr>
                    <w:t>本项目不属于涉 VOCs项目</w:t>
                  </w:r>
                  <w:r>
                    <w:rPr>
                      <w:rFonts w:hint="eastAsia" w:cs="Times New Roman"/>
                      <w:b w:val="0"/>
                      <w:bCs w:val="0"/>
                      <w:color w:val="auto"/>
                      <w:sz w:val="21"/>
                      <w:szCs w:val="21"/>
                      <w:highlight w:val="none"/>
                      <w:vertAlign w:val="baseline"/>
                      <w:lang w:eastAsia="zh-CN"/>
                    </w:rPr>
                    <w:t>；</w:t>
                  </w:r>
                  <w:r>
                    <w:rPr>
                      <w:rFonts w:hint="eastAsia" w:ascii="Times New Roman" w:hAnsi="Times New Roman" w:eastAsia="宋体" w:cs="Times New Roman"/>
                      <w:b w:val="0"/>
                      <w:bCs w:val="0"/>
                      <w:color w:val="auto"/>
                      <w:sz w:val="21"/>
                      <w:szCs w:val="21"/>
                      <w:highlight w:val="none"/>
                      <w:vertAlign w:val="baseline"/>
                    </w:rPr>
                    <w:t>本项目</w:t>
                  </w:r>
                  <w:r>
                    <w:rPr>
                      <w:rFonts w:hint="eastAsia" w:ascii="Times New Roman" w:hAnsi="Times New Roman" w:eastAsia="宋体" w:cs="Times New Roman"/>
                      <w:b w:val="0"/>
                      <w:bCs w:val="0"/>
                      <w:color w:val="auto"/>
                      <w:sz w:val="21"/>
                      <w:szCs w:val="21"/>
                      <w:highlight w:val="none"/>
                      <w:vertAlign w:val="baseline"/>
                      <w:lang w:val="en-US" w:eastAsia="zh-CN"/>
                    </w:rPr>
                    <w:t>不属于钢铁、焦化、水泥熟料、平板玻璃、电解铝、氧化铝、煤化工等行业</w:t>
                  </w:r>
                  <w:r>
                    <w:rPr>
                      <w:rFonts w:hint="eastAsia" w:cs="Times New Roman"/>
                      <w:b w:val="0"/>
                      <w:bCs w:val="0"/>
                      <w:color w:val="auto"/>
                      <w:sz w:val="21"/>
                      <w:szCs w:val="21"/>
                      <w:highlight w:val="none"/>
                      <w:vertAlign w:val="baseline"/>
                      <w:lang w:val="en-US" w:eastAsia="zh-CN"/>
                    </w:rPr>
                    <w:t>；</w:t>
                  </w:r>
                  <w:r>
                    <w:rPr>
                      <w:rFonts w:hint="eastAsia" w:ascii="Times New Roman" w:hAnsi="Times New Roman" w:eastAsia="宋体" w:cs="Times New Roman"/>
                      <w:b w:val="0"/>
                      <w:bCs w:val="0"/>
                      <w:color w:val="auto"/>
                      <w:sz w:val="21"/>
                      <w:szCs w:val="21"/>
                      <w:highlight w:val="none"/>
                      <w:vertAlign w:val="baseline"/>
                      <w:lang w:val="en-US" w:eastAsia="zh-CN"/>
                    </w:rPr>
                    <w:t>本项目废气排放的颗粒物实行两倍削减替代。</w:t>
                  </w:r>
                </w:p>
              </w:tc>
              <w:tc>
                <w:tcPr>
                  <w:tcW w:w="405" w:type="pct"/>
                  <w:vAlign w:val="center"/>
                </w:tcPr>
                <w:p w14:paraId="0BC9275A">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39929A5A">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4787865B">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17190B54">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5A26A1C0">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37E15AD2">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2B2A029C">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62363E8F">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4A073FAA">
                  <w:pPr>
                    <w:keepNext w:val="0"/>
                    <w:keepLines w:val="0"/>
                    <w:pageBreakBefore w:val="0"/>
                    <w:widowControl w:val="0"/>
                    <w:wordWrap/>
                    <w:topLinePunct w:val="0"/>
                    <w:bidi w:val="0"/>
                    <w:adjustRightInd/>
                    <w:snapToGrid/>
                    <w:spacing w:line="240" w:lineRule="auto"/>
                    <w:ind w:firstLine="0" w:firstLineChars="0"/>
                    <w:jc w:val="center"/>
                    <w:textAlignment w:val="center"/>
                    <w:rPr>
                      <w:rFonts w:hint="eastAsia" w:ascii="Times New Roman" w:hAnsi="Times New Roman" w:eastAsia="宋体" w:cs="Times New Roman"/>
                      <w:b w:val="0"/>
                      <w:bCs w:val="0"/>
                      <w:color w:val="auto"/>
                      <w:sz w:val="21"/>
                      <w:szCs w:val="21"/>
                      <w:highlight w:val="none"/>
                      <w:vertAlign w:val="baseline"/>
                    </w:rPr>
                  </w:pPr>
                </w:p>
                <w:p w14:paraId="4F3000A6">
                  <w:pPr>
                    <w:keepNext w:val="0"/>
                    <w:keepLines w:val="0"/>
                    <w:pageBreakBefore w:val="0"/>
                    <w:widowControl w:val="0"/>
                    <w:wordWrap/>
                    <w:topLinePunct w:val="0"/>
                    <w:bidi w:val="0"/>
                    <w:adjustRightInd/>
                    <w:snapToGrid/>
                    <w:spacing w:line="240" w:lineRule="auto"/>
                    <w:ind w:firstLine="0" w:firstLineChars="0"/>
                    <w:jc w:val="center"/>
                    <w:textAlignment w:val="center"/>
                    <w:rPr>
                      <w:rFonts w:hint="default" w:ascii="Times New Roman" w:hAnsi="Times New Roman" w:eastAsia="宋体" w:cs="Times New Roman"/>
                      <w:b w:val="0"/>
                      <w:bCs w:val="0"/>
                      <w:color w:val="auto"/>
                      <w:sz w:val="21"/>
                      <w:szCs w:val="21"/>
                      <w:highlight w:val="none"/>
                      <w:vertAlign w:val="baseline"/>
                      <w:lang w:val="en-US" w:eastAsia="zh-CN"/>
                    </w:rPr>
                  </w:pPr>
                  <w:r>
                    <w:rPr>
                      <w:rFonts w:hint="eastAsia" w:ascii="Times New Roman" w:hAnsi="Times New Roman" w:eastAsia="宋体" w:cs="Times New Roman"/>
                      <w:b w:val="0"/>
                      <w:bCs w:val="0"/>
                      <w:color w:val="auto"/>
                      <w:sz w:val="21"/>
                      <w:szCs w:val="21"/>
                      <w:highlight w:val="none"/>
                      <w:vertAlign w:val="baseline"/>
                    </w:rPr>
                    <w:t>符合</w:t>
                  </w:r>
                </w:p>
              </w:tc>
            </w:tr>
            <w:tr w14:paraId="49BF8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9" w:type="pct"/>
                  <w:vAlign w:val="center"/>
                </w:tcPr>
                <w:p w14:paraId="1EB7F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《固体废物综合治理行动计划》(国发[2025]14 号)</w:t>
                  </w:r>
                </w:p>
              </w:tc>
              <w:tc>
                <w:tcPr>
                  <w:tcW w:w="2271" w:type="pct"/>
                  <w:vAlign w:val="center"/>
                </w:tcPr>
                <w:p w14:paraId="1462D9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加强工业固体废物规范化管理。完善工业固体废物管理台账制度，强化全链条跟踪管控。推行工业固体废物分类收集贮存，防范混堆混排。禁止向生活垃圾</w:t>
                  </w:r>
                </w:p>
                <w:p w14:paraId="1F326D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收集设施中投放工业固体废物。严格执行工业固体废物、危险废物跨省转移审批制度。规范各类企业危险废物收集管理。</w:t>
                  </w:r>
                </w:p>
              </w:tc>
              <w:tc>
                <w:tcPr>
                  <w:tcW w:w="1393" w:type="pct"/>
                  <w:vAlign w:val="center"/>
                </w:tcPr>
                <w:p w14:paraId="6A17BA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本项目产生的一般工业固废、危险废物全部分类收集合理处置，厂区内设置一般工业固废暂存区及危废暂存间。</w:t>
                  </w:r>
                </w:p>
              </w:tc>
              <w:tc>
                <w:tcPr>
                  <w:tcW w:w="405" w:type="pct"/>
                  <w:vAlign w:val="center"/>
                </w:tcPr>
                <w:p w14:paraId="730E43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80" w:lineRule="exact"/>
                    <w:ind w:left="0" w:leftChars="0" w:right="0" w:rightChars="0" w:firstLine="0" w:firstLineChars="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bidi="ar-SA"/>
                    </w:rPr>
                    <w:t>符合</w:t>
                  </w:r>
                </w:p>
              </w:tc>
            </w:tr>
          </w:tbl>
          <w:p w14:paraId="03B34C31">
            <w:pPr>
              <w:keepNext w:val="0"/>
              <w:keepLines w:val="0"/>
              <w:pageBreakBefore w:val="0"/>
              <w:widowControl w:val="0"/>
              <w:kinsoku/>
              <w:wordWrap/>
              <w:overflowPunct/>
              <w:topLinePunct w:val="0"/>
              <w:autoSpaceDE/>
              <w:autoSpaceDN/>
              <w:bidi w:val="0"/>
              <w:adjustRightInd/>
              <w:snapToGrid/>
              <w:spacing w:beforeLines="0" w:afterLines="0" w:line="360" w:lineRule="auto"/>
              <w:jc w:val="both"/>
              <w:textAlignment w:val="auto"/>
              <w:rPr>
                <w:rFonts w:hint="default" w:ascii="Times New Roman" w:hAnsi="Times New Roman" w:eastAsia="宋体" w:cs="Times New Roman"/>
                <w:b/>
                <w:bCs/>
                <w:color w:val="auto"/>
                <w:kern w:val="0"/>
                <w:sz w:val="21"/>
                <w:szCs w:val="21"/>
                <w:highlight w:val="none"/>
                <w:lang w:val="en-US" w:eastAsia="zh-CN" w:bidi="ar-SA"/>
              </w:rPr>
            </w:pPr>
          </w:p>
        </w:tc>
      </w:tr>
    </w:tbl>
    <w:p w14:paraId="01403DDC">
      <w:pPr>
        <w:widowControl w:val="0"/>
        <w:spacing w:before="0" w:beforeAutospacing="0" w:after="0" w:afterAutospacing="0"/>
        <w:jc w:val="center"/>
        <w:outlineLvl w:val="0"/>
        <w:rPr>
          <w:rFonts w:hint="eastAsia" w:ascii="黑体" w:hAnsi="黑体" w:eastAsia="黑体"/>
          <w:snapToGrid w:val="0"/>
          <w:color w:val="auto"/>
          <w:sz w:val="30"/>
          <w:szCs w:val="30"/>
          <w:highlight w:val="none"/>
        </w:rPr>
        <w:sectPr>
          <w:footerReference r:id="rId10" w:type="default"/>
          <w:type w:val="continuous"/>
          <w:pgSz w:w="11906" w:h="16838"/>
          <w:pgMar w:top="1701" w:right="1531" w:bottom="1701"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p w14:paraId="24FAB01E">
      <w:pPr>
        <w:widowControl w:val="0"/>
        <w:spacing w:before="0" w:beforeAutospacing="0" w:after="0" w:afterAutospacing="0" w:line="360" w:lineRule="auto"/>
        <w:jc w:val="center"/>
        <w:outlineLvl w:val="0"/>
        <w:rPr>
          <w:rFonts w:ascii="黑体" w:hAnsi="黑体" w:eastAsia="黑体" w:cs="Times New Roman"/>
          <w:snapToGrid w:val="0"/>
          <w:color w:val="auto"/>
          <w:kern w:val="0"/>
          <w:sz w:val="30"/>
          <w:szCs w:val="30"/>
          <w:highlight w:val="none"/>
          <w:lang w:val="en-US" w:eastAsia="zh-CN" w:bidi="ar-SA"/>
        </w:rPr>
      </w:pPr>
      <w:r>
        <w:rPr>
          <w:rFonts w:hint="eastAsia" w:ascii="黑体" w:hAnsi="黑体" w:eastAsia="黑体" w:cs="Times New Roman"/>
          <w:snapToGrid w:val="0"/>
          <w:color w:val="auto"/>
          <w:kern w:val="0"/>
          <w:sz w:val="30"/>
          <w:szCs w:val="30"/>
          <w:highlight w:val="none"/>
          <w:lang w:val="en-US" w:eastAsia="zh-CN" w:bidi="ar-SA"/>
        </w:rPr>
        <w:t>二、建设项目工程分析</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23"/>
        <w:gridCol w:w="8161"/>
      </w:tblGrid>
      <w:tr w14:paraId="17A71A4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23" w:type="dxa"/>
            <w:noWrap w:val="0"/>
            <w:vAlign w:val="center"/>
          </w:tcPr>
          <w:p w14:paraId="7237ECCD">
            <w:pPr>
              <w:widowControl w:val="0"/>
              <w:adjustRightInd/>
              <w:snapToGrid/>
              <w:spacing w:before="0" w:beforeAutospacing="0" w:after="0" w:afterAutospacing="0" w:line="240" w:lineRule="auto"/>
              <w:jc w:val="center"/>
              <w:rPr>
                <w:rFonts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建设内容</w:t>
            </w:r>
          </w:p>
        </w:tc>
        <w:tc>
          <w:tcPr>
            <w:tcW w:w="8161" w:type="dxa"/>
            <w:noWrap w:val="0"/>
            <w:vAlign w:val="top"/>
          </w:tcPr>
          <w:p w14:paraId="31657B86">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（一）项目由来</w:t>
            </w:r>
          </w:p>
          <w:p w14:paraId="0640E02B">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石家庄东华金龙化工有限公司位于石家庄高新技术产业开发区循环化工园区化工中路100号，占地216669.9m</w:t>
            </w:r>
            <w:r>
              <w:rPr>
                <w:rFonts w:hint="default" w:ascii="Times New Roman" w:hAnsi="Times New Roman" w:eastAsia="宋体" w:cs="Times New Roman"/>
                <w:b w:val="0"/>
                <w:bCs/>
                <w:color w:val="auto"/>
                <w:kern w:val="2"/>
                <w:sz w:val="21"/>
                <w:szCs w:val="21"/>
                <w:highlight w:val="none"/>
                <w:vertAlign w:val="superscript"/>
                <w:lang w:val="en-US" w:eastAsia="zh-CN" w:bidi="ar-SA"/>
              </w:rPr>
              <w:t>2</w:t>
            </w:r>
            <w:r>
              <w:rPr>
                <w:rFonts w:hint="default" w:ascii="Times New Roman" w:hAnsi="Times New Roman" w:eastAsia="宋体" w:cs="Times New Roman"/>
                <w:b w:val="0"/>
                <w:bCs/>
                <w:color w:val="auto"/>
                <w:kern w:val="2"/>
                <w:sz w:val="21"/>
                <w:szCs w:val="21"/>
                <w:highlight w:val="none"/>
                <w:lang w:val="en-US" w:eastAsia="zh-CN" w:bidi="ar-SA"/>
              </w:rPr>
              <w:t>，</w:t>
            </w:r>
            <w:r>
              <w:rPr>
                <w:rFonts w:hint="default" w:ascii="Times New Roman" w:hAnsi="Times New Roman" w:eastAsia="宋体" w:cs="Times New Roman"/>
                <w:color w:val="auto"/>
                <w:spacing w:val="0"/>
                <w:w w:val="100"/>
                <w:position w:val="0"/>
                <w:sz w:val="21"/>
                <w:szCs w:val="21"/>
                <w:highlight w:val="none"/>
              </w:rPr>
              <w:t>始建于2000年，于2008年底从石家庄东二环整体搬迁入化工园区，2010年被国家认定为高新技术企业。</w:t>
            </w:r>
            <w:r>
              <w:rPr>
                <w:rFonts w:hint="eastAsia" w:cs="Times New Roman"/>
                <w:color w:val="auto"/>
                <w:spacing w:val="0"/>
                <w:w w:val="100"/>
                <w:position w:val="0"/>
                <w:sz w:val="21"/>
                <w:szCs w:val="21"/>
                <w:highlight w:val="none"/>
                <w:lang w:eastAsia="zh-CN"/>
              </w:rPr>
              <w:t>目前企业拥有员工近千余名，是全球氨基乙酸行业的龙头企业。公司现有</w:t>
            </w:r>
            <w:r>
              <w:rPr>
                <w:rFonts w:hint="default" w:ascii="Times New Roman" w:hAnsi="Times New Roman" w:eastAsia="宋体" w:cs="Times New Roman"/>
                <w:b w:val="0"/>
                <w:bCs/>
                <w:color w:val="auto"/>
                <w:kern w:val="2"/>
                <w:sz w:val="21"/>
                <w:szCs w:val="21"/>
                <w:highlight w:val="none"/>
                <w:lang w:val="en-US" w:eastAsia="zh-CN" w:bidi="ar-SA"/>
              </w:rPr>
              <w:t>主要</w:t>
            </w:r>
            <w:r>
              <w:rPr>
                <w:rFonts w:hint="eastAsia" w:cs="Times New Roman"/>
                <w:b w:val="0"/>
                <w:bCs/>
                <w:color w:val="auto"/>
                <w:kern w:val="2"/>
                <w:sz w:val="21"/>
                <w:szCs w:val="21"/>
                <w:highlight w:val="none"/>
                <w:lang w:val="en-US" w:eastAsia="zh-CN" w:bidi="ar-SA"/>
              </w:rPr>
              <w:t>产品及实际产能情况：</w:t>
            </w:r>
            <w:r>
              <w:rPr>
                <w:rFonts w:hint="default" w:ascii="Times New Roman" w:hAnsi="Times New Roman" w:eastAsia="宋体" w:cs="Times New Roman"/>
                <w:b w:val="0"/>
                <w:bCs/>
                <w:color w:val="auto"/>
                <w:kern w:val="2"/>
                <w:sz w:val="21"/>
                <w:szCs w:val="21"/>
                <w:highlight w:val="none"/>
                <w:lang w:val="en-US" w:eastAsia="zh-CN" w:bidi="ar-SA"/>
              </w:rPr>
              <w:t>工业氨基乙酸</w:t>
            </w:r>
            <w:r>
              <w:rPr>
                <w:rFonts w:hint="eastAsia" w:cs="Times New Roman"/>
                <w:b w:val="0"/>
                <w:bCs/>
                <w:color w:val="auto"/>
                <w:kern w:val="2"/>
                <w:sz w:val="21"/>
                <w:szCs w:val="21"/>
                <w:highlight w:val="none"/>
                <w:lang w:val="en-US" w:eastAsia="zh-CN" w:bidi="ar-SA"/>
              </w:rPr>
              <w:t>10</w:t>
            </w:r>
            <w:r>
              <w:rPr>
                <w:rFonts w:hint="default" w:ascii="Times New Roman" w:hAnsi="Times New Roman" w:eastAsia="宋体" w:cs="Times New Roman"/>
                <w:b w:val="0"/>
                <w:bCs/>
                <w:color w:val="auto"/>
                <w:kern w:val="2"/>
                <w:sz w:val="21"/>
                <w:szCs w:val="21"/>
                <w:highlight w:val="none"/>
                <w:lang w:val="en-US" w:eastAsia="zh-CN" w:bidi="ar-SA"/>
              </w:rPr>
              <w:t>万吨/年、精</w:t>
            </w:r>
            <w:r>
              <w:rPr>
                <w:rFonts w:hint="eastAsia" w:cs="Times New Roman"/>
                <w:b w:val="0"/>
                <w:bCs/>
                <w:color w:val="auto"/>
                <w:kern w:val="2"/>
                <w:sz w:val="21"/>
                <w:szCs w:val="21"/>
                <w:highlight w:val="none"/>
                <w:lang w:val="en-US" w:eastAsia="zh-CN" w:bidi="ar-SA"/>
              </w:rPr>
              <w:t>制</w:t>
            </w:r>
            <w:r>
              <w:rPr>
                <w:rFonts w:hint="default" w:ascii="Times New Roman" w:hAnsi="Times New Roman" w:eastAsia="宋体" w:cs="Times New Roman"/>
                <w:b w:val="0"/>
                <w:bCs/>
                <w:color w:val="auto"/>
                <w:kern w:val="2"/>
                <w:sz w:val="21"/>
                <w:szCs w:val="21"/>
                <w:highlight w:val="none"/>
                <w:lang w:val="en-US" w:eastAsia="zh-CN" w:bidi="ar-SA"/>
              </w:rPr>
              <w:t>氨基乙酸1万吨/年、</w:t>
            </w:r>
            <w:r>
              <w:rPr>
                <w:rFonts w:hint="eastAsia" w:cs="Times New Roman"/>
                <w:b w:val="0"/>
                <w:bCs/>
                <w:color w:val="auto"/>
                <w:kern w:val="2"/>
                <w:sz w:val="21"/>
                <w:szCs w:val="21"/>
                <w:highlight w:val="none"/>
                <w:lang w:val="en-US" w:eastAsia="zh-CN" w:bidi="ar-SA"/>
              </w:rPr>
              <w:t>ZAO靶材200t/a、</w:t>
            </w:r>
            <w:r>
              <w:rPr>
                <w:rFonts w:hint="default" w:ascii="Times New Roman" w:hAnsi="Times New Roman" w:eastAsia="宋体" w:cs="Times New Roman"/>
                <w:b w:val="0"/>
                <w:bCs/>
                <w:color w:val="auto"/>
                <w:kern w:val="2"/>
                <w:sz w:val="21"/>
                <w:szCs w:val="21"/>
                <w:highlight w:val="none"/>
                <w:lang w:val="en-US" w:eastAsia="zh-CN" w:bidi="ar-SA"/>
              </w:rPr>
              <w:t>海因2500吨/年</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甘氨酸</w:t>
            </w:r>
            <w:r>
              <w:rPr>
                <w:rFonts w:hint="eastAsia" w:cs="Times New Roman"/>
                <w:b w:val="0"/>
                <w:bCs/>
                <w:color w:val="auto"/>
                <w:kern w:val="2"/>
                <w:sz w:val="21"/>
                <w:szCs w:val="21"/>
                <w:highlight w:val="none"/>
                <w:lang w:val="en-US" w:eastAsia="zh-CN" w:bidi="ar-SA"/>
              </w:rPr>
              <w:t>亚</w:t>
            </w:r>
            <w:r>
              <w:rPr>
                <w:rFonts w:hint="eastAsia" w:ascii="Times New Roman" w:hAnsi="Times New Roman" w:eastAsia="宋体" w:cs="Times New Roman"/>
                <w:b w:val="0"/>
                <w:bCs/>
                <w:color w:val="auto"/>
                <w:kern w:val="2"/>
                <w:sz w:val="21"/>
                <w:szCs w:val="21"/>
                <w:highlight w:val="none"/>
                <w:lang w:val="en-US" w:eastAsia="zh-CN" w:bidi="ar-SA"/>
              </w:rPr>
              <w:t>铁50</w:t>
            </w:r>
            <w:r>
              <w:rPr>
                <w:rFonts w:hint="default" w:ascii="Times New Roman" w:hAnsi="Times New Roman" w:eastAsia="宋体" w:cs="Times New Roman"/>
                <w:b w:val="0"/>
                <w:bCs/>
                <w:color w:val="auto"/>
                <w:kern w:val="2"/>
                <w:sz w:val="21"/>
                <w:szCs w:val="21"/>
                <w:highlight w:val="none"/>
                <w:lang w:val="en-US" w:eastAsia="zh-CN" w:bidi="ar-SA"/>
              </w:rPr>
              <w:t>吨/年</w:t>
            </w:r>
            <w:r>
              <w:rPr>
                <w:rFonts w:hint="eastAsia" w:ascii="Times New Roman" w:hAnsi="Times New Roman" w:eastAsia="宋体"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甘氨酸钙</w:t>
            </w:r>
            <w:r>
              <w:rPr>
                <w:rFonts w:hint="eastAsia" w:cs="Times New Roman"/>
                <w:b w:val="0"/>
                <w:bCs/>
                <w:color w:val="auto"/>
                <w:kern w:val="2"/>
                <w:sz w:val="21"/>
                <w:szCs w:val="21"/>
                <w:highlight w:val="none"/>
                <w:lang w:val="en-US" w:eastAsia="zh-CN" w:bidi="ar-SA"/>
              </w:rPr>
              <w:t>（镁、锌）100</w:t>
            </w:r>
            <w:r>
              <w:rPr>
                <w:rFonts w:hint="default" w:ascii="Times New Roman" w:hAnsi="Times New Roman" w:eastAsia="宋体" w:cs="Times New Roman"/>
                <w:b w:val="0"/>
                <w:bCs/>
                <w:color w:val="auto"/>
                <w:kern w:val="2"/>
                <w:sz w:val="21"/>
                <w:szCs w:val="21"/>
                <w:highlight w:val="none"/>
                <w:lang w:val="en-US" w:eastAsia="zh-CN" w:bidi="ar-SA"/>
              </w:rPr>
              <w:t>吨/年、甘氨酸</w:t>
            </w:r>
            <w:r>
              <w:rPr>
                <w:rFonts w:hint="eastAsia" w:ascii="Times New Roman" w:hAnsi="Times New Roman" w:eastAsia="宋体" w:cs="Times New Roman"/>
                <w:b w:val="0"/>
                <w:bCs/>
                <w:color w:val="auto"/>
                <w:kern w:val="2"/>
                <w:sz w:val="21"/>
                <w:szCs w:val="21"/>
                <w:highlight w:val="none"/>
                <w:lang w:val="en-US" w:eastAsia="zh-CN" w:bidi="ar-SA"/>
              </w:rPr>
              <w:t>铜</w:t>
            </w:r>
            <w:r>
              <w:rPr>
                <w:rFonts w:hint="eastAsia" w:cs="Times New Roman"/>
                <w:b w:val="0"/>
                <w:bCs/>
                <w:color w:val="auto"/>
                <w:kern w:val="2"/>
                <w:sz w:val="21"/>
                <w:szCs w:val="21"/>
                <w:highlight w:val="none"/>
                <w:lang w:val="en-US" w:eastAsia="zh-CN" w:bidi="ar-SA"/>
              </w:rPr>
              <w:t>50</w:t>
            </w:r>
            <w:r>
              <w:rPr>
                <w:rFonts w:hint="default" w:ascii="Times New Roman" w:hAnsi="Times New Roman" w:eastAsia="宋体" w:cs="Times New Roman"/>
                <w:b w:val="0"/>
                <w:bCs/>
                <w:color w:val="auto"/>
                <w:kern w:val="2"/>
                <w:sz w:val="21"/>
                <w:szCs w:val="21"/>
                <w:highlight w:val="none"/>
                <w:lang w:val="en-US" w:eastAsia="zh-CN" w:bidi="ar-SA"/>
              </w:rPr>
              <w:t>吨/年、甘氨酸</w:t>
            </w:r>
            <w:r>
              <w:rPr>
                <w:rFonts w:hint="eastAsia" w:cs="Times New Roman"/>
                <w:b w:val="0"/>
                <w:bCs/>
                <w:color w:val="auto"/>
                <w:kern w:val="2"/>
                <w:sz w:val="21"/>
                <w:szCs w:val="21"/>
                <w:highlight w:val="none"/>
                <w:lang w:val="en-US" w:eastAsia="zh-CN" w:bidi="ar-SA"/>
              </w:rPr>
              <w:t>钠碳酸盐100</w:t>
            </w:r>
            <w:r>
              <w:rPr>
                <w:rFonts w:hint="default" w:ascii="Times New Roman" w:hAnsi="Times New Roman" w:eastAsia="宋体" w:cs="Times New Roman"/>
                <w:b w:val="0"/>
                <w:bCs/>
                <w:color w:val="auto"/>
                <w:kern w:val="2"/>
                <w:sz w:val="21"/>
                <w:szCs w:val="21"/>
                <w:highlight w:val="none"/>
                <w:lang w:val="en-US" w:eastAsia="zh-CN" w:bidi="ar-SA"/>
              </w:rPr>
              <w:t>吨/年</w:t>
            </w:r>
            <w:r>
              <w:rPr>
                <w:rFonts w:hint="eastAsia" w:cs="Times New Roman"/>
                <w:b w:val="0"/>
                <w:bCs/>
                <w:color w:val="auto"/>
                <w:kern w:val="2"/>
                <w:sz w:val="21"/>
                <w:szCs w:val="21"/>
                <w:highlight w:val="none"/>
                <w:lang w:val="en-US" w:eastAsia="zh-CN" w:bidi="ar-SA"/>
              </w:rPr>
              <w:t>、氨基乙酸钠4000t/a、甘氨酸镁 3000t/a 或甘氨酸锌 1800t/a</w:t>
            </w:r>
            <w:r>
              <w:rPr>
                <w:rFonts w:hint="default" w:ascii="Times New Roman" w:hAnsi="Times New Roman" w:eastAsia="宋体" w:cs="Times New Roman"/>
                <w:b w:val="0"/>
                <w:bCs/>
                <w:color w:val="auto"/>
                <w:kern w:val="2"/>
                <w:sz w:val="21"/>
                <w:szCs w:val="21"/>
                <w:highlight w:val="none"/>
                <w:lang w:val="en-US" w:eastAsia="zh-CN" w:bidi="ar-SA"/>
              </w:rPr>
              <w:t>等</w:t>
            </w:r>
            <w:r>
              <w:rPr>
                <w:rFonts w:hint="eastAsia" w:cs="Times New Roman"/>
                <w:b w:val="0"/>
                <w:bCs/>
                <w:color w:val="auto"/>
                <w:kern w:val="2"/>
                <w:sz w:val="21"/>
                <w:szCs w:val="21"/>
                <w:highlight w:val="none"/>
                <w:lang w:val="en-US" w:eastAsia="zh-CN" w:bidi="ar-SA"/>
              </w:rPr>
              <w:t>。</w:t>
            </w:r>
          </w:p>
          <w:p w14:paraId="4BACEFB9">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outlineLvl w:val="1"/>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该公司各项目环保手续齐全</w:t>
            </w:r>
            <w:r>
              <w:rPr>
                <w:rFonts w:hint="eastAsia" w:cs="Times New Roman"/>
                <w:color w:val="auto"/>
                <w:spacing w:val="0"/>
                <w:w w:val="100"/>
                <w:position w:val="0"/>
                <w:sz w:val="21"/>
                <w:szCs w:val="21"/>
                <w:highlight w:val="none"/>
                <w:lang w:eastAsia="zh-CN"/>
              </w:rPr>
              <w:t>（详见“现有环保手续”章节）</w:t>
            </w:r>
            <w:r>
              <w:rPr>
                <w:rFonts w:hint="default" w:ascii="Times New Roman" w:hAnsi="Times New Roman" w:eastAsia="宋体" w:cs="Times New Roman"/>
                <w:color w:val="auto"/>
                <w:spacing w:val="0"/>
                <w:w w:val="100"/>
                <w:position w:val="0"/>
                <w:sz w:val="21"/>
                <w:szCs w:val="21"/>
                <w:highlight w:val="none"/>
              </w:rPr>
              <w:t>，并</w:t>
            </w:r>
            <w:r>
              <w:rPr>
                <w:rFonts w:hint="default" w:ascii="Times New Roman" w:hAnsi="Times New Roman" w:eastAsia="宋体" w:cs="Times New Roman"/>
                <w:color w:val="auto"/>
                <w:spacing w:val="0"/>
                <w:w w:val="100"/>
                <w:position w:val="0"/>
                <w:sz w:val="21"/>
                <w:szCs w:val="21"/>
                <w:highlight w:val="none"/>
                <w:lang w:val="en-US" w:eastAsia="zh-CN"/>
              </w:rPr>
              <w:t>取得了</w:t>
            </w:r>
            <w:r>
              <w:rPr>
                <w:rFonts w:hint="default" w:ascii="Times New Roman" w:hAnsi="Times New Roman" w:eastAsia="宋体" w:cs="Times New Roman"/>
                <w:color w:val="auto"/>
                <w:spacing w:val="0"/>
                <w:w w:val="100"/>
                <w:position w:val="0"/>
                <w:sz w:val="21"/>
                <w:szCs w:val="21"/>
                <w:highlight w:val="none"/>
              </w:rPr>
              <w:t>排污许可证</w:t>
            </w:r>
            <w:r>
              <w:rPr>
                <w:rFonts w:hint="default" w:ascii="Times New Roman" w:hAnsi="Times New Roman" w:eastAsia="宋体"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91130193104681023N001Z</w:t>
            </w:r>
            <w:r>
              <w:rPr>
                <w:rFonts w:hint="default" w:ascii="Times New Roman" w:hAnsi="Times New Roman" w:eastAsia="宋体"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w:t>
            </w:r>
          </w:p>
          <w:p w14:paraId="449AC53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东华金龙作为中国最大工业级甘氨酸生产企业，销量占国内市场的50%，食品级甘氨酸和甘氨酸微量元素螯合物作为公司近些年研发的产品，大多经外贸公司出口到部分欧美国家。</w:t>
            </w:r>
            <w:r>
              <w:rPr>
                <w:rFonts w:hint="default"/>
                <w:color w:val="auto"/>
                <w:sz w:val="21"/>
                <w:szCs w:val="21"/>
                <w:highlight w:val="none"/>
              </w:rPr>
              <w:t>甘氨酸亚铁作为一种重要的微量元素补充剂，在食品添加剂等领域有着广泛的应用。随着</w:t>
            </w:r>
            <w:r>
              <w:rPr>
                <w:rFonts w:hint="eastAsia"/>
                <w:color w:val="auto"/>
                <w:sz w:val="21"/>
                <w:szCs w:val="21"/>
                <w:highlight w:val="none"/>
                <w:lang w:val="en-US" w:eastAsia="zh-CN"/>
              </w:rPr>
              <w:t>国民健康意识提升</w:t>
            </w:r>
            <w:r>
              <w:rPr>
                <w:rFonts w:hint="default"/>
                <w:color w:val="auto"/>
                <w:sz w:val="21"/>
                <w:szCs w:val="21"/>
                <w:highlight w:val="none"/>
              </w:rPr>
              <w:t>以及农业现代化进程的加快，甘氨酸亚铁的需求量呈现出稳步增长的趋势。2023年，中国甘氨酸亚铁市场规模达到了约15.6亿元人民币，同比增长了8.7%。食品添加剂领域则占到了25%，作为营养强化剂添加到各类食品中。在进出口方面，2023年中国甘氨酸亚铁出口量为1.2万吨，同比增长了10.5%，主要出口至东南亚、欧洲和南美洲等地:进口量为0.3万吨，同比下降了5.6%,这表明国内生产能力已经能够满足大部分市场需求，并且部分产品还具有一定的</w:t>
            </w:r>
            <w:r>
              <w:rPr>
                <w:rFonts w:hint="eastAsia"/>
                <w:color w:val="auto"/>
                <w:sz w:val="21"/>
                <w:szCs w:val="21"/>
                <w:highlight w:val="none"/>
                <w:lang w:val="en-US" w:eastAsia="zh-CN"/>
              </w:rPr>
              <w:t>国际</w:t>
            </w:r>
            <w:r>
              <w:rPr>
                <w:rFonts w:hint="default"/>
                <w:color w:val="auto"/>
                <w:sz w:val="21"/>
                <w:szCs w:val="21"/>
                <w:highlight w:val="none"/>
              </w:rPr>
              <w:t>展望</w:t>
            </w:r>
            <w:r>
              <w:rPr>
                <w:rFonts w:hint="eastAsia"/>
                <w:color w:val="auto"/>
                <w:sz w:val="21"/>
                <w:szCs w:val="21"/>
                <w:highlight w:val="none"/>
                <w:lang w:eastAsia="zh-CN"/>
              </w:rPr>
              <w:t>。</w:t>
            </w:r>
            <w:r>
              <w:rPr>
                <w:rFonts w:hint="default"/>
                <w:color w:val="auto"/>
                <w:sz w:val="21"/>
                <w:szCs w:val="21"/>
                <w:highlight w:val="none"/>
              </w:rPr>
              <w:t>预计到2025年，中国甘氨酸亚铁市场规模将达到19.8亿元人民币左右，复合年均增长率约为10</w:t>
            </w:r>
            <w:r>
              <w:rPr>
                <w:rFonts w:hint="default" w:ascii="Times New Roman" w:hAnsi="Times New Roman" w:eastAsia="宋体" w:cs="Times New Roman"/>
                <w:color w:val="auto"/>
                <w:sz w:val="21"/>
                <w:szCs w:val="21"/>
                <w:highlight w:val="none"/>
              </w:rPr>
              <w:t>.3%。在居民健康需求提升及政策支持下，甘氨酸亚铁市场空间将进一步扩大，行业整体向高质量、高品质方向发展。</w:t>
            </w:r>
            <w:r>
              <w:rPr>
                <w:rFonts w:hint="eastAsia" w:ascii="Times New Roman" w:hAnsi="Times New Roman" w:eastAsia="宋体" w:cs="Times New Roman"/>
                <w:color w:val="auto"/>
                <w:sz w:val="21"/>
                <w:szCs w:val="21"/>
                <w:highlight w:val="none"/>
                <w:lang w:val="en-US" w:eastAsia="zh-CN"/>
              </w:rPr>
              <w:t>因此</w:t>
            </w:r>
            <w:r>
              <w:rPr>
                <w:rFonts w:hint="default" w:ascii="Times New Roman" w:hAnsi="Times New Roman" w:eastAsia="宋体" w:cs="Times New Roman"/>
                <w:color w:val="auto"/>
                <w:sz w:val="21"/>
                <w:szCs w:val="21"/>
                <w:highlight w:val="none"/>
              </w:rPr>
              <w:t>，公司</w:t>
            </w:r>
            <w:r>
              <w:rPr>
                <w:rFonts w:hint="eastAsia" w:ascii="Times New Roman" w:hAnsi="Times New Roman" w:eastAsia="宋体" w:cs="Times New Roman"/>
                <w:color w:val="auto"/>
                <w:sz w:val="21"/>
                <w:szCs w:val="21"/>
                <w:highlight w:val="none"/>
                <w:lang w:val="en-US" w:eastAsia="zh-CN"/>
              </w:rPr>
              <w:t>决定投资</w:t>
            </w:r>
            <w:r>
              <w:rPr>
                <w:rFonts w:hint="eastAsia"/>
                <w:color w:val="auto"/>
                <w:kern w:val="0"/>
                <w:sz w:val="21"/>
                <w:szCs w:val="21"/>
                <w:highlight w:val="none"/>
                <w:lang w:eastAsia="zh-CN"/>
              </w:rPr>
              <w:t>548.44</w:t>
            </w:r>
            <w:r>
              <w:rPr>
                <w:rFonts w:hint="eastAsia" w:ascii="Times New Roman" w:hAnsi="Times New Roman" w:eastAsia="宋体" w:cs="Times New Roman"/>
                <w:color w:val="auto"/>
                <w:sz w:val="21"/>
                <w:szCs w:val="21"/>
                <w:highlight w:val="none"/>
                <w:lang w:val="en-US" w:eastAsia="zh-CN"/>
              </w:rPr>
              <w:t>万元，在现有厂房</w:t>
            </w:r>
            <w:r>
              <w:rPr>
                <w:rFonts w:hint="default" w:ascii="Times New Roman" w:hAnsi="Times New Roman" w:eastAsia="宋体" w:cs="Times New Roman"/>
                <w:color w:val="auto"/>
                <w:sz w:val="21"/>
                <w:szCs w:val="21"/>
                <w:highlight w:val="none"/>
              </w:rPr>
              <w:t>甘氨酸螯合物一车间</w:t>
            </w:r>
            <w:r>
              <w:rPr>
                <w:rFonts w:hint="eastAsia" w:ascii="Times New Roman" w:hAnsi="Times New Roman" w:eastAsia="宋体" w:cs="Times New Roman"/>
                <w:color w:val="auto"/>
                <w:sz w:val="21"/>
                <w:szCs w:val="21"/>
                <w:highlight w:val="none"/>
                <w:lang w:val="en-US" w:eastAsia="zh-CN"/>
              </w:rPr>
              <w:t>内</w:t>
            </w:r>
            <w:r>
              <w:rPr>
                <w:rFonts w:hint="default" w:ascii="Times New Roman" w:hAnsi="Times New Roman" w:eastAsia="宋体" w:cs="Times New Roman"/>
                <w:color w:val="auto"/>
                <w:sz w:val="21"/>
                <w:szCs w:val="21"/>
                <w:highlight w:val="none"/>
              </w:rPr>
              <w:t>实施甘氨酸亚铁扩能改造项目。</w:t>
            </w:r>
            <w:r>
              <w:rPr>
                <w:rFonts w:hint="default" w:ascii="Times New Roman" w:hAnsi="Times New Roman" w:eastAsia="宋体" w:cs="Times New Roman"/>
                <w:b w:val="0"/>
                <w:bCs/>
                <w:color w:val="auto"/>
                <w:kern w:val="2"/>
                <w:sz w:val="21"/>
                <w:szCs w:val="21"/>
                <w:highlight w:val="none"/>
                <w:lang w:val="en-US" w:eastAsia="zh-CN" w:bidi="ar-SA"/>
              </w:rPr>
              <w:t>目前，本项目已在石家庄高新技术产业开发区行政审批局备案，备案编号：石高审循化投资备字〔2026〕29 号，</w:t>
            </w:r>
            <w:r>
              <w:rPr>
                <w:rFonts w:hint="eastAsia" w:cs="Times New Roman"/>
                <w:b w:val="0"/>
                <w:bCs/>
                <w:color w:val="auto"/>
                <w:kern w:val="2"/>
                <w:sz w:val="21"/>
                <w:szCs w:val="21"/>
                <w:highlight w:val="none"/>
                <w:lang w:val="en-US" w:eastAsia="zh-CN" w:bidi="ar-SA"/>
              </w:rPr>
              <w:t>本</w:t>
            </w:r>
            <w:r>
              <w:rPr>
                <w:rFonts w:hint="default"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改扩建完成</w:t>
            </w:r>
            <w:r>
              <w:rPr>
                <w:rFonts w:hint="default" w:ascii="Times New Roman" w:hAnsi="Times New Roman" w:eastAsia="宋体" w:cs="Times New Roman"/>
                <w:b w:val="0"/>
                <w:bCs/>
                <w:color w:val="auto"/>
                <w:kern w:val="2"/>
                <w:sz w:val="21"/>
                <w:szCs w:val="21"/>
                <w:highlight w:val="none"/>
                <w:lang w:val="en-US" w:eastAsia="zh-CN" w:bidi="ar-SA"/>
              </w:rPr>
              <w:t>后年产甘氨酸</w:t>
            </w:r>
            <w:r>
              <w:rPr>
                <w:rFonts w:hint="eastAsia" w:cs="Times New Roman"/>
                <w:b w:val="0"/>
                <w:bCs/>
                <w:color w:val="auto"/>
                <w:kern w:val="2"/>
                <w:sz w:val="21"/>
                <w:szCs w:val="21"/>
                <w:highlight w:val="none"/>
                <w:lang w:val="en-US" w:eastAsia="zh-CN" w:bidi="ar-SA"/>
              </w:rPr>
              <w:t>亚铁</w:t>
            </w:r>
            <w:r>
              <w:rPr>
                <w:rFonts w:hint="default" w:ascii="Times New Roman" w:hAnsi="Times New Roman" w:eastAsia="宋体" w:cs="Times New Roman"/>
                <w:b w:val="0"/>
                <w:bCs/>
                <w:color w:val="auto"/>
                <w:kern w:val="2"/>
                <w:sz w:val="21"/>
                <w:szCs w:val="21"/>
                <w:highlight w:val="none"/>
                <w:lang w:val="en-US" w:eastAsia="zh-CN" w:bidi="ar-SA"/>
              </w:rPr>
              <w:t>300吨。</w:t>
            </w:r>
          </w:p>
          <w:p w14:paraId="7E3B7E79">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根据《中华人民共和国环境保护法》和《中华人民共和国环境影响评价法》，本项目应进行环境影响评价工作。根据</w:t>
            </w:r>
            <w:r>
              <w:rPr>
                <w:rFonts w:hint="eastAsia" w:cs="Times New Roman"/>
                <w:b w:val="0"/>
                <w:bCs/>
                <w:color w:val="auto"/>
                <w:kern w:val="2"/>
                <w:sz w:val="21"/>
                <w:szCs w:val="21"/>
                <w:highlight w:val="none"/>
                <w:lang w:val="en-US" w:eastAsia="zh-CN" w:bidi="ar-SA"/>
              </w:rPr>
              <w:t>《国民经济行业分类》GB/T 4754-2017</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本项目属于“C1495食品及饲料添加剂制造；食品用营养强化剂”；根据</w:t>
            </w:r>
            <w:r>
              <w:rPr>
                <w:rFonts w:hint="default" w:ascii="Times New Roman" w:hAnsi="Times New Roman" w:eastAsia="宋体" w:cs="Times New Roman"/>
                <w:b w:val="0"/>
                <w:bCs/>
                <w:color w:val="auto"/>
                <w:kern w:val="2"/>
                <w:sz w:val="21"/>
                <w:szCs w:val="21"/>
                <w:highlight w:val="none"/>
                <w:lang w:val="en-US" w:eastAsia="zh-CN" w:bidi="ar-SA"/>
              </w:rPr>
              <w:t>《建设项目环境保护分类管理名录》（2021年版），本项目属于</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十一、食品制造业14；24其他食品制造149；无发酵工艺的食品及饲料添加剂制造</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，应编制环境影响评价报告表。</w:t>
            </w:r>
          </w:p>
          <w:p w14:paraId="3E1B49F8">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eastAsia"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（二）项目概况</w:t>
            </w:r>
          </w:p>
          <w:p w14:paraId="6F0C5752">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（1）项目名称：</w:t>
            </w:r>
            <w:r>
              <w:rPr>
                <w:rFonts w:hint="eastAsia" w:cs="Times New Roman"/>
                <w:b w:val="0"/>
                <w:bCs/>
                <w:color w:val="auto"/>
                <w:kern w:val="2"/>
                <w:sz w:val="21"/>
                <w:szCs w:val="21"/>
                <w:highlight w:val="none"/>
                <w:lang w:val="en-US" w:eastAsia="zh-CN" w:bidi="ar-SA"/>
              </w:rPr>
              <w:t>石家庄东华金龙化工有限公司甘氨酸亚铁扩能改造项目</w:t>
            </w:r>
          </w:p>
          <w:p w14:paraId="1587C056">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（2）建设单位：石家庄东华金龙化工有限公司</w:t>
            </w:r>
          </w:p>
          <w:p w14:paraId="5D37E679">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（3）建设性质：</w:t>
            </w:r>
            <w:r>
              <w:rPr>
                <w:rFonts w:hint="eastAsia" w:cs="Times New Roman"/>
                <w:b w:val="0"/>
                <w:bCs/>
                <w:color w:val="auto"/>
                <w:kern w:val="2"/>
                <w:sz w:val="21"/>
                <w:szCs w:val="21"/>
                <w:highlight w:val="none"/>
                <w:lang w:val="en-US" w:eastAsia="zh-CN" w:bidi="ar-SA"/>
              </w:rPr>
              <w:t>改</w:t>
            </w:r>
            <w:r>
              <w:rPr>
                <w:rFonts w:hint="default" w:ascii="Times New Roman" w:hAnsi="Times New Roman" w:eastAsia="宋体" w:cs="Times New Roman"/>
                <w:b w:val="0"/>
                <w:bCs/>
                <w:color w:val="auto"/>
                <w:kern w:val="2"/>
                <w:sz w:val="21"/>
                <w:szCs w:val="21"/>
                <w:highlight w:val="none"/>
                <w:lang w:val="en-US" w:eastAsia="zh-CN" w:bidi="ar-SA"/>
              </w:rPr>
              <w:t>扩建</w:t>
            </w:r>
          </w:p>
          <w:p w14:paraId="4318AFDC">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（4）项目投资：项目总投资</w:t>
            </w:r>
            <w:r>
              <w:rPr>
                <w:rFonts w:hint="eastAsia"/>
                <w:color w:val="auto"/>
                <w:kern w:val="0"/>
                <w:sz w:val="21"/>
                <w:szCs w:val="21"/>
                <w:highlight w:val="none"/>
                <w:lang w:eastAsia="zh-CN"/>
              </w:rPr>
              <w:t>548.44</w:t>
            </w:r>
            <w:r>
              <w:rPr>
                <w:rFonts w:hint="default" w:ascii="Times New Roman" w:hAnsi="Times New Roman" w:eastAsia="宋体" w:cs="Times New Roman"/>
                <w:b w:val="0"/>
                <w:bCs/>
                <w:color w:val="auto"/>
                <w:kern w:val="2"/>
                <w:sz w:val="21"/>
                <w:szCs w:val="21"/>
                <w:highlight w:val="none"/>
                <w:lang w:val="en-US" w:eastAsia="zh-CN" w:bidi="ar-SA"/>
              </w:rPr>
              <w:t>万元，其中环保投资</w:t>
            </w:r>
            <w:r>
              <w:rPr>
                <w:rFonts w:hint="eastAsia" w:cs="Times New Roman"/>
                <w:b w:val="0"/>
                <w:bCs/>
                <w:color w:val="auto"/>
                <w:kern w:val="2"/>
                <w:sz w:val="21"/>
                <w:szCs w:val="21"/>
                <w:highlight w:val="none"/>
                <w:lang w:val="en-US" w:eastAsia="zh-CN" w:bidi="ar-SA"/>
              </w:rPr>
              <w:t>10</w:t>
            </w:r>
            <w:r>
              <w:rPr>
                <w:rFonts w:hint="default" w:ascii="Times New Roman" w:hAnsi="Times New Roman" w:eastAsia="宋体" w:cs="Times New Roman"/>
                <w:b w:val="0"/>
                <w:bCs/>
                <w:color w:val="auto"/>
                <w:kern w:val="2"/>
                <w:sz w:val="21"/>
                <w:szCs w:val="21"/>
                <w:highlight w:val="none"/>
                <w:lang w:val="en-US" w:eastAsia="zh-CN" w:bidi="ar-SA"/>
              </w:rPr>
              <w:t>万元，占总投资的</w:t>
            </w:r>
            <w:r>
              <w:rPr>
                <w:rFonts w:hint="eastAsia" w:cs="Times New Roman"/>
                <w:b w:val="0"/>
                <w:bCs/>
                <w:color w:val="auto"/>
                <w:kern w:val="2"/>
                <w:sz w:val="21"/>
                <w:szCs w:val="21"/>
                <w:highlight w:val="none"/>
                <w:lang w:val="en-US" w:eastAsia="zh-CN" w:bidi="ar-SA"/>
              </w:rPr>
              <w:t>1.82</w:t>
            </w:r>
            <w:r>
              <w:rPr>
                <w:rFonts w:hint="default" w:ascii="Times New Roman" w:hAnsi="Times New Roman" w:eastAsia="宋体" w:cs="Times New Roman"/>
                <w:b w:val="0"/>
                <w:bCs/>
                <w:color w:val="auto"/>
                <w:kern w:val="2"/>
                <w:sz w:val="21"/>
                <w:szCs w:val="21"/>
                <w:highlight w:val="none"/>
                <w:lang w:val="en-US" w:eastAsia="zh-CN" w:bidi="ar-SA"/>
              </w:rPr>
              <w:t>%</w:t>
            </w:r>
          </w:p>
          <w:p w14:paraId="20A5BB90">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（5）建设地点：本项目位于石家庄高新区化工中路100号，石家庄东华金龙化工有限公司厂区内。</w:t>
            </w:r>
            <w:r>
              <w:rPr>
                <w:rFonts w:hint="eastAsia" w:cs="Times New Roman"/>
                <w:b w:val="0"/>
                <w:bCs/>
                <w:color w:val="auto"/>
                <w:kern w:val="2"/>
                <w:sz w:val="21"/>
                <w:szCs w:val="21"/>
                <w:highlight w:val="none"/>
                <w:lang w:val="en-US" w:eastAsia="zh-CN" w:bidi="ar-SA"/>
              </w:rPr>
              <w:t>本项目</w:t>
            </w:r>
            <w:r>
              <w:rPr>
                <w:rFonts w:hint="default" w:ascii="Times New Roman" w:hAnsi="Times New Roman" w:eastAsia="宋体" w:cs="Times New Roman"/>
                <w:b w:val="0"/>
                <w:bCs/>
                <w:color w:val="auto"/>
                <w:kern w:val="2"/>
                <w:sz w:val="21"/>
                <w:szCs w:val="21"/>
                <w:highlight w:val="none"/>
                <w:lang w:val="en-US" w:eastAsia="zh-CN" w:bidi="ar-SA"/>
              </w:rPr>
              <w:t>厂址中心地理坐标为北纬</w:t>
            </w:r>
            <w:r>
              <w:rPr>
                <w:rFonts w:hint="eastAsia" w:ascii="Times New Roman" w:hAnsi="Times New Roman" w:eastAsia="宋体" w:cs="Times New Roman"/>
                <w:color w:val="auto"/>
                <w:sz w:val="21"/>
                <w:szCs w:val="21"/>
                <w:highlight w:val="none"/>
                <w:u w:val="none"/>
                <w:lang w:val="en-US" w:eastAsia="zh-CN"/>
              </w:rPr>
              <w:t>37</w:t>
            </w:r>
            <w:r>
              <w:rPr>
                <w:rFonts w:hint="default" w:ascii="Times New Roman" w:hAnsi="Times New Roman" w:eastAsia="宋体" w:cs="Times New Roman"/>
                <w:color w:val="auto"/>
                <w:sz w:val="21"/>
                <w:szCs w:val="21"/>
                <w:highlight w:val="none"/>
                <w:u w:val="none"/>
              </w:rPr>
              <w:t>度</w:t>
            </w:r>
            <w:r>
              <w:rPr>
                <w:rFonts w:hint="eastAsia" w:cs="Times New Roman"/>
                <w:color w:val="auto"/>
                <w:sz w:val="21"/>
                <w:szCs w:val="21"/>
                <w:highlight w:val="none"/>
                <w:u w:val="none"/>
                <w:lang w:val="en-US" w:eastAsia="zh-CN"/>
              </w:rPr>
              <w:t>57</w:t>
            </w:r>
            <w:r>
              <w:rPr>
                <w:rFonts w:hint="default" w:ascii="Times New Roman" w:hAnsi="Times New Roman" w:eastAsia="宋体" w:cs="Times New Roman"/>
                <w:color w:val="auto"/>
                <w:sz w:val="21"/>
                <w:szCs w:val="21"/>
                <w:highlight w:val="none"/>
                <w:u w:val="none"/>
              </w:rPr>
              <w:t>分</w:t>
            </w:r>
            <w:r>
              <w:rPr>
                <w:rFonts w:hint="eastAsia" w:cs="Times New Roman"/>
                <w:color w:val="auto"/>
                <w:sz w:val="21"/>
                <w:szCs w:val="21"/>
                <w:highlight w:val="none"/>
                <w:u w:val="none"/>
                <w:lang w:val="en-US" w:eastAsia="zh-CN"/>
              </w:rPr>
              <w:t>46.889</w:t>
            </w:r>
            <w:r>
              <w:rPr>
                <w:rFonts w:hint="default" w:ascii="Times New Roman" w:hAnsi="Times New Roman" w:eastAsia="宋体" w:cs="Times New Roman"/>
                <w:color w:val="auto"/>
                <w:sz w:val="21"/>
                <w:szCs w:val="21"/>
                <w:highlight w:val="none"/>
                <w:u w:val="none"/>
              </w:rPr>
              <w:t>秒</w:t>
            </w:r>
            <w:r>
              <w:rPr>
                <w:rFonts w:hint="eastAsia" w:ascii="Times New Roman" w:hAnsi="Times New Roman" w:eastAsia="宋体" w:cs="Times New Roman"/>
                <w:color w:val="auto"/>
                <w:sz w:val="21"/>
                <w:szCs w:val="21"/>
                <w:highlight w:val="none"/>
                <w:u w:val="none"/>
                <w:lang w:eastAsia="zh-CN"/>
              </w:rPr>
              <w:t>，</w:t>
            </w:r>
            <w:r>
              <w:rPr>
                <w:rFonts w:hint="eastAsia" w:ascii="Times New Roman" w:hAnsi="Times New Roman" w:eastAsia="宋体" w:cs="Times New Roman"/>
                <w:color w:val="auto"/>
                <w:sz w:val="21"/>
                <w:szCs w:val="21"/>
                <w:highlight w:val="none"/>
                <w:u w:val="none"/>
                <w:lang w:val="en-US" w:eastAsia="zh-CN"/>
              </w:rPr>
              <w:t>东经11</w:t>
            </w:r>
            <w:r>
              <w:rPr>
                <w:rFonts w:hint="eastAsia" w:cs="Times New Roman"/>
                <w:color w:val="auto"/>
                <w:sz w:val="21"/>
                <w:szCs w:val="21"/>
                <w:highlight w:val="none"/>
                <w:u w:val="none"/>
                <w:lang w:val="en-US" w:eastAsia="zh-CN"/>
              </w:rPr>
              <w:t>4</w:t>
            </w:r>
            <w:r>
              <w:rPr>
                <w:rFonts w:hint="default" w:ascii="Times New Roman" w:hAnsi="Times New Roman" w:eastAsia="宋体" w:cs="Times New Roman"/>
                <w:color w:val="auto"/>
                <w:sz w:val="21"/>
                <w:szCs w:val="21"/>
                <w:highlight w:val="none"/>
                <w:u w:val="none"/>
              </w:rPr>
              <w:t>度</w:t>
            </w:r>
            <w:r>
              <w:rPr>
                <w:rFonts w:hint="eastAsia" w:cs="Times New Roman"/>
                <w:color w:val="auto"/>
                <w:sz w:val="21"/>
                <w:szCs w:val="21"/>
                <w:highlight w:val="none"/>
                <w:u w:val="none"/>
                <w:lang w:val="en-US" w:eastAsia="zh-CN"/>
              </w:rPr>
              <w:t>40</w:t>
            </w:r>
            <w:r>
              <w:rPr>
                <w:rFonts w:hint="default" w:ascii="Times New Roman" w:hAnsi="Times New Roman" w:eastAsia="宋体" w:cs="Times New Roman"/>
                <w:color w:val="auto"/>
                <w:sz w:val="21"/>
                <w:szCs w:val="21"/>
                <w:highlight w:val="none"/>
                <w:u w:val="none"/>
              </w:rPr>
              <w:t>分</w:t>
            </w:r>
            <w:r>
              <w:rPr>
                <w:rFonts w:hint="eastAsia" w:cs="Times New Roman"/>
                <w:color w:val="auto"/>
                <w:sz w:val="21"/>
                <w:szCs w:val="21"/>
                <w:highlight w:val="none"/>
                <w:u w:val="none"/>
                <w:lang w:val="en-US" w:eastAsia="zh-CN"/>
              </w:rPr>
              <w:t>21.967</w:t>
            </w:r>
            <w:r>
              <w:rPr>
                <w:rFonts w:hint="default" w:ascii="Times New Roman" w:hAnsi="Times New Roman" w:eastAsia="宋体" w:cs="Times New Roman"/>
                <w:color w:val="auto"/>
                <w:sz w:val="21"/>
                <w:szCs w:val="21"/>
                <w:highlight w:val="none"/>
                <w:u w:val="none"/>
              </w:rPr>
              <w:t>秒</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厂界</w:t>
            </w:r>
            <w:r>
              <w:rPr>
                <w:rFonts w:hint="default" w:ascii="Times New Roman" w:hAnsi="Times New Roman" w:eastAsia="宋体" w:cs="Times New Roman"/>
                <w:b w:val="0"/>
                <w:bCs/>
                <w:color w:val="auto"/>
                <w:kern w:val="2"/>
                <w:sz w:val="21"/>
                <w:szCs w:val="21"/>
                <w:highlight w:val="none"/>
                <w:lang w:val="en-US" w:eastAsia="zh-CN" w:bidi="ar-SA"/>
              </w:rPr>
              <w:t>西南侧为东汇化工园区供水有限公司、河北省电力公司220kV石化变电站，</w:t>
            </w:r>
            <w:r>
              <w:rPr>
                <w:rFonts w:hint="eastAsia" w:cs="Times New Roman"/>
                <w:b w:val="0"/>
                <w:bCs/>
                <w:color w:val="auto"/>
                <w:kern w:val="2"/>
                <w:sz w:val="21"/>
                <w:szCs w:val="21"/>
                <w:highlight w:val="none"/>
                <w:lang w:val="en-US" w:eastAsia="zh-CN" w:bidi="ar-SA"/>
              </w:rPr>
              <w:t>西侧</w:t>
            </w:r>
            <w:r>
              <w:rPr>
                <w:rFonts w:hint="default" w:ascii="Times New Roman" w:hAnsi="Times New Roman" w:eastAsia="宋体" w:cs="Times New Roman"/>
                <w:b w:val="0"/>
                <w:bCs/>
                <w:color w:val="auto"/>
                <w:kern w:val="2"/>
                <w:sz w:val="21"/>
                <w:szCs w:val="21"/>
                <w:highlight w:val="none"/>
                <w:lang w:val="en-US" w:eastAsia="zh-CN" w:bidi="ar-SA"/>
              </w:rPr>
              <w:t>隔石炼中</w:t>
            </w:r>
            <w:r>
              <w:rPr>
                <w:rFonts w:hint="eastAsia" w:cs="Times New Roman"/>
                <w:b w:val="0"/>
                <w:bCs/>
                <w:color w:val="auto"/>
                <w:kern w:val="2"/>
                <w:sz w:val="21"/>
                <w:szCs w:val="21"/>
                <w:highlight w:val="none"/>
                <w:lang w:val="en-US" w:eastAsia="zh-CN" w:bidi="ar-SA"/>
              </w:rPr>
              <w:t>街</w:t>
            </w:r>
            <w:r>
              <w:rPr>
                <w:rFonts w:hint="default" w:ascii="Times New Roman" w:hAnsi="Times New Roman" w:eastAsia="宋体" w:cs="Times New Roman"/>
                <w:b w:val="0"/>
                <w:bCs/>
                <w:color w:val="auto"/>
                <w:kern w:val="2"/>
                <w:sz w:val="21"/>
                <w:szCs w:val="21"/>
                <w:highlight w:val="none"/>
                <w:lang w:val="en-US" w:eastAsia="zh-CN" w:bidi="ar-SA"/>
              </w:rPr>
              <w:t>自北向南依次为河北旭隆化工有限公司、</w:t>
            </w:r>
            <w:r>
              <w:rPr>
                <w:rFonts w:hint="eastAsia" w:cs="Times New Roman"/>
                <w:b w:val="0"/>
                <w:bCs/>
                <w:color w:val="auto"/>
                <w:kern w:val="2"/>
                <w:sz w:val="21"/>
                <w:szCs w:val="21"/>
                <w:highlight w:val="none"/>
                <w:lang w:val="en-US" w:eastAsia="zh-CN" w:bidi="ar-SA"/>
              </w:rPr>
              <w:t>河北协同化学</w:t>
            </w:r>
            <w:r>
              <w:rPr>
                <w:rFonts w:hint="default" w:ascii="Times New Roman" w:hAnsi="Times New Roman" w:eastAsia="宋体" w:cs="Times New Roman"/>
                <w:b w:val="0"/>
                <w:bCs/>
                <w:color w:val="auto"/>
                <w:kern w:val="2"/>
                <w:sz w:val="21"/>
                <w:szCs w:val="21"/>
                <w:highlight w:val="none"/>
                <w:lang w:val="en-US" w:eastAsia="zh-CN" w:bidi="ar-SA"/>
              </w:rPr>
              <w:t>有限公司、石家庄白龙化工股份有限公司；南侧为规划的化工南路</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目前为空地</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空地；东侧为河北威远生物化工有限公司；北临化工中路、北侧隔道路为河北八维化工有限公司；东北侧为晋控金石化工集团有限公司石家庄循环化工园区分公司。项目厂界外500m范围内无环境保护目标。项目地理位置图见附图1，项目与周边关系示意图见附图2。</w:t>
            </w:r>
          </w:p>
          <w:p w14:paraId="04911E94">
            <w:pPr>
              <w:keepNext w:val="0"/>
              <w:keepLines w:val="0"/>
              <w:widowControl w:val="0"/>
              <w:kinsoku/>
              <w:autoSpaceDE/>
              <w:autoSpaceDN/>
              <w:adjustRightInd/>
              <w:snapToGrid/>
              <w:spacing w:beforeLines="0" w:beforeAutospacing="0" w:afterLines="0" w:afterAutospacing="0" w:line="360" w:lineRule="auto"/>
              <w:ind w:firstLine="420" w:firstLineChars="200"/>
              <w:jc w:val="both"/>
              <w:outlineLvl w:val="1"/>
              <w:rPr>
                <w:rFonts w:hint="eastAsia"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（6）</w:t>
            </w:r>
            <w:bookmarkStart w:id="19" w:name="OLE_LINK6"/>
            <w:r>
              <w:rPr>
                <w:rFonts w:hint="default" w:ascii="Times New Roman" w:hAnsi="Times New Roman" w:eastAsia="宋体" w:cs="Times New Roman"/>
                <w:b w:val="0"/>
                <w:bCs/>
                <w:color w:val="auto"/>
                <w:kern w:val="2"/>
                <w:sz w:val="21"/>
                <w:szCs w:val="21"/>
                <w:highlight w:val="none"/>
                <w:lang w:val="en-US" w:eastAsia="zh-CN" w:bidi="ar-SA"/>
              </w:rPr>
              <w:t>建设内容及规模</w:t>
            </w:r>
            <w:bookmarkEnd w:id="19"/>
            <w:r>
              <w:rPr>
                <w:rFonts w:hint="default" w:ascii="Times New Roman" w:hAnsi="Times New Roman" w:eastAsia="宋体" w:cs="Times New Roman"/>
                <w:b w:val="0"/>
                <w:bCs/>
                <w:color w:val="auto"/>
                <w:kern w:val="2"/>
                <w:sz w:val="21"/>
                <w:szCs w:val="21"/>
                <w:highlight w:val="none"/>
                <w:lang w:val="en-US" w:eastAsia="zh-CN" w:bidi="ar-SA"/>
              </w:rPr>
              <w:t>：对甘氨酸螯合物一车间进行扩能改造，改造完成后甘氨酸亚铁产能由原来50吨/年增加至300吨/年。拆除原有喷雾干燥系统、加热系统、粉碎机、冷凝器、布袋除尘器、离心机、水计量罐、风机、水吸收塔、酸吸收塔、水循环泵、酸循环泵等共计13台（套），新增反应釜、离心机、喷雾干燥系统成套、加热系统成套、料液槽、料液泵、粉碎设备成套、风机、尾气处理系统成套，除尘风机等生产及配套设备约17台（套）。</w:t>
            </w:r>
          </w:p>
          <w:p w14:paraId="3AAA6366">
            <w:pPr>
              <w:keepNext w:val="0"/>
              <w:keepLines w:val="0"/>
              <w:widowControl w:val="0"/>
              <w:kinsoku/>
              <w:autoSpaceDE/>
              <w:autoSpaceDN/>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本项目工程内容及组成见</w:t>
            </w:r>
            <w:r>
              <w:rPr>
                <w:rFonts w:hint="default" w:ascii="Times New Roman" w:hAnsi="Times New Roman" w:eastAsia="宋体" w:cs="Times New Roman"/>
                <w:b w:val="0"/>
                <w:bCs w:val="0"/>
                <w:color w:val="auto"/>
                <w:kern w:val="2"/>
                <w:sz w:val="21"/>
                <w:szCs w:val="21"/>
                <w:highlight w:val="none"/>
                <w:lang w:val="en-US" w:eastAsia="zh-CN" w:bidi="ar-SA"/>
              </w:rPr>
              <w:t>表2-1，本项目使用构建筑物依托已有厂房，仅进行厂房内设备、设施安装</w:t>
            </w:r>
            <w:r>
              <w:rPr>
                <w:rFonts w:hint="default" w:ascii="Times New Roman" w:hAnsi="Times New Roman" w:eastAsia="宋体" w:cs="Times New Roman"/>
                <w:b w:val="0"/>
                <w:bCs/>
                <w:color w:val="auto"/>
                <w:kern w:val="2"/>
                <w:sz w:val="21"/>
                <w:szCs w:val="21"/>
                <w:highlight w:val="none"/>
                <w:lang w:val="en-US" w:eastAsia="zh-CN" w:bidi="ar-SA"/>
              </w:rPr>
              <w:t>。</w:t>
            </w:r>
          </w:p>
          <w:p w14:paraId="61C7AB37">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 2-</w:t>
            </w:r>
            <w:r>
              <w:rPr>
                <w:rFonts w:hint="eastAsia" w:ascii="Times New Roman" w:hAnsi="Times New Roman" w:eastAsia="宋体" w:cs="Times New Roman"/>
                <w:b/>
                <w:bCs/>
                <w:color w:val="auto"/>
                <w:sz w:val="21"/>
                <w:szCs w:val="21"/>
                <w:highlight w:val="none"/>
                <w:lang w:val="en-US" w:eastAsia="zh-CN"/>
              </w:rPr>
              <w:t>1</w:t>
            </w:r>
            <w:r>
              <w:rPr>
                <w:rFonts w:hint="default" w:ascii="Times New Roman" w:hAnsi="Times New Roman" w:eastAsia="宋体" w:cs="Times New Roman"/>
                <w:b/>
                <w:bCs/>
                <w:color w:val="auto"/>
                <w:sz w:val="21"/>
                <w:szCs w:val="21"/>
                <w:highlight w:val="none"/>
                <w:lang w:val="en-US" w:eastAsia="zh-CN"/>
              </w:rPr>
              <w:t xml:space="preserve"> 项目工程组成及内容一览表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5"/>
              <w:gridCol w:w="1507"/>
              <w:gridCol w:w="4845"/>
              <w:gridCol w:w="918"/>
            </w:tblGrid>
            <w:tr w14:paraId="7F48F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tcBorders>
                    <w:tl2br w:val="nil"/>
                    <w:tr2bl w:val="nil"/>
                  </w:tcBorders>
                  <w:noWrap w:val="0"/>
                  <w:vAlign w:val="center"/>
                </w:tcPr>
                <w:p w14:paraId="78C27E3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工程分类</w:t>
                  </w:r>
                </w:p>
              </w:tc>
              <w:tc>
                <w:tcPr>
                  <w:tcW w:w="949" w:type="pct"/>
                  <w:tcBorders>
                    <w:tl2br w:val="nil"/>
                    <w:tr2bl w:val="nil"/>
                  </w:tcBorders>
                  <w:noWrap w:val="0"/>
                  <w:vAlign w:val="center"/>
                </w:tcPr>
                <w:p w14:paraId="33E94B09">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名称</w:t>
                  </w:r>
                </w:p>
              </w:tc>
              <w:tc>
                <w:tcPr>
                  <w:tcW w:w="3052" w:type="pct"/>
                  <w:tcBorders>
                    <w:tl2br w:val="nil"/>
                    <w:tr2bl w:val="nil"/>
                  </w:tcBorders>
                  <w:noWrap w:val="0"/>
                  <w:vAlign w:val="center"/>
                </w:tcPr>
                <w:p w14:paraId="439CCDEB">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建设内容</w:t>
                  </w:r>
                </w:p>
              </w:tc>
              <w:tc>
                <w:tcPr>
                  <w:tcW w:w="578" w:type="pct"/>
                  <w:tcBorders>
                    <w:tl2br w:val="nil"/>
                    <w:tr2bl w:val="nil"/>
                  </w:tcBorders>
                  <w:noWrap w:val="0"/>
                  <w:vAlign w:val="center"/>
                </w:tcPr>
                <w:p w14:paraId="0BBC0C41">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备注</w:t>
                  </w:r>
                </w:p>
              </w:tc>
            </w:tr>
            <w:tr w14:paraId="47818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tcBorders>
                    <w:tl2br w:val="nil"/>
                    <w:tr2bl w:val="nil"/>
                  </w:tcBorders>
                  <w:noWrap w:val="0"/>
                  <w:vAlign w:val="center"/>
                </w:tcPr>
                <w:p w14:paraId="5C683B5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主体工程</w:t>
                  </w:r>
                </w:p>
              </w:tc>
              <w:tc>
                <w:tcPr>
                  <w:tcW w:w="949" w:type="pct"/>
                  <w:tcBorders>
                    <w:tl2br w:val="nil"/>
                    <w:tr2bl w:val="nil"/>
                  </w:tcBorders>
                  <w:noWrap w:val="0"/>
                  <w:vAlign w:val="center"/>
                </w:tcPr>
                <w:p w14:paraId="5838264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b w:val="0"/>
                      <w:bCs/>
                      <w:color w:val="auto"/>
                      <w:kern w:val="2"/>
                      <w:sz w:val="21"/>
                      <w:szCs w:val="21"/>
                      <w:highlight w:val="none"/>
                      <w:lang w:val="en-US" w:eastAsia="zh-CN" w:bidi="ar-SA"/>
                    </w:rPr>
                    <w:t>甘氨酸螯合物一车间</w:t>
                  </w:r>
                </w:p>
              </w:tc>
              <w:tc>
                <w:tcPr>
                  <w:tcW w:w="3052" w:type="pct"/>
                  <w:tcBorders>
                    <w:tl2br w:val="nil"/>
                    <w:tr2bl w:val="nil"/>
                  </w:tcBorders>
                  <w:noWrap w:val="0"/>
                  <w:vAlign w:val="center"/>
                </w:tcPr>
                <w:p w14:paraId="0B147F87">
                  <w:pPr>
                    <w:pStyle w:val="35"/>
                    <w:keepNext w:val="0"/>
                    <w:keepLines w:val="0"/>
                    <w:pageBreakBefore w:val="0"/>
                    <w:widowControl w:val="0"/>
                    <w:kinsoku/>
                    <w:wordWrap/>
                    <w:overflowPunct/>
                    <w:topLinePunct w:val="0"/>
                    <w:autoSpaceDE/>
                    <w:autoSpaceDN/>
                    <w:bidi w:val="0"/>
                    <w:adjustRightInd/>
                    <w:snapToGrid w:val="0"/>
                    <w:spacing w:beforeLines="0" w:line="240" w:lineRule="auto"/>
                    <w:ind w:left="0" w:leftChars="0" w:firstLine="0" w:firstLineChars="0"/>
                    <w:jc w:val="both"/>
                    <w:textAlignment w:val="auto"/>
                    <w:rPr>
                      <w:rFonts w:hint="default" w:ascii="Times New Roman" w:hAns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一车间楼高约8 m，共1.5层（局部二层设置），总建筑面积1560</w:t>
                  </w:r>
                  <w:r>
                    <w:rPr>
                      <w:rFonts w:hint="default" w:ascii="Times New Roman" w:hAnsi="Times New Roman" w:eastAsia="宋体" w:cs="Times New Roman"/>
                      <w:color w:val="auto"/>
                      <w:sz w:val="21"/>
                      <w:szCs w:val="21"/>
                      <w:highlight w:val="none"/>
                      <w:vertAlign w:val="baseline"/>
                      <w:lang w:val="en-US" w:eastAsia="zh-CN" w:bidi="ar-SA"/>
                    </w:rPr>
                    <w:t>m</w:t>
                  </w:r>
                  <w:r>
                    <w:rPr>
                      <w:rFonts w:hint="default" w:ascii="Times New Roman" w:hAnsi="Times New Roman" w:eastAsia="宋体" w:cs="Times New Roman"/>
                      <w:color w:val="auto"/>
                      <w:sz w:val="21"/>
                      <w:szCs w:val="21"/>
                      <w:highlight w:val="none"/>
                      <w:vertAlign w:val="superscript"/>
                      <w:lang w:val="en-US" w:eastAsia="zh-CN" w:bidi="ar-SA"/>
                    </w:rPr>
                    <w:t>2</w:t>
                  </w:r>
                  <w:r>
                    <w:rPr>
                      <w:rFonts w:hint="eastAsia" w:ascii="Times New Roman" w:hAnsi="Times New Roman" w:cs="Times New Roman"/>
                      <w:color w:val="auto"/>
                      <w:sz w:val="21"/>
                      <w:szCs w:val="21"/>
                      <w:highlight w:val="none"/>
                      <w:vertAlign w:val="baseline"/>
                      <w:lang w:val="en-US" w:eastAsia="zh-CN" w:bidi="ar-SA"/>
                    </w:rPr>
                    <w:t>，总占地面积1040</w:t>
                  </w:r>
                  <w:r>
                    <w:rPr>
                      <w:rFonts w:hint="default" w:ascii="Times New Roman" w:hAnsi="Times New Roman" w:eastAsia="宋体" w:cs="Times New Roman"/>
                      <w:color w:val="auto"/>
                      <w:sz w:val="21"/>
                      <w:szCs w:val="21"/>
                      <w:highlight w:val="none"/>
                      <w:vertAlign w:val="baseline"/>
                      <w:lang w:val="en-US" w:eastAsia="zh-CN" w:bidi="ar-SA"/>
                    </w:rPr>
                    <w:t>m</w:t>
                  </w:r>
                  <w:r>
                    <w:rPr>
                      <w:rFonts w:hint="default" w:ascii="Times New Roman" w:hAnsi="Times New Roman" w:eastAsia="宋体" w:cs="Times New Roman"/>
                      <w:color w:val="auto"/>
                      <w:sz w:val="21"/>
                      <w:szCs w:val="21"/>
                      <w:highlight w:val="none"/>
                      <w:vertAlign w:val="superscript"/>
                      <w:lang w:val="en-US" w:eastAsia="zh-CN" w:bidi="ar-SA"/>
                    </w:rPr>
                    <w:t>2</w:t>
                  </w:r>
                  <w:r>
                    <w:rPr>
                      <w:rFonts w:hint="eastAsia" w:ascii="Times New Roman" w:hAnsi="Times New Roman" w:cs="Times New Roman"/>
                      <w:color w:val="auto"/>
                      <w:sz w:val="21"/>
                      <w:szCs w:val="21"/>
                      <w:highlight w:val="none"/>
                      <w:vertAlign w:val="baseline"/>
                      <w:lang w:val="en-US" w:eastAsia="zh-CN" w:bidi="ar-SA"/>
                    </w:rPr>
                    <w:t>，利用公司现有甘氨酸螯合物一车间进行建设。将厂区内原甘氨酸螯合物一车间产能增加，设备调整。</w:t>
                  </w:r>
                </w:p>
              </w:tc>
              <w:tc>
                <w:tcPr>
                  <w:tcW w:w="578" w:type="pct"/>
                  <w:tcBorders>
                    <w:tl2br w:val="nil"/>
                    <w:tr2bl w:val="nil"/>
                  </w:tcBorders>
                  <w:noWrap w:val="0"/>
                  <w:vAlign w:val="center"/>
                </w:tcPr>
                <w:p w14:paraId="007D4476">
                  <w:pPr>
                    <w:pStyle w:val="35"/>
                    <w:keepNext w:val="0"/>
                    <w:keepLines w:val="0"/>
                    <w:pageBreakBefore w:val="0"/>
                    <w:widowControl w:val="0"/>
                    <w:kinsoku/>
                    <w:wordWrap/>
                    <w:overflowPunct/>
                    <w:topLinePunct w:val="0"/>
                    <w:autoSpaceDE/>
                    <w:autoSpaceDN/>
                    <w:bidi w:val="0"/>
                    <w:adjustRightInd/>
                    <w:spacing w:beforeLines="0" w:line="240" w:lineRule="auto"/>
                    <w:ind w:left="0" w:leftChars="0" w:firstLine="0" w:firstLineChars="0"/>
                    <w:jc w:val="center"/>
                    <w:textAlignment w:val="auto"/>
                    <w:rPr>
                      <w:rFonts w:hint="default"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厂房</w:t>
                  </w:r>
                  <w:r>
                    <w:rPr>
                      <w:rFonts w:hint="eastAsia" w:ascii="Times New Roman" w:hAnsi="Times New Roman" w:cs="Times New Roman"/>
                      <w:color w:val="auto"/>
                      <w:sz w:val="21"/>
                      <w:szCs w:val="21"/>
                      <w:highlight w:val="none"/>
                      <w:vertAlign w:val="baseline"/>
                      <w:lang w:val="en-US" w:eastAsia="zh-CN" w:bidi="ar-SA"/>
                    </w:rPr>
                    <w:t>依托</w:t>
                  </w:r>
                  <w:r>
                    <w:rPr>
                      <w:rFonts w:hint="eastAsia" w:ascii="Times New Roman" w:cs="Times New Roman"/>
                      <w:color w:val="auto"/>
                      <w:sz w:val="21"/>
                      <w:szCs w:val="21"/>
                      <w:highlight w:val="none"/>
                      <w:vertAlign w:val="baseline"/>
                      <w:lang w:val="en-US" w:eastAsia="zh-CN" w:bidi="ar-SA"/>
                    </w:rPr>
                    <w:t>，设备新增</w:t>
                  </w:r>
                </w:p>
              </w:tc>
            </w:tr>
            <w:tr w14:paraId="30A54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restart"/>
                  <w:tcBorders>
                    <w:tl2br w:val="nil"/>
                    <w:tr2bl w:val="nil"/>
                  </w:tcBorders>
                  <w:noWrap w:val="0"/>
                  <w:vAlign w:val="center"/>
                </w:tcPr>
                <w:p w14:paraId="3C8ECBA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公</w:t>
                  </w:r>
                  <w:r>
                    <w:rPr>
                      <w:rFonts w:hint="eastAsia" w:ascii="Times New Roman" w:hAnsi="Times New Roman" w:cs="Times New Roman"/>
                      <w:color w:val="auto"/>
                      <w:sz w:val="21"/>
                      <w:szCs w:val="21"/>
                      <w:highlight w:val="none"/>
                      <w:vertAlign w:val="baseline"/>
                      <w:lang w:val="en-US" w:eastAsia="zh-CN" w:bidi="ar-SA"/>
                    </w:rPr>
                    <w:t>用</w:t>
                  </w:r>
                  <w:r>
                    <w:rPr>
                      <w:rFonts w:hint="default" w:ascii="Times New Roman" w:hAnsi="Times New Roman" w:eastAsia="宋体" w:cs="Times New Roman"/>
                      <w:color w:val="auto"/>
                      <w:sz w:val="21"/>
                      <w:szCs w:val="21"/>
                      <w:highlight w:val="none"/>
                      <w:vertAlign w:val="baseline"/>
                      <w:lang w:val="en-US" w:eastAsia="zh-CN" w:bidi="ar-SA"/>
                    </w:rPr>
                    <w:t>工程</w:t>
                  </w:r>
                </w:p>
              </w:tc>
              <w:tc>
                <w:tcPr>
                  <w:tcW w:w="949" w:type="pct"/>
                  <w:tcBorders>
                    <w:tl2br w:val="nil"/>
                    <w:tr2bl w:val="nil"/>
                  </w:tcBorders>
                  <w:noWrap w:val="0"/>
                  <w:vAlign w:val="center"/>
                </w:tcPr>
                <w:p w14:paraId="617BB45E">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供水</w:t>
                  </w:r>
                </w:p>
              </w:tc>
              <w:tc>
                <w:tcPr>
                  <w:tcW w:w="3052" w:type="pct"/>
                  <w:tcBorders>
                    <w:tl2br w:val="nil"/>
                    <w:tr2bl w:val="nil"/>
                  </w:tcBorders>
                  <w:noWrap w:val="0"/>
                  <w:vAlign w:val="center"/>
                </w:tcPr>
                <w:p w14:paraId="5B08BCAC">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由</w:t>
                  </w:r>
                  <w:r>
                    <w:rPr>
                      <w:rFonts w:hint="eastAsia" w:ascii="Times New Roman" w:hAnsi="Times New Roman" w:cs="Times New Roman"/>
                      <w:color w:val="auto"/>
                      <w:spacing w:val="0"/>
                      <w:w w:val="100"/>
                      <w:position w:val="0"/>
                      <w:sz w:val="21"/>
                      <w:szCs w:val="21"/>
                      <w:highlight w:val="none"/>
                      <w:lang w:val="en-US" w:eastAsia="zh-CN"/>
                    </w:rPr>
                    <w:t>石家庄高新技术产业开发区循环化工园区</w:t>
                  </w:r>
                  <w:r>
                    <w:rPr>
                      <w:rFonts w:hint="default" w:ascii="Times New Roman" w:hAnsi="Times New Roman" w:eastAsia="宋体" w:cs="Times New Roman"/>
                      <w:color w:val="auto"/>
                      <w:spacing w:val="0"/>
                      <w:w w:val="100"/>
                      <w:position w:val="0"/>
                      <w:sz w:val="21"/>
                      <w:szCs w:val="21"/>
                      <w:highlight w:val="none"/>
                      <w:lang w:val="en-US" w:eastAsia="zh-CN"/>
                    </w:rPr>
                    <w:t>统一供给</w:t>
                  </w:r>
                </w:p>
              </w:tc>
              <w:tc>
                <w:tcPr>
                  <w:tcW w:w="578" w:type="pct"/>
                  <w:tcBorders>
                    <w:tl2br w:val="nil"/>
                    <w:tr2bl w:val="nil"/>
                  </w:tcBorders>
                  <w:noWrap w:val="0"/>
                  <w:vAlign w:val="center"/>
                </w:tcPr>
                <w:p w14:paraId="7C91276B">
                  <w:pPr>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依托</w:t>
                  </w:r>
                </w:p>
              </w:tc>
            </w:tr>
            <w:tr w14:paraId="52990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1D2B798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5EE91CFC">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供电</w:t>
                  </w:r>
                </w:p>
              </w:tc>
              <w:tc>
                <w:tcPr>
                  <w:tcW w:w="3052" w:type="pct"/>
                  <w:tcBorders>
                    <w:tl2br w:val="nil"/>
                    <w:tr2bl w:val="nil"/>
                  </w:tcBorders>
                  <w:noWrap w:val="0"/>
                  <w:vAlign w:val="center"/>
                </w:tcPr>
                <w:p w14:paraId="1D5DDBF5">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厂内设置6台变压器，并配置相应高压开关柜、低压配电屏及电容器补偿设施</w:t>
                  </w:r>
                </w:p>
              </w:tc>
              <w:tc>
                <w:tcPr>
                  <w:tcW w:w="578" w:type="pct"/>
                  <w:tcBorders>
                    <w:tl2br w:val="nil"/>
                    <w:tr2bl w:val="nil"/>
                  </w:tcBorders>
                  <w:noWrap w:val="0"/>
                  <w:vAlign w:val="center"/>
                </w:tcPr>
                <w:p w14:paraId="0CA9643B">
                  <w:pPr>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eastAsia"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依托</w:t>
                  </w:r>
                </w:p>
              </w:tc>
            </w:tr>
            <w:tr w14:paraId="3E0AB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1D276008">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1387E2EE">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供热</w:t>
                  </w:r>
                </w:p>
              </w:tc>
              <w:tc>
                <w:tcPr>
                  <w:tcW w:w="3052" w:type="pct"/>
                  <w:tcBorders>
                    <w:tl2br w:val="nil"/>
                    <w:tr2bl w:val="nil"/>
                  </w:tcBorders>
                  <w:noWrap w:val="0"/>
                  <w:vAlign w:val="center"/>
                </w:tcPr>
                <w:p w14:paraId="64EAE203">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eastAsia"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蒸汽由园区供热企业河北旭隆化工有限公司和晋煤金石化工集团有限公司提供</w:t>
                  </w:r>
                </w:p>
              </w:tc>
              <w:tc>
                <w:tcPr>
                  <w:tcW w:w="578" w:type="pct"/>
                  <w:tcBorders>
                    <w:tl2br w:val="nil"/>
                    <w:tr2bl w:val="nil"/>
                  </w:tcBorders>
                  <w:noWrap w:val="0"/>
                  <w:vAlign w:val="center"/>
                </w:tcPr>
                <w:p w14:paraId="0D7CB608">
                  <w:pPr>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依托</w:t>
                  </w:r>
                </w:p>
              </w:tc>
            </w:tr>
            <w:tr w14:paraId="2A99B0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54C31A3C">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132BD370">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pacing w:val="0"/>
                      <w:w w:val="100"/>
                      <w:position w:val="0"/>
                      <w:sz w:val="21"/>
                      <w:szCs w:val="21"/>
                      <w:highlight w:val="none"/>
                      <w:lang w:val="en-US" w:eastAsia="zh-CN"/>
                    </w:rPr>
                    <w:t>软水制备</w:t>
                  </w:r>
                </w:p>
              </w:tc>
              <w:tc>
                <w:tcPr>
                  <w:tcW w:w="3052" w:type="pct"/>
                  <w:tcBorders>
                    <w:tl2br w:val="nil"/>
                    <w:tr2bl w:val="nil"/>
                  </w:tcBorders>
                  <w:noWrap w:val="0"/>
                  <w:vAlign w:val="center"/>
                </w:tcPr>
                <w:p w14:paraId="38D08E0E">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pacing w:val="0"/>
                      <w:w w:val="100"/>
                      <w:position w:val="0"/>
                      <w:sz w:val="21"/>
                      <w:szCs w:val="21"/>
                      <w:highlight w:val="none"/>
                      <w:lang w:val="en-US" w:eastAsia="zh-CN"/>
                    </w:rPr>
                    <w:t>反渗透处理装置1套，处理能力4t/h</w:t>
                  </w:r>
                </w:p>
              </w:tc>
              <w:tc>
                <w:tcPr>
                  <w:tcW w:w="578" w:type="pct"/>
                  <w:tcBorders>
                    <w:tl2br w:val="nil"/>
                    <w:tr2bl w:val="nil"/>
                  </w:tcBorders>
                  <w:noWrap w:val="0"/>
                  <w:vAlign w:val="center"/>
                </w:tcPr>
                <w:p w14:paraId="58C810A0">
                  <w:pPr>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依托</w:t>
                  </w:r>
                </w:p>
              </w:tc>
            </w:tr>
            <w:tr w14:paraId="4A2AA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3F4B71B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4EA5671B">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循环水系统</w:t>
                  </w:r>
                </w:p>
              </w:tc>
              <w:tc>
                <w:tcPr>
                  <w:tcW w:w="3052" w:type="pct"/>
                  <w:tcBorders>
                    <w:tl2br w:val="nil"/>
                    <w:tr2bl w:val="nil"/>
                  </w:tcBorders>
                  <w:noWrap w:val="0"/>
                  <w:vAlign w:val="center"/>
                </w:tcPr>
                <w:p w14:paraId="622C0EAB">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cs="Times New Roman"/>
                      <w:color w:val="auto"/>
                      <w:spacing w:val="0"/>
                      <w:w w:val="100"/>
                      <w:position w:val="0"/>
                      <w:sz w:val="21"/>
                      <w:szCs w:val="21"/>
                      <w:highlight w:val="none"/>
                      <w:lang w:val="en-US" w:eastAsia="zh-CN"/>
                    </w:rPr>
                    <w:t>凉水塔1座，处理能力5</w:t>
                  </w:r>
                  <w:r>
                    <w:rPr>
                      <w:rFonts w:hint="default" w:ascii="Times New Roman" w:hAnsi="Times New Roman" w:eastAsia="宋体" w:cs="Times New Roman"/>
                      <w:color w:val="auto"/>
                      <w:spacing w:val="0"/>
                      <w:w w:val="100"/>
                      <w:position w:val="0"/>
                      <w:sz w:val="21"/>
                      <w:szCs w:val="21"/>
                      <w:highlight w:val="none"/>
                      <w:lang w:val="en-US" w:eastAsia="zh-CN"/>
                    </w:rPr>
                    <w:t>00m</w:t>
                  </w:r>
                  <w:r>
                    <w:rPr>
                      <w:rFonts w:hint="eastAsia"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/h</w:t>
                  </w:r>
                </w:p>
              </w:tc>
              <w:tc>
                <w:tcPr>
                  <w:tcW w:w="578" w:type="pct"/>
                  <w:tcBorders>
                    <w:tl2br w:val="nil"/>
                    <w:tr2bl w:val="nil"/>
                  </w:tcBorders>
                  <w:noWrap w:val="0"/>
                  <w:vAlign w:val="center"/>
                </w:tcPr>
                <w:p w14:paraId="4BB80F5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依托</w:t>
                  </w:r>
                </w:p>
              </w:tc>
            </w:tr>
            <w:tr w14:paraId="3CE5C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064CF3C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356A9662">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低温水系统</w:t>
                  </w:r>
                </w:p>
              </w:tc>
              <w:tc>
                <w:tcPr>
                  <w:tcW w:w="3052" w:type="pct"/>
                  <w:tcBorders>
                    <w:tl2br w:val="nil"/>
                    <w:tr2bl w:val="nil"/>
                  </w:tcBorders>
                  <w:noWrap w:val="0"/>
                  <w:vAlign w:val="center"/>
                </w:tcPr>
                <w:p w14:paraId="579CD173">
                  <w:pPr>
                    <w:keepNext w:val="0"/>
                    <w:keepLines w:val="0"/>
                    <w:pageBreakBefore w:val="0"/>
                    <w:widowControl w:val="0"/>
                    <w:suppressLineNumbers w:val="0"/>
                    <w:shd w:val="clear" w:color="auto" w:fill="auto"/>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center"/>
                    <w:textAlignment w:val="auto"/>
                    <w:rPr>
                      <w:rFonts w:hint="eastAsia"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现有-15℃冷冻机组7台，</w:t>
                  </w:r>
                  <w:r>
                    <w:rPr>
                      <w:rFonts w:hint="default" w:ascii="Times New Roman" w:hAnsi="Times New Roman" w:eastAsia="宋体" w:cs="Times New Roman"/>
                      <w:color w:val="auto"/>
                      <w:sz w:val="21"/>
                      <w:szCs w:val="21"/>
                      <w:highlight w:val="none"/>
                      <w:lang w:val="en-US" w:eastAsia="zh-CN"/>
                    </w:rPr>
                    <w:t>其中氢氟碳化物机组3台，</w:t>
                  </w:r>
                  <w:r>
                    <w:rPr>
                      <w:rFonts w:hint="eastAsia" w:ascii="Times New Roman" w:hAnsi="Times New Roman" w:cs="Times New Roman"/>
                      <w:color w:val="auto"/>
                      <w:sz w:val="21"/>
                      <w:szCs w:val="21"/>
                      <w:highlight w:val="none"/>
                      <w:lang w:val="en-US" w:eastAsia="zh-CN"/>
                    </w:rPr>
                    <w:t>以R32为制冷剂，</w:t>
                  </w:r>
                  <w:r>
                    <w:rPr>
                      <w:rFonts w:hint="default" w:ascii="Times New Roman" w:hAnsi="Times New Roman" w:eastAsia="宋体" w:cs="Times New Roman"/>
                      <w:color w:val="auto"/>
                      <w:sz w:val="21"/>
                      <w:szCs w:val="21"/>
                      <w:highlight w:val="none"/>
                      <w:lang w:val="en-US" w:eastAsia="zh-CN"/>
                    </w:rPr>
                    <w:t>每台制冷量950Kw，液氨制冷剂4台，每台制冷量460Kw</w:t>
                  </w:r>
                </w:p>
              </w:tc>
              <w:tc>
                <w:tcPr>
                  <w:tcW w:w="578" w:type="pct"/>
                  <w:tcBorders>
                    <w:tl2br w:val="nil"/>
                    <w:tr2bl w:val="nil"/>
                  </w:tcBorders>
                  <w:noWrap w:val="0"/>
                  <w:vAlign w:val="center"/>
                </w:tcPr>
                <w:p w14:paraId="1264EBD4">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eastAsia" w:cs="Times New Roman"/>
                      <w:color w:val="auto"/>
                      <w:sz w:val="21"/>
                      <w:szCs w:val="21"/>
                      <w:highlight w:val="none"/>
                      <w:vertAlign w:val="baseline"/>
                      <w:lang w:val="en-US" w:eastAsia="zh-CN" w:bidi="ar-SA"/>
                    </w:rPr>
                  </w:pPr>
                  <w:r>
                    <w:rPr>
                      <w:rFonts w:hint="eastAsia" w:cs="Times New Roman"/>
                      <w:color w:val="auto"/>
                      <w:sz w:val="21"/>
                      <w:szCs w:val="21"/>
                      <w:highlight w:val="none"/>
                      <w:vertAlign w:val="baseline"/>
                      <w:lang w:val="en-US" w:eastAsia="zh-CN" w:bidi="ar-SA"/>
                    </w:rPr>
                    <w:t>依托</w:t>
                  </w:r>
                </w:p>
              </w:tc>
            </w:tr>
            <w:tr w14:paraId="49706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restart"/>
                  <w:tcBorders>
                    <w:tl2br w:val="nil"/>
                    <w:tr2bl w:val="nil"/>
                  </w:tcBorders>
                  <w:noWrap w:val="0"/>
                  <w:vAlign w:val="center"/>
                </w:tcPr>
                <w:p w14:paraId="0F30724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环保工程</w:t>
                  </w:r>
                </w:p>
              </w:tc>
              <w:tc>
                <w:tcPr>
                  <w:tcW w:w="949" w:type="pct"/>
                  <w:tcBorders>
                    <w:tl2br w:val="nil"/>
                    <w:tr2bl w:val="nil"/>
                  </w:tcBorders>
                  <w:noWrap w:val="0"/>
                  <w:vAlign w:val="center"/>
                </w:tcPr>
                <w:p w14:paraId="01227A2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废气</w:t>
                  </w:r>
                </w:p>
              </w:tc>
              <w:tc>
                <w:tcPr>
                  <w:tcW w:w="3052" w:type="pct"/>
                  <w:tcBorders>
                    <w:tl2br w:val="nil"/>
                    <w:tr2bl w:val="nil"/>
                  </w:tcBorders>
                  <w:noWrap w:val="0"/>
                  <w:vAlign w:val="center"/>
                </w:tcPr>
                <w:p w14:paraId="6276368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both"/>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甘氨酸螯合物一车间</w:t>
                  </w:r>
                  <w:r>
                    <w:rPr>
                      <w:rFonts w:hint="default" w:ascii="Times New Roman" w:hAnsi="Times New Roman" w:cs="Times New Roman"/>
                      <w:b w:val="0"/>
                      <w:bCs/>
                      <w:color w:val="auto"/>
                      <w:kern w:val="2"/>
                      <w:sz w:val="21"/>
                      <w:szCs w:val="21"/>
                      <w:highlight w:val="none"/>
                      <w:lang w:val="en-US" w:eastAsia="zh-CN" w:bidi="ar-SA"/>
                    </w:rPr>
                    <w:t>投料、粉碎及包装工序废气经</w:t>
                  </w:r>
                  <w:r>
                    <w:rPr>
                      <w:rFonts w:hint="eastAsia" w:ascii="Times New Roman" w:hAnsi="Times New Roman" w:cs="Times New Roman"/>
                      <w:b w:val="0"/>
                      <w:bCs/>
                      <w:color w:val="5300FF"/>
                      <w:kern w:val="2"/>
                      <w:sz w:val="21"/>
                      <w:szCs w:val="21"/>
                      <w:highlight w:val="none"/>
                      <w:lang w:val="en-US" w:eastAsia="zh-CN" w:bidi="ar-SA"/>
                    </w:rPr>
                    <w:t>集气罩+软帘</w:t>
                  </w:r>
                  <w:r>
                    <w:rPr>
                      <w:rFonts w:hint="default" w:ascii="Times New Roman" w:hAnsi="Times New Roman" w:cs="Times New Roman"/>
                      <w:b w:val="0"/>
                      <w:bCs/>
                      <w:color w:val="5300FF"/>
                      <w:kern w:val="2"/>
                      <w:sz w:val="21"/>
                      <w:szCs w:val="21"/>
                      <w:highlight w:val="none"/>
                      <w:lang w:val="en-US" w:eastAsia="zh-CN" w:bidi="ar-SA"/>
                    </w:rPr>
                    <w:t>收集</w:t>
                  </w:r>
                  <w:r>
                    <w:rPr>
                      <w:rFonts w:hint="default" w:ascii="Times New Roman" w:hAnsi="Times New Roman" w:cs="Times New Roman"/>
                      <w:b w:val="0"/>
                      <w:bCs/>
                      <w:color w:val="auto"/>
                      <w:kern w:val="2"/>
                      <w:sz w:val="21"/>
                      <w:szCs w:val="21"/>
                      <w:highlight w:val="none"/>
                      <w:lang w:val="en-US" w:eastAsia="zh-CN" w:bidi="ar-SA"/>
                    </w:rPr>
                    <w:t>+布袋除尘器处理，喷雾干燥工序废气经密闭管道收集后+水洗塔+酸洗塔处理，两路废气分别处理达标后一并通过一根25m高排气筒（DA028）排放；污水处理站废气依托现有，采用</w:t>
                  </w:r>
                  <w:r>
                    <w:rPr>
                      <w:rFonts w:hint="default" w:ascii="Times New Roman" w:hAnsi="Times New Roman" w:eastAsia="宋体" w:cs="Times New Roman"/>
                      <w:b w:val="0"/>
                      <w:bCs/>
                      <w:color w:val="auto"/>
                      <w:kern w:val="2"/>
                      <w:sz w:val="21"/>
                      <w:szCs w:val="21"/>
                      <w:highlight w:val="none"/>
                      <w:lang w:val="en-US" w:eastAsia="zh-CN" w:bidi="ar-SA"/>
                    </w:rPr>
                    <w:t>各污水处理池上方已加装玻璃钢罩进行收集，废气经管线引至现有</w:t>
                  </w:r>
                  <w:r>
                    <w:rPr>
                      <w:rFonts w:hint="default" w:ascii="Times New Roman" w:hAnsi="Times New Roman" w:cs="Times New Roman"/>
                      <w:b w:val="0"/>
                      <w:bCs/>
                      <w:color w:val="auto"/>
                      <w:kern w:val="2"/>
                      <w:sz w:val="21"/>
                      <w:szCs w:val="21"/>
                      <w:highlight w:val="none"/>
                      <w:lang w:val="en-US" w:eastAsia="zh-CN" w:bidi="ar-SA"/>
                    </w:rPr>
                    <w:t>“水吸收+恒温多级生物滤池”</w:t>
                  </w:r>
                  <w:r>
                    <w:rPr>
                      <w:rFonts w:hint="default" w:ascii="Times New Roman" w:hAnsi="Times New Roman" w:eastAsia="宋体" w:cs="Times New Roman"/>
                      <w:b w:val="0"/>
                      <w:bCs/>
                      <w:color w:val="auto"/>
                      <w:kern w:val="2"/>
                      <w:sz w:val="21"/>
                      <w:szCs w:val="21"/>
                      <w:highlight w:val="none"/>
                      <w:lang w:val="en-US" w:eastAsia="zh-CN" w:bidi="ar-SA"/>
                    </w:rPr>
                    <w:t>装置处理后经1根15m排气筒</w:t>
                  </w:r>
                  <w:r>
                    <w:rPr>
                      <w:rFonts w:hint="default" w:ascii="Times New Roman" w:hAnsi="Times New Roman" w:cs="Times New Roman"/>
                      <w:b w:val="0"/>
                      <w:bCs/>
                      <w:color w:val="auto"/>
                      <w:kern w:val="2"/>
                      <w:sz w:val="21"/>
                      <w:szCs w:val="21"/>
                      <w:highlight w:val="none"/>
                      <w:lang w:val="en-US" w:eastAsia="zh-CN" w:bidi="ar-SA"/>
                    </w:rPr>
                    <w:t>（DA010）</w:t>
                  </w:r>
                  <w:r>
                    <w:rPr>
                      <w:rFonts w:hint="default" w:ascii="Times New Roman" w:hAnsi="Times New Roman" w:eastAsia="宋体" w:cs="Times New Roman"/>
                      <w:b w:val="0"/>
                      <w:bCs/>
                      <w:color w:val="auto"/>
                      <w:kern w:val="2"/>
                      <w:sz w:val="21"/>
                      <w:szCs w:val="21"/>
                      <w:highlight w:val="none"/>
                      <w:lang w:val="en-US" w:eastAsia="zh-CN" w:bidi="ar-SA"/>
                    </w:rPr>
                    <w:t>排放。</w:t>
                  </w:r>
                </w:p>
              </w:tc>
              <w:tc>
                <w:tcPr>
                  <w:tcW w:w="578" w:type="pct"/>
                  <w:tcBorders>
                    <w:tl2br w:val="nil"/>
                    <w:tr2bl w:val="nil"/>
                  </w:tcBorders>
                  <w:noWrap w:val="0"/>
                  <w:vAlign w:val="center"/>
                </w:tcPr>
                <w:p w14:paraId="74EE3E1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新增（淘汰现有）</w:t>
                  </w:r>
                </w:p>
              </w:tc>
            </w:tr>
            <w:tr w14:paraId="6BCB0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71C4B27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7A3324F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废水</w:t>
                  </w:r>
                </w:p>
              </w:tc>
              <w:tc>
                <w:tcPr>
                  <w:tcW w:w="3052" w:type="pct"/>
                  <w:tcBorders>
                    <w:tl2br w:val="nil"/>
                    <w:tr2bl w:val="nil"/>
                  </w:tcBorders>
                  <w:noWrap w:val="0"/>
                  <w:vAlign w:val="center"/>
                </w:tcPr>
                <w:p w14:paraId="67F6FE2A">
                  <w:pPr>
                    <w:pStyle w:val="35"/>
                    <w:keepNext w:val="0"/>
                    <w:keepLines w:val="0"/>
                    <w:pageBreakBefore w:val="0"/>
                    <w:widowControl w:val="0"/>
                    <w:kinsoku/>
                    <w:wordWrap/>
                    <w:overflowPunct/>
                    <w:topLinePunct w:val="0"/>
                    <w:autoSpaceDE/>
                    <w:autoSpaceDN/>
                    <w:bidi w:val="0"/>
                    <w:adjustRightInd/>
                    <w:spacing w:beforeLines="0" w:line="240" w:lineRule="auto"/>
                    <w:ind w:left="0" w:leftChars="0" w:firstLine="0"/>
                    <w:jc w:val="both"/>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hAnsi="Times New Roman" w:cs="Times New Roman"/>
                      <w:color w:val="auto"/>
                      <w:spacing w:val="0"/>
                      <w:w w:val="100"/>
                      <w:position w:val="0"/>
                      <w:sz w:val="21"/>
                      <w:szCs w:val="21"/>
                      <w:highlight w:val="none"/>
                      <w:lang w:val="en-US" w:eastAsia="zh-CN"/>
                    </w:rPr>
                    <w:t>本项目生产废水</w:t>
                  </w:r>
                  <w:r>
                    <w:rPr>
                      <w:rFonts w:hint="default" w:ascii="Times New Roman" w:hAnsi="Times New Roman" w:eastAsia="宋体" w:cs="Times New Roman"/>
                      <w:color w:val="auto"/>
                      <w:spacing w:val="0"/>
                      <w:w w:val="100"/>
                      <w:position w:val="0"/>
                      <w:sz w:val="21"/>
                      <w:szCs w:val="21"/>
                      <w:highlight w:val="none"/>
                      <w:lang w:val="en-US" w:eastAsia="zh-CN"/>
                    </w:rPr>
                    <w:t>送厂综合污水处理站处理。厂综合污水站污水处理能力为1600m³/d，污水处理工艺为</w:t>
                  </w:r>
                  <w:r>
                    <w:rPr>
                      <w:rFonts w:hint="eastAsia" w:ascii="Times New Roman" w:hAnsi="Times New Roman" w:cs="Times New Roman"/>
                      <w:color w:val="auto"/>
                      <w:spacing w:val="0"/>
                      <w:w w:val="100"/>
                      <w:position w:val="0"/>
                      <w:sz w:val="21"/>
                      <w:szCs w:val="21"/>
                      <w:highlight w:val="none"/>
                      <w:lang w:val="en-US" w:eastAsia="zh-CN"/>
                    </w:rPr>
                    <w:t>“</w:t>
                  </w:r>
                  <w:r>
                    <w:rPr>
                      <w:rFonts w:hint="default" w:ascii="Times New Roman" w:hAnsi="Times New Roman" w:eastAsia="宋体" w:cs="Times New Roman"/>
                      <w:color w:val="auto"/>
                      <w:spacing w:val="0"/>
                      <w:w w:val="100"/>
                      <w:position w:val="0"/>
                      <w:sz w:val="21"/>
                      <w:szCs w:val="21"/>
                      <w:highlight w:val="none"/>
                      <w:lang w:val="en-US" w:eastAsia="zh-CN"/>
                    </w:rPr>
                    <w:t>调节池＋初沉池+水解酸化池＋水解酸化池沉淀池+好氧池+一级沉淀池+二级水解酸化池+二级接触氧化池+二级沉淀沉池+混凝气浮</w:t>
                  </w:r>
                  <w:r>
                    <w:rPr>
                      <w:rFonts w:hint="eastAsia" w:ascii="Times New Roman" w:hAnsi="Times New Roman" w:cs="Times New Roman"/>
                      <w:color w:val="auto"/>
                      <w:spacing w:val="0"/>
                      <w:w w:val="100"/>
                      <w:position w:val="0"/>
                      <w:sz w:val="21"/>
                      <w:szCs w:val="21"/>
                      <w:highlight w:val="none"/>
                      <w:lang w:val="en-US" w:eastAsia="zh-CN"/>
                    </w:rPr>
                    <w:t>”</w:t>
                  </w:r>
                  <w:r>
                    <w:rPr>
                      <w:rFonts w:hint="default" w:ascii="Times New Roman" w:hAnsi="Times New Roman" w:eastAsia="宋体" w:cs="Times New Roman"/>
                      <w:color w:val="auto"/>
                      <w:spacing w:val="0"/>
                      <w:w w:val="100"/>
                      <w:position w:val="0"/>
                      <w:sz w:val="21"/>
                      <w:szCs w:val="21"/>
                      <w:highlight w:val="none"/>
                      <w:lang w:val="en-US" w:eastAsia="zh-CN"/>
                    </w:rPr>
                    <w:t>，达标后经管网排入</w:t>
                  </w:r>
                  <w:r>
                    <w:rPr>
                      <w:rFonts w:hint="eastAsia" w:ascii="Times New Roman" w:hAnsi="Times New Roman" w:cs="Times New Roman"/>
                      <w:color w:val="auto"/>
                      <w:spacing w:val="0"/>
                      <w:w w:val="100"/>
                      <w:position w:val="0"/>
                      <w:sz w:val="21"/>
                      <w:szCs w:val="21"/>
                      <w:highlight w:val="none"/>
                      <w:lang w:val="en-US" w:eastAsia="zh-CN"/>
                    </w:rPr>
                    <w:t>石家庄高新区循化环境水务有限公司（良村南污水处理厂）；</w:t>
                  </w:r>
                  <w:r>
                    <w:rPr>
                      <w:rFonts w:hint="default" w:ascii="Times New Roman" w:hAnsi="Times New Roman" w:eastAsia="宋体" w:cs="Times New Roman"/>
                      <w:color w:val="auto"/>
                      <w:spacing w:val="0"/>
                      <w:w w:val="100"/>
                      <w:position w:val="0"/>
                      <w:sz w:val="21"/>
                      <w:szCs w:val="21"/>
                      <w:highlight w:val="none"/>
                      <w:lang w:val="en-US" w:eastAsia="zh-CN"/>
                    </w:rPr>
                    <w:t>排水水质满足《污水综合排放标准》（GB8978-1996）表4三级标准和</w:t>
                  </w:r>
                  <w:r>
                    <w:rPr>
                      <w:rFonts w:hint="eastAsia" w:ascii="Times New Roman" w:hAnsi="Times New Roman" w:cs="Times New Roman"/>
                      <w:color w:val="auto"/>
                      <w:spacing w:val="0"/>
                      <w:w w:val="100"/>
                      <w:position w:val="0"/>
                      <w:sz w:val="21"/>
                      <w:szCs w:val="21"/>
                      <w:highlight w:val="none"/>
                      <w:lang w:val="en-US" w:eastAsia="zh-CN"/>
                    </w:rPr>
                    <w:t>石家庄高新区循化环境水务有限公司（良村南污水处理厂）</w:t>
                  </w:r>
                  <w:r>
                    <w:rPr>
                      <w:rFonts w:hint="default" w:ascii="Times New Roman" w:hAnsi="Times New Roman" w:eastAsia="宋体" w:cs="Times New Roman"/>
                      <w:color w:val="auto"/>
                      <w:spacing w:val="0"/>
                      <w:w w:val="100"/>
                      <w:position w:val="0"/>
                      <w:sz w:val="21"/>
                      <w:szCs w:val="21"/>
                      <w:highlight w:val="none"/>
                      <w:lang w:val="en-US" w:eastAsia="zh-CN"/>
                    </w:rPr>
                    <w:t>进水水质要求</w:t>
                  </w:r>
                  <w:r>
                    <w:rPr>
                      <w:rFonts w:hint="eastAsia" w:ascii="Times New Roman" w:hAnsi="Times New Roman" w:cs="Times New Roman"/>
                      <w:color w:val="auto"/>
                      <w:spacing w:val="0"/>
                      <w:w w:val="100"/>
                      <w:position w:val="0"/>
                      <w:sz w:val="21"/>
                      <w:szCs w:val="21"/>
                      <w:highlight w:val="none"/>
                      <w:lang w:val="en-US" w:eastAsia="zh-CN"/>
                    </w:rPr>
                    <w:t>。</w:t>
                  </w:r>
                </w:p>
              </w:tc>
              <w:tc>
                <w:tcPr>
                  <w:tcW w:w="578" w:type="pct"/>
                  <w:tcBorders>
                    <w:tl2br w:val="nil"/>
                    <w:tr2bl w:val="nil"/>
                  </w:tcBorders>
                  <w:noWrap w:val="0"/>
                  <w:vAlign w:val="center"/>
                </w:tcPr>
                <w:p w14:paraId="09555F91">
                  <w:pPr>
                    <w:pStyle w:val="35"/>
                    <w:keepNext w:val="0"/>
                    <w:keepLines w:val="0"/>
                    <w:pageBreakBefore w:val="0"/>
                    <w:widowControl w:val="0"/>
                    <w:kinsoku/>
                    <w:wordWrap/>
                    <w:overflowPunct/>
                    <w:topLinePunct w:val="0"/>
                    <w:autoSpaceDE/>
                    <w:autoSpaceDN/>
                    <w:bidi w:val="0"/>
                    <w:adjustRightInd/>
                    <w:spacing w:beforeLines="0" w:line="240" w:lineRule="auto"/>
                    <w:ind w:left="0" w:leftChars="0" w:firstLine="0"/>
                    <w:jc w:val="center"/>
                    <w:textAlignment w:val="auto"/>
                    <w:rPr>
                      <w:rFonts w:hint="eastAsia" w:ascii="Times New Roman" w:hAnsi="Times New Roman" w:eastAsia="宋体" w:cs="Times New Roman"/>
                      <w:b w:val="0"/>
                      <w:bCs w:val="0"/>
                      <w:color w:val="auto"/>
                      <w:sz w:val="21"/>
                      <w:szCs w:val="21"/>
                      <w:highlight w:val="none"/>
                      <w:lang w:val="en-US" w:eastAsia="zh-CN"/>
                    </w:rPr>
                  </w:pPr>
                  <w:r>
                    <w:rPr>
                      <w:rFonts w:hint="eastAsia" w:ascii="Times New Roman" w:cs="Times New Roman"/>
                      <w:color w:val="auto"/>
                      <w:sz w:val="21"/>
                      <w:szCs w:val="21"/>
                      <w:highlight w:val="none"/>
                      <w:vertAlign w:val="baseline"/>
                      <w:lang w:val="en-US" w:eastAsia="zh-CN" w:bidi="ar-SA"/>
                    </w:rPr>
                    <w:t>废水依托厂综合污水处理站处理</w:t>
                  </w:r>
                </w:p>
              </w:tc>
            </w:tr>
            <w:tr w14:paraId="74D2F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11498AF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2E8D924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噪声</w:t>
                  </w:r>
                </w:p>
              </w:tc>
              <w:tc>
                <w:tcPr>
                  <w:tcW w:w="3052" w:type="pct"/>
                  <w:tcBorders>
                    <w:tl2br w:val="nil"/>
                    <w:tr2bl w:val="nil"/>
                  </w:tcBorders>
                  <w:noWrap w:val="0"/>
                  <w:vAlign w:val="center"/>
                </w:tcPr>
                <w:p w14:paraId="0952551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both"/>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选用低噪声设备、基础减振、厂房隔声、距离衰减等措施降噪</w:t>
                  </w:r>
                </w:p>
              </w:tc>
              <w:tc>
                <w:tcPr>
                  <w:tcW w:w="578" w:type="pct"/>
                  <w:tcBorders>
                    <w:tl2br w:val="nil"/>
                    <w:tr2bl w:val="nil"/>
                  </w:tcBorders>
                  <w:noWrap w:val="0"/>
                  <w:vAlign w:val="center"/>
                </w:tcPr>
                <w:p w14:paraId="4345E1B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新增</w:t>
                  </w:r>
                </w:p>
              </w:tc>
            </w:tr>
            <w:tr w14:paraId="065B5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4" w:hRule="atLeast"/>
              </w:trPr>
              <w:tc>
                <w:tcPr>
                  <w:tcW w:w="419" w:type="pct"/>
                  <w:vMerge w:val="continue"/>
                  <w:tcBorders>
                    <w:tl2br w:val="nil"/>
                    <w:tr2bl w:val="nil"/>
                  </w:tcBorders>
                  <w:noWrap w:val="0"/>
                  <w:vAlign w:val="center"/>
                </w:tcPr>
                <w:p w14:paraId="4E89AC88">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vMerge w:val="restart"/>
                  <w:tcBorders>
                    <w:tl2br w:val="nil"/>
                    <w:tr2bl w:val="nil"/>
                  </w:tcBorders>
                  <w:noWrap w:val="0"/>
                  <w:vAlign w:val="center"/>
                </w:tcPr>
                <w:p w14:paraId="22CC3F2C">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固废</w:t>
                  </w:r>
                </w:p>
              </w:tc>
              <w:tc>
                <w:tcPr>
                  <w:tcW w:w="3052" w:type="pct"/>
                  <w:tcBorders>
                    <w:tl2br w:val="nil"/>
                    <w:tr2bl w:val="nil"/>
                  </w:tcBorders>
                  <w:noWrap w:val="0"/>
                  <w:vAlign w:val="center"/>
                </w:tcPr>
                <w:p w14:paraId="365295B5">
                  <w:pPr>
                    <w:keepNext w:val="0"/>
                    <w:keepLines w:val="0"/>
                    <w:pageBreakBefore w:val="0"/>
                    <w:widowControl w:val="0"/>
                    <w:suppressLineNumbers w:val="0"/>
                    <w:shd w:val="clear"/>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eastAsia" w:cs="Times New Roman"/>
                      <w:color w:val="0000FF"/>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一般固体废物：废包装袋、废反渗透膜、废布袋，集中收集后，定期外售；除尘灰回用于生产。</w:t>
                  </w:r>
                  <w:r>
                    <w:rPr>
                      <w:rFonts w:hint="eastAsia" w:cs="Times New Roman"/>
                      <w:color w:val="0000FF"/>
                      <w:spacing w:val="0"/>
                      <w:w w:val="100"/>
                      <w:position w:val="0"/>
                      <w:sz w:val="21"/>
                      <w:szCs w:val="21"/>
                      <w:highlight w:val="none"/>
                      <w:lang w:val="en-US" w:eastAsia="zh-CN"/>
                    </w:rPr>
                    <w:t>污泥交由有利用能力单位处置后综合利用。</w:t>
                  </w:r>
                </w:p>
                <w:p w14:paraId="3F5E43B6">
                  <w:pPr>
                    <w:pStyle w:val="21"/>
                    <w:keepNext w:val="0"/>
                    <w:keepLines w:val="0"/>
                    <w:pageBreakBefore w:val="0"/>
                    <w:widowControl w:val="0"/>
                    <w:kinsoku/>
                    <w:wordWrap/>
                    <w:overflowPunct/>
                    <w:topLinePunct w:val="0"/>
                    <w:autoSpaceDE/>
                    <w:autoSpaceDN/>
                    <w:bidi w:val="0"/>
                    <w:adjustRightInd/>
                    <w:snapToGrid/>
                    <w:spacing w:line="240" w:lineRule="auto"/>
                    <w:ind w:left="0" w:leftChars="0"/>
                    <w:textAlignment w:val="auto"/>
                    <w:rPr>
                      <w:rFonts w:hint="default" w:ascii="Times New Roman" w:hAnsi="Times New Roman" w:cs="Times New Roman"/>
                      <w:color w:val="auto"/>
                      <w:sz w:val="21"/>
                      <w:szCs w:val="21"/>
                      <w:highlight w:val="none"/>
                      <w:vertAlign w:val="baseline"/>
                      <w:lang w:val="en-US" w:eastAsia="zh-CN" w:bidi="ar-SA"/>
                    </w:rPr>
                  </w:pPr>
                  <w:r>
                    <w:rPr>
                      <w:rFonts w:hint="eastAsia" w:cs="Times New Roman"/>
                      <w:color w:val="auto"/>
                      <w:spacing w:val="0"/>
                      <w:w w:val="100"/>
                      <w:position w:val="0"/>
                      <w:sz w:val="21"/>
                      <w:szCs w:val="21"/>
                      <w:highlight w:val="none"/>
                      <w:lang w:val="en-US" w:eastAsia="zh-CN"/>
                    </w:rPr>
                    <w:t>危险废物：</w:t>
                  </w:r>
                  <w:r>
                    <w:rPr>
                      <w:rFonts w:hint="eastAsia" w:ascii="Times New Roman" w:hAnsi="Times New Roman" w:eastAsia="宋体" w:cs="Times New Roman"/>
                      <w:color w:val="auto"/>
                      <w:spacing w:val="0"/>
                      <w:w w:val="100"/>
                      <w:position w:val="0"/>
                      <w:sz w:val="21"/>
                      <w:szCs w:val="21"/>
                      <w:highlight w:val="none"/>
                      <w:lang w:val="en-US" w:eastAsia="zh-CN"/>
                    </w:rPr>
                    <w:t>废润滑油</w:t>
                  </w:r>
                  <w:r>
                    <w:rPr>
                      <w:rFonts w:hint="eastAsia" w:cs="Times New Roman"/>
                      <w:color w:val="auto"/>
                      <w:spacing w:val="0"/>
                      <w:w w:val="100"/>
                      <w:position w:val="0"/>
                      <w:sz w:val="21"/>
                      <w:szCs w:val="21"/>
                      <w:highlight w:val="none"/>
                      <w:lang w:val="en-US" w:eastAsia="zh-CN"/>
                    </w:rPr>
                    <w:t>、废润滑油桶</w:t>
                  </w:r>
                  <w:r>
                    <w:rPr>
                      <w:rFonts w:hint="default" w:ascii="Times New Roman" w:hAnsi="Times New Roman" w:eastAsia="宋体" w:cs="Times New Roman"/>
                      <w:color w:val="auto"/>
                      <w:spacing w:val="0"/>
                      <w:w w:val="100"/>
                      <w:position w:val="0"/>
                      <w:sz w:val="21"/>
                      <w:szCs w:val="21"/>
                      <w:highlight w:val="none"/>
                      <w:lang w:val="en-US" w:eastAsia="zh-CN"/>
                    </w:rPr>
                    <w:t>危废间暂存，定期送有资质单位处置。</w:t>
                  </w:r>
                </w:p>
              </w:tc>
              <w:tc>
                <w:tcPr>
                  <w:tcW w:w="578" w:type="pct"/>
                  <w:tcBorders>
                    <w:tl2br w:val="nil"/>
                    <w:tr2bl w:val="nil"/>
                  </w:tcBorders>
                  <w:noWrap w:val="0"/>
                  <w:vAlign w:val="center"/>
                </w:tcPr>
                <w:p w14:paraId="4626E959">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新增</w:t>
                  </w:r>
                </w:p>
              </w:tc>
            </w:tr>
            <w:tr w14:paraId="12D42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684ED39B">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vMerge w:val="continue"/>
                  <w:tcBorders>
                    <w:tl2br w:val="nil"/>
                    <w:tr2bl w:val="nil"/>
                  </w:tcBorders>
                  <w:noWrap w:val="0"/>
                  <w:vAlign w:val="center"/>
                </w:tcPr>
                <w:p w14:paraId="17A9684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3052" w:type="pct"/>
                  <w:tcBorders>
                    <w:tl2br w:val="nil"/>
                    <w:tr2bl w:val="nil"/>
                  </w:tcBorders>
                  <w:noWrap w:val="0"/>
                  <w:vAlign w:val="center"/>
                </w:tcPr>
                <w:p w14:paraId="362664EE">
                  <w:pPr>
                    <w:keepNext w:val="0"/>
                    <w:keepLines w:val="0"/>
                    <w:pageBreakBefore w:val="0"/>
                    <w:widowControl w:val="0"/>
                    <w:suppressLineNumbers w:val="0"/>
                    <w:shd w:val="clear"/>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default" w:ascii="Times New Roman" w:hAnsi="Times New Roman" w:cs="Times New Roman"/>
                      <w:color w:val="auto"/>
                      <w:sz w:val="21"/>
                      <w:szCs w:val="21"/>
                      <w:highlight w:val="none"/>
                      <w:vertAlign w:val="baseline"/>
                      <w:lang w:val="en-US" w:eastAsia="zh-CN" w:bidi="ar-SA"/>
                    </w:rPr>
                  </w:pPr>
                  <w:r>
                    <w:rPr>
                      <w:rFonts w:hint="eastAsia" w:cs="Times New Roman"/>
                      <w:color w:val="auto"/>
                      <w:spacing w:val="0"/>
                      <w:w w:val="100"/>
                      <w:position w:val="0"/>
                      <w:sz w:val="21"/>
                      <w:szCs w:val="21"/>
                      <w:highlight w:val="none"/>
                      <w:lang w:val="en-US" w:eastAsia="zh-CN"/>
                    </w:rPr>
                    <w:t>危废暂存间：位于厂内中部，建筑面积216m</w:t>
                  </w:r>
                  <w:r>
                    <w:rPr>
                      <w:rFonts w:hint="eastAsia" w:cs="Times New Roman"/>
                      <w:color w:val="auto"/>
                      <w:spacing w:val="0"/>
                      <w:w w:val="100"/>
                      <w:position w:val="0"/>
                      <w:sz w:val="21"/>
                      <w:szCs w:val="21"/>
                      <w:highlight w:val="none"/>
                      <w:vertAlign w:val="superscript"/>
                      <w:lang w:val="en-US" w:eastAsia="zh-CN"/>
                    </w:rPr>
                    <w:t>2</w:t>
                  </w:r>
                </w:p>
              </w:tc>
              <w:tc>
                <w:tcPr>
                  <w:tcW w:w="578" w:type="pct"/>
                  <w:tcBorders>
                    <w:tl2br w:val="nil"/>
                    <w:tr2bl w:val="nil"/>
                  </w:tcBorders>
                  <w:noWrap w:val="0"/>
                  <w:vAlign w:val="center"/>
                </w:tcPr>
                <w:p w14:paraId="71137AE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eastAsia"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依托</w:t>
                  </w:r>
                </w:p>
              </w:tc>
            </w:tr>
            <w:tr w14:paraId="194F6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19" w:type="pct"/>
                  <w:vMerge w:val="continue"/>
                  <w:tcBorders>
                    <w:tl2br w:val="nil"/>
                    <w:tr2bl w:val="nil"/>
                  </w:tcBorders>
                  <w:noWrap w:val="0"/>
                  <w:vAlign w:val="center"/>
                </w:tcPr>
                <w:p w14:paraId="2574211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49" w:type="pct"/>
                  <w:tcBorders>
                    <w:tl2br w:val="nil"/>
                    <w:tr2bl w:val="nil"/>
                  </w:tcBorders>
                  <w:noWrap w:val="0"/>
                  <w:vAlign w:val="center"/>
                </w:tcPr>
                <w:p w14:paraId="5851001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风险</w:t>
                  </w:r>
                </w:p>
              </w:tc>
              <w:tc>
                <w:tcPr>
                  <w:tcW w:w="3052" w:type="pct"/>
                  <w:tcBorders>
                    <w:tl2br w:val="nil"/>
                    <w:tr2bl w:val="nil"/>
                  </w:tcBorders>
                  <w:noWrap w:val="0"/>
                  <w:vAlign w:val="center"/>
                </w:tcPr>
                <w:p w14:paraId="6E6B1058">
                  <w:pPr>
                    <w:keepNext w:val="0"/>
                    <w:keepLines w:val="0"/>
                    <w:pageBreakBefore w:val="0"/>
                    <w:widowControl w:val="0"/>
                    <w:suppressLineNumbers w:val="0"/>
                    <w:shd w:val="clear"/>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eastAsia"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现有工程有容积800m³事故水池1座，容积500m³初期雨水池（兼</w:t>
                  </w:r>
                  <w:r>
                    <w:rPr>
                      <w:rFonts w:hint="eastAsia" w:ascii="Times New Roman" w:hAnsi="Times New Roman" w:eastAsia="宋体" w:cs="Times New Roman"/>
                      <w:color w:val="auto"/>
                      <w:spacing w:val="0"/>
                      <w:w w:val="100"/>
                      <w:position w:val="0"/>
                      <w:sz w:val="21"/>
                      <w:szCs w:val="21"/>
                      <w:highlight w:val="none"/>
                      <w:lang w:val="en-US" w:eastAsia="zh-CN"/>
                    </w:rPr>
                    <w:t>消防废水</w:t>
                  </w:r>
                  <w:r>
                    <w:rPr>
                      <w:rFonts w:hint="default" w:ascii="Times New Roman" w:hAnsi="Times New Roman" w:eastAsia="宋体" w:cs="Times New Roman"/>
                      <w:color w:val="auto"/>
                      <w:spacing w:val="0"/>
                      <w:w w:val="100"/>
                      <w:position w:val="0"/>
                      <w:sz w:val="21"/>
                      <w:szCs w:val="21"/>
                      <w:highlight w:val="none"/>
                      <w:lang w:val="en-US" w:eastAsia="zh-CN"/>
                    </w:rPr>
                    <w:t>池）1座</w:t>
                  </w:r>
                </w:p>
              </w:tc>
              <w:tc>
                <w:tcPr>
                  <w:tcW w:w="578" w:type="pct"/>
                  <w:tcBorders>
                    <w:tl2br w:val="nil"/>
                    <w:tr2bl w:val="nil"/>
                  </w:tcBorders>
                  <w:noWrap w:val="0"/>
                  <w:vAlign w:val="center"/>
                </w:tcPr>
                <w:p w14:paraId="182CDF1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jc w:val="center"/>
                    <w:textAlignment w:val="auto"/>
                    <w:rPr>
                      <w:rFonts w:hint="eastAsia"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依托</w:t>
                  </w:r>
                </w:p>
              </w:tc>
            </w:tr>
          </w:tbl>
          <w:p w14:paraId="223D7BE6">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auto"/>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w:t>
            </w:r>
            <w:r>
              <w:rPr>
                <w:rFonts w:hint="eastAsia" w:cs="Times New Roman"/>
                <w:b/>
                <w:bCs w:val="0"/>
                <w:color w:val="auto"/>
                <w:kern w:val="2"/>
                <w:sz w:val="21"/>
                <w:szCs w:val="21"/>
                <w:highlight w:val="none"/>
                <w:lang w:val="en-US" w:eastAsia="zh-CN" w:bidi="ar-SA"/>
              </w:rPr>
              <w:t>三</w:t>
            </w:r>
            <w:r>
              <w:rPr>
                <w:rFonts w:hint="eastAsia" w:ascii="Times New Roman" w:hAnsi="Times New Roman" w:eastAsia="宋体" w:cs="Times New Roman"/>
                <w:b/>
                <w:bCs w:val="0"/>
                <w:color w:val="auto"/>
                <w:kern w:val="2"/>
                <w:sz w:val="21"/>
                <w:szCs w:val="21"/>
                <w:highlight w:val="none"/>
                <w:lang w:val="en-US" w:eastAsia="zh-CN" w:bidi="ar-SA"/>
              </w:rPr>
              <w:t>）主要产品及产能</w:t>
            </w:r>
          </w:p>
          <w:p w14:paraId="68AE6F6A">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本项目</w:t>
            </w:r>
            <w:r>
              <w:rPr>
                <w:rFonts w:hint="eastAsia" w:cs="Times New Roman"/>
                <w:color w:val="auto"/>
                <w:sz w:val="21"/>
                <w:szCs w:val="21"/>
                <w:highlight w:val="none"/>
                <w:lang w:eastAsia="zh-CN"/>
              </w:rPr>
              <w:t>生产甘氨酸亚铁。</w:t>
            </w:r>
            <w:r>
              <w:rPr>
                <w:rFonts w:hint="default" w:ascii="Times New Roman" w:hAnsi="Times New Roman" w:eastAsia="宋体" w:cs="Times New Roman"/>
                <w:color w:val="auto"/>
                <w:sz w:val="21"/>
                <w:szCs w:val="21"/>
                <w:highlight w:val="none"/>
                <w:lang w:val="en-US" w:eastAsia="zh-CN"/>
              </w:rPr>
              <w:t>项目</w:t>
            </w:r>
            <w:r>
              <w:rPr>
                <w:rFonts w:hint="eastAsia" w:cs="Times New Roman"/>
                <w:color w:val="auto"/>
                <w:sz w:val="21"/>
                <w:szCs w:val="21"/>
                <w:highlight w:val="none"/>
                <w:lang w:val="en-US" w:eastAsia="zh-CN"/>
              </w:rPr>
              <w:t>技改</w:t>
            </w:r>
            <w:r>
              <w:rPr>
                <w:rFonts w:hint="default" w:ascii="Times New Roman" w:hAnsi="Times New Roman" w:eastAsia="宋体" w:cs="Times New Roman"/>
                <w:color w:val="auto"/>
                <w:sz w:val="21"/>
                <w:szCs w:val="21"/>
                <w:highlight w:val="none"/>
                <w:lang w:val="en-US" w:eastAsia="zh-CN"/>
              </w:rPr>
              <w:t>完成后，具体产品明细见下表2-</w:t>
            </w:r>
            <w:r>
              <w:rPr>
                <w:rFonts w:hint="eastAsia" w:ascii="Times New Roman" w:hAnsi="Times New Roman" w:eastAsia="宋体" w:cs="Times New Roman"/>
                <w:color w:val="auto"/>
                <w:sz w:val="21"/>
                <w:szCs w:val="21"/>
                <w:highlight w:val="none"/>
                <w:lang w:val="en-US" w:eastAsia="zh-CN"/>
              </w:rPr>
              <w:t>2</w:t>
            </w:r>
            <w:r>
              <w:rPr>
                <w:rFonts w:hint="eastAsia" w:cs="Times New Roman"/>
                <w:color w:val="auto"/>
                <w:sz w:val="21"/>
                <w:szCs w:val="21"/>
                <w:highlight w:val="none"/>
                <w:lang w:val="en-US" w:eastAsia="zh-CN"/>
              </w:rPr>
              <w:t>、2-3</w:t>
            </w:r>
            <w:r>
              <w:rPr>
                <w:rFonts w:hint="default" w:ascii="Times New Roman" w:hAnsi="Times New Roman" w:eastAsia="宋体" w:cs="Times New Roman"/>
                <w:color w:val="auto"/>
                <w:sz w:val="21"/>
                <w:szCs w:val="21"/>
                <w:highlight w:val="none"/>
                <w:lang w:val="en-US" w:eastAsia="zh-CN"/>
              </w:rPr>
              <w:t>。</w:t>
            </w:r>
          </w:p>
          <w:p w14:paraId="4544F2AB">
            <w:pPr>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 2-</w:t>
            </w:r>
            <w:r>
              <w:rPr>
                <w:rFonts w:hint="eastAsia" w:ascii="Times New Roman" w:hAnsi="Times New Roman" w:eastAsia="宋体" w:cs="Times New Roman"/>
                <w:b/>
                <w:bCs/>
                <w:color w:val="auto"/>
                <w:sz w:val="21"/>
                <w:szCs w:val="21"/>
                <w:highlight w:val="none"/>
                <w:lang w:val="en-US" w:eastAsia="zh-CN"/>
              </w:rPr>
              <w:t>2</w:t>
            </w:r>
            <w:r>
              <w:rPr>
                <w:rFonts w:hint="default" w:ascii="Times New Roman" w:hAnsi="Times New Roman" w:eastAsia="宋体" w:cs="Times New Roman"/>
                <w:b/>
                <w:bCs/>
                <w:color w:val="auto"/>
                <w:sz w:val="21"/>
                <w:szCs w:val="21"/>
                <w:highlight w:val="none"/>
                <w:lang w:val="en-US" w:eastAsia="zh-CN"/>
              </w:rPr>
              <w:t xml:space="preserve"> 本项目主要</w:t>
            </w:r>
            <w:r>
              <w:rPr>
                <w:rFonts w:hint="eastAsia" w:ascii="Times New Roman" w:hAnsi="Times New Roman" w:eastAsia="宋体" w:cs="Times New Roman"/>
                <w:b/>
                <w:bCs/>
                <w:color w:val="auto"/>
                <w:sz w:val="21"/>
                <w:szCs w:val="21"/>
                <w:highlight w:val="none"/>
                <w:lang w:val="en-US" w:eastAsia="zh-CN"/>
              </w:rPr>
              <w:t>产品明细一览表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2"/>
              <w:gridCol w:w="1558"/>
              <w:gridCol w:w="2228"/>
              <w:gridCol w:w="2228"/>
              <w:gridCol w:w="1259"/>
            </w:tblGrid>
            <w:tr w14:paraId="1E898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7" w:type="pct"/>
                  <w:tcBorders>
                    <w:tl2br w:val="nil"/>
                    <w:tr2bl w:val="nil"/>
                  </w:tcBorders>
                  <w:noWrap w:val="0"/>
                  <w:vAlign w:val="center"/>
                </w:tcPr>
                <w:p w14:paraId="209AA19B">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序号</w:t>
                  </w:r>
                </w:p>
              </w:tc>
              <w:tc>
                <w:tcPr>
                  <w:tcW w:w="981" w:type="pct"/>
                  <w:tcBorders>
                    <w:tl2br w:val="nil"/>
                    <w:tr2bl w:val="nil"/>
                  </w:tcBorders>
                  <w:noWrap w:val="0"/>
                  <w:vAlign w:val="center"/>
                </w:tcPr>
                <w:p w14:paraId="2A707D52">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产品</w:t>
                  </w:r>
                  <w:r>
                    <w:rPr>
                      <w:rFonts w:hint="eastAsia" w:ascii="Times New Roman" w:cs="Times New Roman"/>
                      <w:color w:val="auto"/>
                      <w:sz w:val="21"/>
                      <w:szCs w:val="21"/>
                      <w:highlight w:val="none"/>
                      <w:vertAlign w:val="baseline"/>
                      <w:lang w:val="en-US" w:eastAsia="zh-CN" w:bidi="ar-SA"/>
                    </w:rPr>
                    <w:t>名称</w:t>
                  </w:r>
                </w:p>
              </w:tc>
              <w:tc>
                <w:tcPr>
                  <w:tcW w:w="1403" w:type="pct"/>
                  <w:tcBorders>
                    <w:tl2br w:val="nil"/>
                    <w:tr2bl w:val="nil"/>
                  </w:tcBorders>
                  <w:noWrap w:val="0"/>
                  <w:vAlign w:val="center"/>
                </w:tcPr>
                <w:p w14:paraId="16BBC26A">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产品规格</w:t>
                  </w:r>
                </w:p>
              </w:tc>
              <w:tc>
                <w:tcPr>
                  <w:tcW w:w="1403" w:type="pct"/>
                  <w:tcBorders>
                    <w:tl2br w:val="nil"/>
                    <w:tr2bl w:val="nil"/>
                  </w:tcBorders>
                  <w:noWrap w:val="0"/>
                  <w:vAlign w:val="center"/>
                </w:tcPr>
                <w:p w14:paraId="7C0601CB">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kern w:val="0"/>
                      <w:sz w:val="21"/>
                      <w:szCs w:val="21"/>
                      <w:highlight w:val="none"/>
                      <w:lang w:val="en-US" w:eastAsia="zh-CN" w:bidi="ar-SA"/>
                    </w:rPr>
                    <w:t>生产规模</w:t>
                  </w:r>
                  <w:r>
                    <w:rPr>
                      <w:rFonts w:hint="eastAsia" w:ascii="Times New Roman" w:cs="Times New Roman"/>
                      <w:color w:val="auto"/>
                      <w:kern w:val="0"/>
                      <w:sz w:val="21"/>
                      <w:szCs w:val="21"/>
                      <w:highlight w:val="none"/>
                      <w:lang w:val="en-US" w:eastAsia="zh-CN" w:bidi="ar-SA"/>
                    </w:rPr>
                    <w:t>（t/a）</w:t>
                  </w:r>
                </w:p>
              </w:tc>
              <w:tc>
                <w:tcPr>
                  <w:tcW w:w="793" w:type="pct"/>
                  <w:tcBorders>
                    <w:tl2br w:val="nil"/>
                    <w:tr2bl w:val="nil"/>
                  </w:tcBorders>
                  <w:noWrap w:val="0"/>
                  <w:vAlign w:val="center"/>
                </w:tcPr>
                <w:p w14:paraId="76944EDA">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备注</w:t>
                  </w:r>
                </w:p>
              </w:tc>
            </w:tr>
            <w:tr w14:paraId="1108B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7" w:type="pct"/>
                  <w:vMerge w:val="restart"/>
                  <w:tcBorders>
                    <w:tl2br w:val="nil"/>
                    <w:tr2bl w:val="nil"/>
                  </w:tcBorders>
                  <w:noWrap w:val="0"/>
                  <w:vAlign w:val="center"/>
                </w:tcPr>
                <w:p w14:paraId="3C80D2A4">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宋体" w:cs="Times New Roman"/>
                      <w:snapToGrid w:val="0"/>
                      <w:color w:val="auto"/>
                      <w:kern w:val="0"/>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1</w:t>
                  </w:r>
                </w:p>
              </w:tc>
              <w:tc>
                <w:tcPr>
                  <w:tcW w:w="981" w:type="pct"/>
                  <w:vMerge w:val="restart"/>
                  <w:tcBorders>
                    <w:tl2br w:val="nil"/>
                    <w:tr2bl w:val="nil"/>
                  </w:tcBorders>
                  <w:noWrap w:val="0"/>
                  <w:vAlign w:val="center"/>
                </w:tcPr>
                <w:p w14:paraId="4ADE2C6E">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甘氨酸亚铁</w:t>
                  </w:r>
                </w:p>
              </w:tc>
              <w:tc>
                <w:tcPr>
                  <w:tcW w:w="1403" w:type="pct"/>
                  <w:tcBorders>
                    <w:tl2br w:val="nil"/>
                    <w:tr2bl w:val="nil"/>
                  </w:tcBorders>
                  <w:noWrap w:val="0"/>
                  <w:vAlign w:val="center"/>
                </w:tcPr>
                <w:p w14:paraId="591D68DE">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5kg/纸塑复合袋</w:t>
                  </w:r>
                </w:p>
              </w:tc>
              <w:tc>
                <w:tcPr>
                  <w:tcW w:w="1403" w:type="pct"/>
                  <w:vMerge w:val="restart"/>
                  <w:tcBorders>
                    <w:tl2br w:val="nil"/>
                    <w:tr2bl w:val="nil"/>
                  </w:tcBorders>
                  <w:noWrap w:val="0"/>
                  <w:vAlign w:val="center"/>
                </w:tcPr>
                <w:p w14:paraId="056A4C39">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default"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300</w:t>
                  </w:r>
                </w:p>
              </w:tc>
              <w:tc>
                <w:tcPr>
                  <w:tcW w:w="793" w:type="pct"/>
                  <w:vMerge w:val="restart"/>
                  <w:tcBorders>
                    <w:tl2br w:val="nil"/>
                    <w:tr2bl w:val="nil"/>
                  </w:tcBorders>
                  <w:noWrap w:val="0"/>
                  <w:vAlign w:val="center"/>
                </w:tcPr>
                <w:p w14:paraId="59E770F4">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食品级</w:t>
                  </w:r>
                </w:p>
              </w:tc>
            </w:tr>
            <w:tr w14:paraId="2164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7" w:type="pct"/>
                  <w:vMerge w:val="continue"/>
                  <w:tcBorders>
                    <w:tl2br w:val="nil"/>
                    <w:tr2bl w:val="nil"/>
                  </w:tcBorders>
                  <w:noWrap w:val="0"/>
                  <w:vAlign w:val="center"/>
                </w:tcPr>
                <w:p w14:paraId="0548F0B9">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81" w:type="pct"/>
                  <w:vMerge w:val="continue"/>
                  <w:tcBorders>
                    <w:tl2br w:val="nil"/>
                    <w:tr2bl w:val="nil"/>
                  </w:tcBorders>
                  <w:noWrap w:val="0"/>
                  <w:vAlign w:val="center"/>
                </w:tcPr>
                <w:p w14:paraId="2FCD4FD1">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03" w:type="pct"/>
                  <w:tcBorders>
                    <w:tl2br w:val="nil"/>
                    <w:tr2bl w:val="nil"/>
                  </w:tcBorders>
                  <w:noWrap w:val="0"/>
                  <w:vAlign w:val="center"/>
                </w:tcPr>
                <w:p w14:paraId="57298F34">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default"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10kg/纸塑复合袋</w:t>
                  </w:r>
                </w:p>
              </w:tc>
              <w:tc>
                <w:tcPr>
                  <w:tcW w:w="1403" w:type="pct"/>
                  <w:vMerge w:val="continue"/>
                  <w:tcBorders>
                    <w:tl2br w:val="nil"/>
                    <w:tr2bl w:val="nil"/>
                  </w:tcBorders>
                  <w:noWrap w:val="0"/>
                  <w:vAlign w:val="center"/>
                </w:tcPr>
                <w:p w14:paraId="3CC9BCF6">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793" w:type="pct"/>
                  <w:vMerge w:val="continue"/>
                  <w:tcBorders>
                    <w:tl2br w:val="nil"/>
                    <w:tr2bl w:val="nil"/>
                  </w:tcBorders>
                  <w:noWrap w:val="0"/>
                  <w:vAlign w:val="center"/>
                </w:tcPr>
                <w:p w14:paraId="5DDE4650">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p>
              </w:tc>
            </w:tr>
          </w:tbl>
          <w:p w14:paraId="19E0CC34">
            <w:pPr>
              <w:keepNext w:val="0"/>
              <w:keepLines w:val="0"/>
              <w:pageBreakBefore w:val="0"/>
              <w:widowControl w:val="0"/>
              <w:kinsoku/>
              <w:wordWrap/>
              <w:overflowPunct/>
              <w:topLinePunct w:val="0"/>
              <w:autoSpaceDE/>
              <w:autoSpaceDN/>
              <w:bidi w:val="0"/>
              <w:adjustRightInd/>
              <w:snapToGrid/>
              <w:spacing w:before="157" w:beforeLines="50" w:beforeAutospacing="0" w:afterLines="0" w:afterAutospacing="0" w:line="360" w:lineRule="auto"/>
              <w:ind w:firstLine="422" w:firstLineChars="200"/>
              <w:jc w:val="center"/>
              <w:textAlignment w:val="auto"/>
              <w:outlineLvl w:val="1"/>
              <w:rPr>
                <w:rFonts w:hint="eastAsia"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表 2-</w:t>
            </w:r>
            <w:r>
              <w:rPr>
                <w:rFonts w:hint="eastAsia" w:ascii="Times New Roman" w:hAnsi="Times New Roman" w:eastAsia="宋体" w:cs="Times New Roman"/>
                <w:b/>
                <w:bCs/>
                <w:color w:val="auto"/>
                <w:kern w:val="2"/>
                <w:sz w:val="21"/>
                <w:szCs w:val="21"/>
                <w:highlight w:val="none"/>
                <w:lang w:val="en-US" w:eastAsia="zh-CN" w:bidi="ar-SA"/>
              </w:rPr>
              <w:t>3</w:t>
            </w:r>
            <w:r>
              <w:rPr>
                <w:rFonts w:hint="default" w:ascii="Times New Roman" w:hAnsi="Times New Roman" w:eastAsia="宋体" w:cs="Times New Roman"/>
                <w:b/>
                <w:bCs/>
                <w:color w:val="auto"/>
                <w:kern w:val="2"/>
                <w:sz w:val="21"/>
                <w:szCs w:val="21"/>
                <w:highlight w:val="none"/>
                <w:lang w:val="en-US" w:eastAsia="zh-CN" w:bidi="ar-SA"/>
              </w:rPr>
              <w:t xml:space="preserve"> 本项目产品执行标准</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3"/>
              <w:gridCol w:w="1525"/>
              <w:gridCol w:w="2250"/>
              <w:gridCol w:w="2247"/>
              <w:gridCol w:w="1237"/>
            </w:tblGrid>
            <w:tr w14:paraId="54632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4" w:type="pct"/>
                  <w:tcBorders>
                    <w:tl2br w:val="nil"/>
                    <w:tr2bl w:val="nil"/>
                  </w:tcBorders>
                  <w:noWrap w:val="0"/>
                  <w:vAlign w:val="center"/>
                </w:tcPr>
                <w:p w14:paraId="0B03C724">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序号</w:t>
                  </w:r>
                </w:p>
              </w:tc>
              <w:tc>
                <w:tcPr>
                  <w:tcW w:w="961" w:type="pct"/>
                  <w:tcBorders>
                    <w:tl2br w:val="nil"/>
                    <w:tr2bl w:val="nil"/>
                  </w:tcBorders>
                  <w:noWrap w:val="0"/>
                  <w:vAlign w:val="center"/>
                </w:tcPr>
                <w:p w14:paraId="0570CB7E">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产品</w:t>
                  </w:r>
                  <w:r>
                    <w:rPr>
                      <w:rFonts w:hint="eastAsia" w:ascii="Times New Roman" w:cs="Times New Roman"/>
                      <w:color w:val="auto"/>
                      <w:sz w:val="21"/>
                      <w:szCs w:val="21"/>
                      <w:highlight w:val="none"/>
                      <w:vertAlign w:val="baseline"/>
                      <w:lang w:val="en-US" w:eastAsia="zh-CN" w:bidi="ar-SA"/>
                    </w:rPr>
                    <w:t>名称</w:t>
                  </w:r>
                </w:p>
              </w:tc>
              <w:tc>
                <w:tcPr>
                  <w:tcW w:w="1418" w:type="pct"/>
                  <w:tcBorders>
                    <w:tl2br w:val="nil"/>
                    <w:tr2bl w:val="nil"/>
                  </w:tcBorders>
                  <w:noWrap w:val="0"/>
                  <w:vAlign w:val="center"/>
                </w:tcPr>
                <w:p w14:paraId="70AF59B1">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执行标准</w:t>
                  </w:r>
                </w:p>
              </w:tc>
              <w:tc>
                <w:tcPr>
                  <w:tcW w:w="1416" w:type="pct"/>
                  <w:tcBorders>
                    <w:tl2br w:val="nil"/>
                    <w:tr2bl w:val="nil"/>
                  </w:tcBorders>
                  <w:noWrap w:val="0"/>
                  <w:vAlign w:val="center"/>
                </w:tcPr>
                <w:p w14:paraId="6D85E745">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理化项目</w:t>
                  </w:r>
                </w:p>
              </w:tc>
              <w:tc>
                <w:tcPr>
                  <w:tcW w:w="779" w:type="pct"/>
                  <w:tcBorders>
                    <w:tl2br w:val="nil"/>
                    <w:tr2bl w:val="nil"/>
                  </w:tcBorders>
                  <w:noWrap w:val="0"/>
                  <w:vAlign w:val="center"/>
                </w:tcPr>
                <w:p w14:paraId="607170ED">
                  <w:pPr>
                    <w:pStyle w:val="35"/>
                    <w:keepNext w:val="0"/>
                    <w:keepLines w:val="0"/>
                    <w:pageBreakBefore w:val="0"/>
                    <w:widowControl w:val="0"/>
                    <w:numPr>
                      <w:ilvl w:val="0"/>
                      <w:numId w:val="0"/>
                    </w:numPr>
                    <w:kinsoku/>
                    <w:wordWrap/>
                    <w:overflowPunct/>
                    <w:topLinePunct w:val="0"/>
                    <w:autoSpaceDE/>
                    <w:autoSpaceDN/>
                    <w:bidi w:val="0"/>
                    <w:adjustRightInd/>
                    <w:snapToGrid/>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cs="Times New Roman"/>
                      <w:color w:val="auto"/>
                      <w:kern w:val="0"/>
                      <w:sz w:val="21"/>
                      <w:szCs w:val="21"/>
                      <w:highlight w:val="none"/>
                      <w:lang w:val="en-US" w:eastAsia="zh-CN" w:bidi="ar-SA"/>
                    </w:rPr>
                    <w:t>指标</w:t>
                  </w:r>
                </w:p>
              </w:tc>
            </w:tr>
            <w:tr w14:paraId="3E94C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4" w:type="pct"/>
                  <w:vMerge w:val="restart"/>
                  <w:tcBorders>
                    <w:tl2br w:val="nil"/>
                    <w:tr2bl w:val="nil"/>
                  </w:tcBorders>
                  <w:noWrap w:val="0"/>
                  <w:vAlign w:val="center"/>
                </w:tcPr>
                <w:p w14:paraId="273631DF">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1</w:t>
                  </w:r>
                </w:p>
              </w:tc>
              <w:tc>
                <w:tcPr>
                  <w:tcW w:w="961" w:type="pct"/>
                  <w:vMerge w:val="restart"/>
                  <w:tcBorders>
                    <w:tl2br w:val="nil"/>
                    <w:tr2bl w:val="nil"/>
                  </w:tcBorders>
                  <w:noWrap w:val="0"/>
                  <w:vAlign w:val="center"/>
                </w:tcPr>
                <w:p w14:paraId="0122AFAD">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甘氨酸亚铁</w:t>
                  </w:r>
                </w:p>
              </w:tc>
              <w:tc>
                <w:tcPr>
                  <w:tcW w:w="1418" w:type="pct"/>
                  <w:vMerge w:val="restart"/>
                  <w:tcBorders>
                    <w:tl2br w:val="nil"/>
                    <w:tr2bl w:val="nil"/>
                  </w:tcBorders>
                  <w:noWrap w:val="0"/>
                  <w:vAlign w:val="center"/>
                </w:tcPr>
                <w:p w14:paraId="0828B254">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《食品安全国家标准 食品添加剂 甘氨酸亚铁》（GB 30606-2014）</w:t>
                  </w:r>
                </w:p>
              </w:tc>
              <w:tc>
                <w:tcPr>
                  <w:tcW w:w="1416" w:type="pct"/>
                  <w:tcBorders>
                    <w:tl2br w:val="nil"/>
                    <w:tr2bl w:val="nil"/>
                  </w:tcBorders>
                  <w:noWrap w:val="0"/>
                  <w:vAlign w:val="center"/>
                </w:tcPr>
                <w:p w14:paraId="041B051E">
                  <w:pPr>
                    <w:pStyle w:val="54"/>
                    <w:spacing w:line="320" w:lineRule="exact"/>
                    <w:jc w:val="left"/>
                    <w:rPr>
                      <w:rFonts w:hint="default" w:ascii="Times New Roman" w:hAnsi="Times New Roman"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二价铁(Fe</w:t>
                  </w:r>
                  <w:r>
                    <w:rPr>
                      <w:rFonts w:hint="default" w:ascii="Times New Roman" w:hAnsi="Times New Roman" w:cs="Times New Roman"/>
                      <w:color w:val="auto"/>
                      <w:highlight w:val="none"/>
                      <w:vertAlign w:val="superscript"/>
                    </w:rPr>
                    <w:t>2+</w:t>
                  </w:r>
                  <w:r>
                    <w:rPr>
                      <w:rFonts w:hint="default" w:ascii="Times New Roman" w:hAnsi="Times New Roman" w:cs="Times New Roman"/>
                      <w:color w:val="auto"/>
                      <w:highlight w:val="none"/>
                    </w:rPr>
                    <w:t>)含量(以干基计)，w/%</w:t>
                  </w:r>
                </w:p>
              </w:tc>
              <w:tc>
                <w:tcPr>
                  <w:tcW w:w="779" w:type="pct"/>
                  <w:tcBorders>
                    <w:tl2br w:val="nil"/>
                    <w:tr2bl w:val="nil"/>
                  </w:tcBorders>
                  <w:noWrap w:val="0"/>
                  <w:vAlign w:val="center"/>
                </w:tcPr>
                <w:p w14:paraId="6AA6AF3F">
                  <w:pPr>
                    <w:pStyle w:val="54"/>
                    <w:spacing w:line="320" w:lineRule="exact"/>
                    <w:rPr>
                      <w:rFonts w:hint="default" w:ascii="Times New Roman" w:hAnsi="Times New Roman"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20.0~23.7</w:t>
                  </w:r>
                </w:p>
              </w:tc>
            </w:tr>
            <w:tr w14:paraId="1B5E1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4" w:type="pct"/>
                  <w:vMerge w:val="continue"/>
                  <w:tcBorders>
                    <w:tl2br w:val="nil"/>
                    <w:tr2bl w:val="nil"/>
                  </w:tcBorders>
                  <w:noWrap w:val="0"/>
                  <w:vAlign w:val="center"/>
                </w:tcPr>
                <w:p w14:paraId="143F3D1A">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961" w:type="pct"/>
                  <w:vMerge w:val="continue"/>
                  <w:tcBorders>
                    <w:tl2br w:val="nil"/>
                    <w:tr2bl w:val="nil"/>
                  </w:tcBorders>
                  <w:noWrap w:val="0"/>
                  <w:vAlign w:val="center"/>
                </w:tcPr>
                <w:p w14:paraId="3F7B6881">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eastAsia="宋体" w:cs="Times New Roman"/>
                      <w:color w:val="auto"/>
                      <w:sz w:val="21"/>
                      <w:szCs w:val="21"/>
                      <w:highlight w:val="none"/>
                      <w:vertAlign w:val="baseline"/>
                      <w:lang w:val="en-US" w:eastAsia="zh-CN" w:bidi="ar-SA"/>
                    </w:rPr>
                  </w:pPr>
                </w:p>
              </w:tc>
              <w:tc>
                <w:tcPr>
                  <w:tcW w:w="1418" w:type="pct"/>
                  <w:vMerge w:val="continue"/>
                  <w:tcBorders>
                    <w:tl2br w:val="nil"/>
                    <w:tr2bl w:val="nil"/>
                  </w:tcBorders>
                  <w:noWrap w:val="0"/>
                  <w:vAlign w:val="center"/>
                </w:tcPr>
                <w:p w14:paraId="3F328356">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1416" w:type="pct"/>
                  <w:tcBorders>
                    <w:tl2br w:val="nil"/>
                    <w:tr2bl w:val="nil"/>
                  </w:tcBorders>
                  <w:noWrap w:val="0"/>
                  <w:vAlign w:val="center"/>
                </w:tcPr>
                <w:p w14:paraId="29DB87A1">
                  <w:pPr>
                    <w:pStyle w:val="54"/>
                    <w:spacing w:line="320" w:lineRule="exact"/>
                    <w:jc w:val="left"/>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氮(以干基计)，w/%</w:t>
                  </w:r>
                </w:p>
              </w:tc>
              <w:tc>
                <w:tcPr>
                  <w:tcW w:w="779" w:type="pct"/>
                  <w:tcBorders>
                    <w:tl2br w:val="nil"/>
                    <w:tr2bl w:val="nil"/>
                  </w:tcBorders>
                  <w:noWrap w:val="0"/>
                  <w:vAlign w:val="center"/>
                </w:tcPr>
                <w:p w14:paraId="3F6CEF73">
                  <w:pPr>
                    <w:pStyle w:val="54"/>
                    <w:spacing w:line="320" w:lineRule="exact"/>
                    <w:rPr>
                      <w:rFonts w:hint="default" w:ascii="Times New Roman" w:hAnsi="Times New Roman"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10.0~12.0</w:t>
                  </w:r>
                </w:p>
              </w:tc>
            </w:tr>
            <w:tr w14:paraId="1D0D2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4" w:type="pct"/>
                  <w:vMerge w:val="continue"/>
                  <w:tcBorders>
                    <w:tl2br w:val="nil"/>
                    <w:tr2bl w:val="nil"/>
                  </w:tcBorders>
                  <w:noWrap w:val="0"/>
                  <w:vAlign w:val="center"/>
                </w:tcPr>
                <w:p w14:paraId="071656B0">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961" w:type="pct"/>
                  <w:vMerge w:val="continue"/>
                  <w:tcBorders>
                    <w:tl2br w:val="nil"/>
                    <w:tr2bl w:val="nil"/>
                  </w:tcBorders>
                  <w:noWrap w:val="0"/>
                  <w:vAlign w:val="center"/>
                </w:tcPr>
                <w:p w14:paraId="35E34260">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8" w:type="pct"/>
                  <w:vMerge w:val="continue"/>
                  <w:tcBorders>
                    <w:tl2br w:val="nil"/>
                    <w:tr2bl w:val="nil"/>
                  </w:tcBorders>
                  <w:noWrap w:val="0"/>
                  <w:vAlign w:val="center"/>
                </w:tcPr>
                <w:p w14:paraId="5C0EB461">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6" w:type="pct"/>
                  <w:tcBorders>
                    <w:tl2br w:val="nil"/>
                    <w:tr2bl w:val="nil"/>
                  </w:tcBorders>
                  <w:noWrap w:val="0"/>
                  <w:vAlign w:val="center"/>
                </w:tcPr>
                <w:p w14:paraId="504AC5B9">
                  <w:pPr>
                    <w:pStyle w:val="54"/>
                    <w:spacing w:line="320" w:lineRule="exact"/>
                    <w:ind w:left="420" w:leftChars="0" w:hanging="420" w:hangingChars="200"/>
                    <w:jc w:val="left"/>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三价铁(Fe</w:t>
                  </w:r>
                  <w:r>
                    <w:rPr>
                      <w:rFonts w:hint="default" w:ascii="Times New Roman" w:hAnsi="Times New Roman" w:cs="Times New Roman"/>
                      <w:color w:val="auto"/>
                      <w:highlight w:val="none"/>
                      <w:vertAlign w:val="superscript"/>
                    </w:rPr>
                    <w:t>+</w:t>
                  </w:r>
                  <w:r>
                    <w:rPr>
                      <w:rFonts w:hint="default" w:ascii="Times New Roman" w:hAnsi="Times New Roman" w:cs="Times New Roman"/>
                      <w:color w:val="auto"/>
                      <w:highlight w:val="none"/>
                    </w:rPr>
                    <w:t xml:space="preserve">)(以干基计)，w/%            </w:t>
                  </w:r>
                </w:p>
              </w:tc>
              <w:tc>
                <w:tcPr>
                  <w:tcW w:w="779" w:type="pct"/>
                  <w:tcBorders>
                    <w:tl2br w:val="nil"/>
                    <w:tr2bl w:val="nil"/>
                  </w:tcBorders>
                  <w:noWrap w:val="0"/>
                  <w:vAlign w:val="center"/>
                </w:tcPr>
                <w:p w14:paraId="7267E74A">
                  <w:pPr>
                    <w:pStyle w:val="54"/>
                    <w:spacing w:line="320" w:lineRule="exact"/>
                    <w:rPr>
                      <w:rFonts w:hint="default" w:ascii="Times New Roman" w:hAnsi="Times New Roman"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≤2.0</w:t>
                  </w:r>
                </w:p>
              </w:tc>
            </w:tr>
            <w:tr w14:paraId="54C40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4" w:type="pct"/>
                  <w:vMerge w:val="continue"/>
                  <w:tcBorders>
                    <w:tl2br w:val="nil"/>
                    <w:tr2bl w:val="nil"/>
                  </w:tcBorders>
                  <w:noWrap w:val="0"/>
                  <w:vAlign w:val="center"/>
                </w:tcPr>
                <w:p w14:paraId="139E647F">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961" w:type="pct"/>
                  <w:vMerge w:val="continue"/>
                  <w:tcBorders>
                    <w:tl2br w:val="nil"/>
                    <w:tr2bl w:val="nil"/>
                  </w:tcBorders>
                  <w:noWrap w:val="0"/>
                  <w:vAlign w:val="center"/>
                </w:tcPr>
                <w:p w14:paraId="28F2D079">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8" w:type="pct"/>
                  <w:vMerge w:val="continue"/>
                  <w:tcBorders>
                    <w:tl2br w:val="nil"/>
                    <w:tr2bl w:val="nil"/>
                  </w:tcBorders>
                  <w:noWrap w:val="0"/>
                  <w:vAlign w:val="center"/>
                </w:tcPr>
                <w:p w14:paraId="611F3938">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6" w:type="pct"/>
                  <w:tcBorders>
                    <w:tl2br w:val="nil"/>
                    <w:tr2bl w:val="nil"/>
                  </w:tcBorders>
                  <w:noWrap w:val="0"/>
                  <w:vAlign w:val="center"/>
                </w:tcPr>
                <w:p w14:paraId="2ACBA92F">
                  <w:pPr>
                    <w:pStyle w:val="54"/>
                    <w:spacing w:line="320" w:lineRule="exact"/>
                    <w:jc w:val="left"/>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干燥减量</w:t>
                  </w:r>
                  <w:r>
                    <w:t>*</w:t>
                  </w:r>
                  <w:r>
                    <w:rPr>
                      <w:rFonts w:hint="eastAsia" w:cs="Times New Roman"/>
                      <w:color w:val="auto"/>
                      <w:highlight w:val="none"/>
                      <w:lang w:eastAsia="zh-CN"/>
                    </w:rPr>
                    <w:t>，</w:t>
                  </w:r>
                  <w:r>
                    <w:rPr>
                      <w:rFonts w:hint="default" w:ascii="Times New Roman" w:hAnsi="Times New Roman" w:cs="Times New Roman"/>
                      <w:color w:val="auto"/>
                      <w:highlight w:val="none"/>
                    </w:rPr>
                    <w:t xml:space="preserve">w/%                        </w:t>
                  </w:r>
                </w:p>
              </w:tc>
              <w:tc>
                <w:tcPr>
                  <w:tcW w:w="779" w:type="pct"/>
                  <w:tcBorders>
                    <w:tl2br w:val="nil"/>
                    <w:tr2bl w:val="nil"/>
                  </w:tcBorders>
                  <w:noWrap w:val="0"/>
                  <w:vAlign w:val="center"/>
                </w:tcPr>
                <w:p w14:paraId="6F316C79">
                  <w:pPr>
                    <w:pStyle w:val="54"/>
                    <w:spacing w:line="320" w:lineRule="exact"/>
                    <w:rPr>
                      <w:rFonts w:hint="default" w:ascii="Times New Roman" w:hAnsi="Times New Roman"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≤7.0</w:t>
                  </w:r>
                </w:p>
              </w:tc>
            </w:tr>
            <w:tr w14:paraId="3D4E3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4" w:hRule="atLeast"/>
                <w:jc w:val="center"/>
              </w:trPr>
              <w:tc>
                <w:tcPr>
                  <w:tcW w:w="424" w:type="pct"/>
                  <w:vMerge w:val="continue"/>
                  <w:tcBorders>
                    <w:tl2br w:val="nil"/>
                    <w:tr2bl w:val="nil"/>
                  </w:tcBorders>
                  <w:noWrap w:val="0"/>
                  <w:vAlign w:val="center"/>
                </w:tcPr>
                <w:p w14:paraId="7584C92D">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961" w:type="pct"/>
                  <w:vMerge w:val="continue"/>
                  <w:tcBorders>
                    <w:tl2br w:val="nil"/>
                    <w:tr2bl w:val="nil"/>
                  </w:tcBorders>
                  <w:noWrap w:val="0"/>
                  <w:vAlign w:val="center"/>
                </w:tcPr>
                <w:p w14:paraId="105C81CE">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8" w:type="pct"/>
                  <w:vMerge w:val="continue"/>
                  <w:tcBorders>
                    <w:tl2br w:val="nil"/>
                    <w:tr2bl w:val="nil"/>
                  </w:tcBorders>
                  <w:noWrap w:val="0"/>
                  <w:vAlign w:val="center"/>
                </w:tcPr>
                <w:p w14:paraId="6BF20CFC">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6" w:type="pct"/>
                  <w:tcBorders>
                    <w:tl2br w:val="nil"/>
                    <w:tr2bl w:val="nil"/>
                  </w:tcBorders>
                  <w:noWrap w:val="0"/>
                  <w:vAlign w:val="center"/>
                </w:tcPr>
                <w:p w14:paraId="360C60F0">
                  <w:pPr>
                    <w:pStyle w:val="54"/>
                    <w:spacing w:line="320" w:lineRule="exact"/>
                    <w:jc w:val="left"/>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总铁(以干基计)</w:t>
                  </w:r>
                  <w:r>
                    <w:rPr>
                      <w:rFonts w:hint="eastAsia" w:cs="Times New Roman"/>
                      <w:color w:val="auto"/>
                      <w:highlight w:val="none"/>
                      <w:lang w:eastAsia="zh-CN"/>
                    </w:rPr>
                    <w:t>，</w:t>
                  </w:r>
                  <w:r>
                    <w:rPr>
                      <w:rFonts w:hint="default" w:ascii="Times New Roman" w:hAnsi="Times New Roman" w:cs="Times New Roman"/>
                      <w:color w:val="auto"/>
                      <w:highlight w:val="none"/>
                    </w:rPr>
                    <w:t>w/%</w:t>
                  </w:r>
                </w:p>
              </w:tc>
              <w:tc>
                <w:tcPr>
                  <w:tcW w:w="779" w:type="pct"/>
                  <w:tcBorders>
                    <w:tl2br w:val="nil"/>
                    <w:tr2bl w:val="nil"/>
                  </w:tcBorders>
                  <w:noWrap w:val="0"/>
                  <w:vAlign w:val="center"/>
                </w:tcPr>
                <w:p w14:paraId="4D4F0E46">
                  <w:pPr>
                    <w:pStyle w:val="54"/>
                    <w:spacing w:line="320" w:lineRule="exact"/>
                    <w:rPr>
                      <w:rFonts w:hint="default" w:ascii="Times New Roman" w:hAnsi="Times New Roman" w:cs="Times New Roman"/>
                      <w:color w:val="auto"/>
                      <w:sz w:val="21"/>
                      <w:szCs w:val="21"/>
                      <w:highlight w:val="none"/>
                      <w:vertAlign w:val="baseline"/>
                      <w:lang w:val="en-US" w:eastAsia="zh-CN" w:bidi="ar-SA"/>
                    </w:rPr>
                  </w:pPr>
                  <w:r>
                    <w:rPr>
                      <w:rFonts w:hint="default" w:ascii="Times New Roman" w:hAnsi="Times New Roman" w:cs="Times New Roman"/>
                      <w:color w:val="auto"/>
                      <w:highlight w:val="none"/>
                    </w:rPr>
                    <w:t>19.0~24.0</w:t>
                  </w:r>
                </w:p>
              </w:tc>
            </w:tr>
            <w:tr w14:paraId="7646E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24" w:type="pct"/>
                  <w:vMerge w:val="continue"/>
                  <w:tcBorders>
                    <w:tl2br w:val="nil"/>
                    <w:tr2bl w:val="nil"/>
                  </w:tcBorders>
                  <w:noWrap w:val="0"/>
                  <w:vAlign w:val="center"/>
                </w:tcPr>
                <w:p w14:paraId="1E493E75">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961" w:type="pct"/>
                  <w:vMerge w:val="continue"/>
                  <w:tcBorders>
                    <w:tl2br w:val="nil"/>
                    <w:tr2bl w:val="nil"/>
                  </w:tcBorders>
                  <w:noWrap w:val="0"/>
                  <w:vAlign w:val="center"/>
                </w:tcPr>
                <w:p w14:paraId="6C4B7508">
                  <w:pPr>
                    <w:pStyle w:val="35"/>
                    <w:keepNext w:val="0"/>
                    <w:keepLines w:val="0"/>
                    <w:pageBreakBefore w:val="0"/>
                    <w:widowControl w:val="0"/>
                    <w:numPr>
                      <w:ilvl w:val="0"/>
                      <w:numId w:val="0"/>
                    </w:numPr>
                    <w:kinsoku/>
                    <w:wordWrap/>
                    <w:overflowPunct/>
                    <w:topLinePunct w:val="0"/>
                    <w:autoSpaceDE/>
                    <w:autoSpaceDN/>
                    <w:bidi w:val="0"/>
                    <w:adjustRightInd/>
                    <w:snapToGrid/>
                    <w:ind w:left="0" w:leftChars="0"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8" w:type="pct"/>
                  <w:vMerge w:val="continue"/>
                  <w:tcBorders>
                    <w:tl2br w:val="nil"/>
                    <w:tr2bl w:val="nil"/>
                  </w:tcBorders>
                  <w:noWrap w:val="0"/>
                  <w:vAlign w:val="center"/>
                </w:tcPr>
                <w:p w14:paraId="565E9BAC">
                  <w:pPr>
                    <w:pStyle w:val="35"/>
                    <w:keepNext w:val="0"/>
                    <w:keepLines w:val="0"/>
                    <w:pageBreakBefore w:val="0"/>
                    <w:widowControl w:val="0"/>
                    <w:numPr>
                      <w:ilvl w:val="0"/>
                      <w:numId w:val="0"/>
                    </w:numPr>
                    <w:kinsoku/>
                    <w:wordWrap/>
                    <w:overflowPunct/>
                    <w:topLinePunct w:val="0"/>
                    <w:autoSpaceDE/>
                    <w:autoSpaceDN/>
                    <w:bidi w:val="0"/>
                    <w:adjustRightInd/>
                    <w:snapToGrid/>
                    <w:ind w:firstLine="0" w:firstLineChars="0"/>
                    <w:jc w:val="center"/>
                    <w:textAlignment w:val="auto"/>
                    <w:rPr>
                      <w:rFonts w:hint="eastAsia" w:ascii="Times New Roman" w:cs="Times New Roman"/>
                      <w:color w:val="auto"/>
                      <w:sz w:val="21"/>
                      <w:szCs w:val="21"/>
                      <w:highlight w:val="none"/>
                      <w:vertAlign w:val="baseline"/>
                      <w:lang w:val="en-US" w:eastAsia="zh-CN" w:bidi="ar-SA"/>
                    </w:rPr>
                  </w:pPr>
                </w:p>
              </w:tc>
              <w:tc>
                <w:tcPr>
                  <w:tcW w:w="1416" w:type="pct"/>
                  <w:tcBorders>
                    <w:tl2br w:val="nil"/>
                    <w:tr2bl w:val="nil"/>
                  </w:tcBorders>
                  <w:noWrap w:val="0"/>
                  <w:vAlign w:val="center"/>
                </w:tcPr>
                <w:p w14:paraId="333E3BF0">
                  <w:pPr>
                    <w:pStyle w:val="54"/>
                    <w:spacing w:line="320" w:lineRule="exact"/>
                    <w:jc w:val="left"/>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cs="Times New Roman"/>
                      <w:color w:val="auto"/>
                      <w:highlight w:val="none"/>
                    </w:rPr>
                    <w:t xml:space="preserve">铅(Pb)/(mg/kg)                        </w:t>
                  </w:r>
                </w:p>
              </w:tc>
              <w:tc>
                <w:tcPr>
                  <w:tcW w:w="779" w:type="pct"/>
                  <w:tcBorders>
                    <w:tl2br w:val="nil"/>
                    <w:tr2bl w:val="nil"/>
                  </w:tcBorders>
                  <w:noWrap w:val="0"/>
                  <w:vAlign w:val="center"/>
                </w:tcPr>
                <w:p w14:paraId="282B1C66">
                  <w:pPr>
                    <w:pStyle w:val="54"/>
                    <w:spacing w:line="320" w:lineRule="exact"/>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cs="Times New Roman"/>
                      <w:color w:val="auto"/>
                      <w:highlight w:val="none"/>
                    </w:rPr>
                    <w:t>≤1</w:t>
                  </w:r>
                </w:p>
              </w:tc>
            </w:tr>
            <w:tr w14:paraId="22D37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5"/>
                  <w:tcBorders>
                    <w:tl2br w:val="nil"/>
                    <w:tr2bl w:val="nil"/>
                  </w:tcBorders>
                  <w:noWrap w:val="0"/>
                  <w:vAlign w:val="center"/>
                </w:tcPr>
                <w:p w14:paraId="093F9964">
                  <w:pPr>
                    <w:pStyle w:val="54"/>
                    <w:spacing w:line="320" w:lineRule="exact"/>
                    <w:jc w:val="left"/>
                    <w:rPr>
                      <w:rFonts w:hint="eastAsia" w:ascii="Times New Roman" w:hAnsi="Times New Roman" w:eastAsia="宋体" w:cs="Times New Roman"/>
                      <w:color w:val="auto"/>
                      <w:highlight w:val="none"/>
                      <w:lang w:eastAsia="zh-CN"/>
                    </w:rPr>
                  </w:pPr>
                  <w:r>
                    <w:rPr>
                      <w:rFonts w:hint="eastAsia"/>
                      <w:lang w:val="en-US" w:eastAsia="zh-CN"/>
                    </w:rPr>
                    <w:t>备注：</w:t>
                  </w:r>
                  <w:r>
                    <w:t>*105C</w:t>
                  </w:r>
                  <w:r>
                    <w:rPr>
                      <w:rFonts w:hint="eastAsia"/>
                    </w:rPr>
                    <w:t>，</w:t>
                  </w:r>
                  <w:r>
                    <w:t>3h</w:t>
                  </w:r>
                  <w:r>
                    <w:rPr>
                      <w:rFonts w:hint="eastAsia"/>
                      <w:lang w:eastAsia="zh-CN"/>
                    </w:rPr>
                    <w:t>。</w:t>
                  </w:r>
                </w:p>
              </w:tc>
            </w:tr>
          </w:tbl>
          <w:p w14:paraId="768AC1CA">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auto"/>
              <w:outlineLvl w:val="1"/>
              <w:rPr>
                <w:rFonts w:hint="eastAsia" w:ascii="Times New Roman" w:hAnsi="Times New Roman" w:eastAsia="宋体" w:cs="Times New Roman"/>
                <w:b/>
                <w:bCs w:val="0"/>
                <w:color w:val="auto"/>
                <w:kern w:val="2"/>
                <w:sz w:val="21"/>
                <w:szCs w:val="21"/>
                <w:highlight w:val="none"/>
                <w:lang w:val="en-US" w:eastAsia="zh-CN" w:bidi="ar-SA"/>
              </w:rPr>
            </w:pPr>
          </w:p>
          <w:p w14:paraId="6E8F4308">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auto"/>
              <w:outlineLvl w:val="1"/>
              <w:rPr>
                <w:rFonts w:hint="eastAsia"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本</w:t>
            </w:r>
            <w:r>
              <w:rPr>
                <w:rFonts w:hint="eastAsia" w:cs="Times New Roman"/>
                <w:b/>
                <w:bCs w:val="0"/>
                <w:color w:val="auto"/>
                <w:kern w:val="2"/>
                <w:sz w:val="21"/>
                <w:szCs w:val="21"/>
                <w:highlight w:val="none"/>
                <w:lang w:val="en-US" w:eastAsia="zh-CN" w:bidi="ar-SA"/>
              </w:rPr>
              <w:t>次项目扩能改造完成</w:t>
            </w:r>
            <w:r>
              <w:rPr>
                <w:rFonts w:hint="eastAsia" w:ascii="Times New Roman" w:hAnsi="Times New Roman" w:eastAsia="宋体" w:cs="Times New Roman"/>
                <w:b/>
                <w:bCs w:val="0"/>
                <w:color w:val="auto"/>
                <w:kern w:val="2"/>
                <w:sz w:val="21"/>
                <w:szCs w:val="21"/>
                <w:highlight w:val="none"/>
                <w:lang w:val="en-US" w:eastAsia="zh-CN" w:bidi="ar-SA"/>
              </w:rPr>
              <w:t>后，</w:t>
            </w:r>
            <w:r>
              <w:rPr>
                <w:rFonts w:hint="eastAsia" w:cs="Times New Roman"/>
                <w:b/>
                <w:bCs w:val="0"/>
                <w:color w:val="auto"/>
                <w:kern w:val="2"/>
                <w:sz w:val="21"/>
                <w:szCs w:val="21"/>
                <w:highlight w:val="none"/>
                <w:lang w:val="en-US" w:eastAsia="zh-CN" w:bidi="ar-SA"/>
              </w:rPr>
              <w:t>食品级甘氨酸亚铁产能达到300</w:t>
            </w:r>
            <w:r>
              <w:rPr>
                <w:rFonts w:hint="eastAsia" w:ascii="Times New Roman" w:hAnsi="Times New Roman" w:eastAsia="宋体" w:cs="Times New Roman"/>
                <w:b/>
                <w:bCs w:val="0"/>
                <w:color w:val="auto"/>
                <w:kern w:val="2"/>
                <w:sz w:val="21"/>
                <w:szCs w:val="21"/>
                <w:highlight w:val="none"/>
                <w:lang w:val="en-US" w:eastAsia="zh-CN" w:bidi="ar-SA"/>
              </w:rPr>
              <w:t xml:space="preserve"> </w:t>
            </w:r>
            <w:r>
              <w:rPr>
                <w:rFonts w:hint="eastAsia" w:cs="Times New Roman"/>
                <w:b/>
                <w:bCs w:val="0"/>
                <w:color w:val="auto"/>
                <w:kern w:val="2"/>
                <w:sz w:val="21"/>
                <w:szCs w:val="21"/>
                <w:highlight w:val="none"/>
                <w:lang w:val="en-US" w:eastAsia="zh-CN" w:bidi="ar-SA"/>
              </w:rPr>
              <w:t>t/a</w:t>
            </w:r>
            <w:r>
              <w:rPr>
                <w:rFonts w:hint="eastAsia" w:ascii="Times New Roman" w:hAnsi="Times New Roman" w:eastAsia="宋体" w:cs="Times New Roman"/>
                <w:b/>
                <w:bCs w:val="0"/>
                <w:color w:val="auto"/>
                <w:kern w:val="2"/>
                <w:sz w:val="21"/>
                <w:szCs w:val="21"/>
                <w:highlight w:val="none"/>
                <w:lang w:val="en-US" w:eastAsia="zh-CN" w:bidi="ar-SA"/>
              </w:rPr>
              <w:t>；</w:t>
            </w:r>
            <w:r>
              <w:rPr>
                <w:rFonts w:hint="eastAsia" w:cs="Times New Roman"/>
                <w:b/>
                <w:bCs w:val="0"/>
                <w:color w:val="auto"/>
                <w:kern w:val="2"/>
                <w:sz w:val="21"/>
                <w:szCs w:val="21"/>
                <w:highlight w:val="none"/>
                <w:lang w:val="en-US" w:eastAsia="zh-CN" w:bidi="ar-SA"/>
              </w:rPr>
              <w:t>本项目所用原料食品级甘氨酸为企业自产精制氨基乙酸</w:t>
            </w:r>
            <w:r>
              <w:rPr>
                <w:rFonts w:hint="eastAsia" w:ascii="Times New Roman" w:hAnsi="Times New Roman" w:eastAsia="宋体" w:cs="Times New Roman"/>
                <w:b/>
                <w:bCs w:val="0"/>
                <w:color w:val="auto"/>
                <w:kern w:val="2"/>
                <w:sz w:val="21"/>
                <w:szCs w:val="21"/>
                <w:highlight w:val="none"/>
                <w:lang w:val="en-US" w:eastAsia="zh-CN" w:bidi="ar-SA"/>
              </w:rPr>
              <w:t>，</w:t>
            </w:r>
            <w:r>
              <w:rPr>
                <w:rFonts w:hint="eastAsia" w:cs="Times New Roman"/>
                <w:b/>
                <w:bCs w:val="0"/>
                <w:color w:val="auto"/>
                <w:kern w:val="2"/>
                <w:sz w:val="21"/>
                <w:szCs w:val="21"/>
                <w:highlight w:val="none"/>
                <w:lang w:val="en-US" w:eastAsia="zh-CN" w:bidi="ar-SA"/>
              </w:rPr>
              <w:t>全厂产品链图</w:t>
            </w:r>
            <w:r>
              <w:rPr>
                <w:rFonts w:hint="eastAsia" w:ascii="Times New Roman" w:hAnsi="Times New Roman" w:eastAsia="宋体" w:cs="Times New Roman"/>
                <w:b/>
                <w:bCs w:val="0"/>
                <w:color w:val="auto"/>
                <w:kern w:val="2"/>
                <w:sz w:val="21"/>
                <w:szCs w:val="21"/>
                <w:highlight w:val="none"/>
                <w:lang w:val="en-US" w:eastAsia="zh-CN" w:bidi="ar-SA"/>
              </w:rPr>
              <w:t>如下：</w:t>
            </w:r>
          </w:p>
          <w:p w14:paraId="3F2C286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jc w:val="both"/>
              <w:textAlignment w:val="auto"/>
              <w:outlineLvl w:val="1"/>
              <w:rPr>
                <w:rFonts w:hint="eastAsia"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object>
                <v:shape id="_x0000_i1025" o:spt="75" type="#_x0000_t75" style="height:253.75pt;width:376pt;" o:ole="t" filled="f" o:preferrelative="t" stroked="f" coordsize="21600,21600">
                  <v:path/>
                  <v:fill on="f" focussize="0,0"/>
                  <v:stroke on="f"/>
                  <v:imagedata r:id="rId15" o:title=""/>
                  <o:lock v:ext="edit" aspectratio="t"/>
                  <w10:wrap type="none"/>
                  <w10:anchorlock/>
                </v:shape>
                <o:OLEObject Type="Embed" ProgID="Visio.Drawing.15" ShapeID="_x0000_i1025" DrawAspect="Content" ObjectID="_1468075725" r:id="rId14">
                  <o:LockedField>false</o:LockedField>
                </o:OLEObject>
              </w:object>
            </w:r>
          </w:p>
          <w:p w14:paraId="3C8185E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auto"/>
              <w:outlineLvl w:val="1"/>
              <w:rPr>
                <w:rFonts w:hint="eastAsia"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color w:val="auto"/>
                <w:sz w:val="21"/>
                <w:szCs w:val="21"/>
                <w:highlight w:val="none"/>
                <w:lang w:val="en-US" w:eastAsia="zh-CN"/>
              </w:rPr>
              <w:t>图</w:t>
            </w:r>
            <w:r>
              <w:rPr>
                <w:rFonts w:hint="default" w:ascii="Times New Roman" w:hAnsi="Times New Roman" w:eastAsia="宋体" w:cs="Times New Roman"/>
                <w:b/>
                <w:bCs/>
                <w:color w:val="auto"/>
                <w:sz w:val="21"/>
                <w:szCs w:val="21"/>
                <w:highlight w:val="none"/>
                <w:lang w:val="en-US" w:eastAsia="zh-CN"/>
              </w:rPr>
              <w:t xml:space="preserve"> 2-</w:t>
            </w:r>
            <w:r>
              <w:rPr>
                <w:rFonts w:hint="eastAsia" w:cs="Times New Roman"/>
                <w:b/>
                <w:bCs/>
                <w:color w:val="auto"/>
                <w:sz w:val="21"/>
                <w:szCs w:val="21"/>
                <w:highlight w:val="none"/>
                <w:lang w:val="en-US" w:eastAsia="zh-CN"/>
              </w:rPr>
              <w:t>1</w:t>
            </w:r>
            <w:r>
              <w:rPr>
                <w:rFonts w:hint="default" w:ascii="Times New Roman" w:hAnsi="Times New Roman" w:eastAsia="宋体" w:cs="Times New Roman"/>
                <w:b/>
                <w:bCs/>
                <w:color w:val="auto"/>
                <w:sz w:val="21"/>
                <w:szCs w:val="21"/>
                <w:highlight w:val="none"/>
                <w:lang w:val="en-US" w:eastAsia="zh-CN"/>
              </w:rPr>
              <w:t xml:space="preserve"> 本项目</w:t>
            </w:r>
            <w:r>
              <w:rPr>
                <w:rFonts w:hint="eastAsia" w:ascii="Times New Roman" w:hAnsi="Times New Roman" w:eastAsia="宋体" w:cs="Times New Roman"/>
                <w:b/>
                <w:bCs/>
                <w:color w:val="auto"/>
                <w:sz w:val="21"/>
                <w:szCs w:val="21"/>
                <w:highlight w:val="none"/>
                <w:lang w:val="en-US" w:eastAsia="zh-CN"/>
              </w:rPr>
              <w:t>扩能改造完成后全厂产品链图</w:t>
            </w:r>
          </w:p>
          <w:p w14:paraId="583D61DF">
            <w:pPr>
              <w:keepNext w:val="0"/>
              <w:keepLines w:val="0"/>
              <w:pageBreakBefore w:val="0"/>
              <w:widowControl w:val="0"/>
              <w:tabs>
                <w:tab w:val="center" w:pos="3972"/>
              </w:tabs>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auto"/>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w:t>
            </w:r>
            <w:r>
              <w:rPr>
                <w:rFonts w:hint="eastAsia" w:cs="Times New Roman"/>
                <w:b/>
                <w:bCs w:val="0"/>
                <w:color w:val="auto"/>
                <w:kern w:val="2"/>
                <w:sz w:val="21"/>
                <w:szCs w:val="21"/>
                <w:highlight w:val="none"/>
                <w:lang w:val="en-US" w:eastAsia="zh-CN" w:bidi="ar-SA"/>
              </w:rPr>
              <w:t>四</w:t>
            </w:r>
            <w:r>
              <w:rPr>
                <w:rFonts w:hint="eastAsia" w:ascii="Times New Roman" w:hAnsi="Times New Roman" w:eastAsia="宋体" w:cs="Times New Roman"/>
                <w:b/>
                <w:bCs w:val="0"/>
                <w:color w:val="auto"/>
                <w:kern w:val="2"/>
                <w:sz w:val="21"/>
                <w:szCs w:val="21"/>
                <w:highlight w:val="none"/>
                <w:lang w:val="en-US" w:eastAsia="zh-CN" w:bidi="ar-SA"/>
              </w:rPr>
              <w:t>）</w:t>
            </w:r>
            <w:r>
              <w:rPr>
                <w:rFonts w:hint="default" w:ascii="Times New Roman" w:hAnsi="Times New Roman" w:eastAsia="宋体" w:cs="Times New Roman"/>
                <w:b/>
                <w:bCs w:val="0"/>
                <w:color w:val="auto"/>
                <w:kern w:val="2"/>
                <w:sz w:val="21"/>
                <w:szCs w:val="21"/>
                <w:highlight w:val="none"/>
                <w:lang w:val="en-US" w:eastAsia="zh-CN" w:bidi="ar-SA"/>
              </w:rPr>
              <w:t>主要生产设备</w:t>
            </w:r>
            <w:r>
              <w:rPr>
                <w:rFonts w:hint="eastAsia" w:cs="Times New Roman"/>
                <w:b/>
                <w:bCs w:val="0"/>
                <w:color w:val="auto"/>
                <w:kern w:val="2"/>
                <w:sz w:val="21"/>
                <w:szCs w:val="21"/>
                <w:highlight w:val="none"/>
                <w:lang w:val="en-US" w:eastAsia="zh-CN" w:bidi="ar-SA"/>
              </w:rPr>
              <w:tab/>
            </w:r>
          </w:p>
          <w:p w14:paraId="1057D854">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本</w:t>
            </w:r>
            <w:r>
              <w:rPr>
                <w:rFonts w:hint="default" w:ascii="Times New Roman" w:hAnsi="Times New Roman" w:eastAsia="宋体" w:cs="Times New Roman"/>
                <w:color w:val="auto"/>
                <w:sz w:val="21"/>
                <w:szCs w:val="21"/>
                <w:highlight w:val="none"/>
                <w:lang w:val="en-US" w:eastAsia="zh-CN"/>
              </w:rPr>
              <w:t>项目主要生产设备详见表2-</w:t>
            </w:r>
            <w:r>
              <w:rPr>
                <w:rFonts w:hint="eastAsia" w:cs="Times New Roman"/>
                <w:color w:val="auto"/>
                <w:sz w:val="21"/>
                <w:szCs w:val="21"/>
                <w:highlight w:val="none"/>
                <w:lang w:val="en-US" w:eastAsia="zh-CN"/>
              </w:rPr>
              <w:t>4</w:t>
            </w:r>
            <w:r>
              <w:rPr>
                <w:rFonts w:hint="default" w:ascii="Times New Roman" w:hAnsi="Times New Roman" w:eastAsia="宋体" w:cs="Times New Roman"/>
                <w:color w:val="auto"/>
                <w:sz w:val="21"/>
                <w:szCs w:val="21"/>
                <w:highlight w:val="none"/>
                <w:lang w:val="en-US" w:eastAsia="zh-CN"/>
              </w:rPr>
              <w:t>。</w:t>
            </w:r>
          </w:p>
          <w:p w14:paraId="4C12F4A4">
            <w:pPr>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bookmarkStart w:id="20" w:name="OLE_LINK15"/>
            <w:r>
              <w:rPr>
                <w:rFonts w:hint="default" w:ascii="Times New Roman" w:hAnsi="Times New Roman" w:eastAsia="宋体" w:cs="Times New Roman"/>
                <w:b/>
                <w:bCs/>
                <w:color w:val="auto"/>
                <w:sz w:val="21"/>
                <w:szCs w:val="21"/>
                <w:highlight w:val="none"/>
                <w:lang w:val="en-US" w:eastAsia="zh-CN"/>
              </w:rPr>
              <w:t>表 2-</w:t>
            </w:r>
            <w:r>
              <w:rPr>
                <w:rFonts w:hint="eastAsia" w:cs="Times New Roman"/>
                <w:b/>
                <w:bCs/>
                <w:color w:val="auto"/>
                <w:sz w:val="21"/>
                <w:szCs w:val="21"/>
                <w:highlight w:val="none"/>
                <w:lang w:val="en-US" w:eastAsia="zh-CN"/>
              </w:rPr>
              <w:t>4</w:t>
            </w:r>
            <w:r>
              <w:rPr>
                <w:rFonts w:hint="default" w:ascii="Times New Roman" w:hAnsi="Times New Roman" w:eastAsia="宋体" w:cs="Times New Roman"/>
                <w:b/>
                <w:bCs/>
                <w:color w:val="auto"/>
                <w:sz w:val="21"/>
                <w:szCs w:val="21"/>
                <w:highlight w:val="none"/>
                <w:lang w:val="en-US" w:eastAsia="zh-CN"/>
              </w:rPr>
              <w:t xml:space="preserve"> 本项目主要生产设备一览表</w:t>
            </w:r>
            <w:bookmarkEnd w:id="20"/>
          </w:p>
          <w:tbl>
            <w:tblPr>
              <w:tblStyle w:val="25"/>
              <w:tblW w:w="5000"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9"/>
              <w:gridCol w:w="1956"/>
              <w:gridCol w:w="1639"/>
              <w:gridCol w:w="730"/>
              <w:gridCol w:w="1593"/>
              <w:gridCol w:w="1318"/>
            </w:tblGrid>
            <w:tr w14:paraId="5C527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blHeader/>
              </w:trPr>
              <w:tc>
                <w:tcPr>
                  <w:tcW w:w="440" w:type="pct"/>
                  <w:noWrap w:val="0"/>
                  <w:vAlign w:val="center"/>
                </w:tcPr>
                <w:p w14:paraId="1DF39A09">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序号</w:t>
                  </w:r>
                </w:p>
              </w:tc>
              <w:tc>
                <w:tcPr>
                  <w:tcW w:w="1232" w:type="pct"/>
                  <w:noWrap w:val="0"/>
                  <w:vAlign w:val="center"/>
                </w:tcPr>
                <w:p w14:paraId="3D548E4B">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设备名称</w:t>
                  </w:r>
                </w:p>
              </w:tc>
              <w:tc>
                <w:tcPr>
                  <w:tcW w:w="1032" w:type="pct"/>
                  <w:noWrap w:val="0"/>
                  <w:vAlign w:val="center"/>
                </w:tcPr>
                <w:p w14:paraId="13FD7A3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规格型号</w:t>
                  </w:r>
                </w:p>
              </w:tc>
              <w:tc>
                <w:tcPr>
                  <w:tcW w:w="459" w:type="pct"/>
                  <w:noWrap w:val="0"/>
                  <w:vAlign w:val="center"/>
                </w:tcPr>
                <w:p w14:paraId="1B1A7BB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数量</w:t>
                  </w:r>
                </w:p>
              </w:tc>
              <w:tc>
                <w:tcPr>
                  <w:tcW w:w="1003" w:type="pct"/>
                  <w:noWrap w:val="0"/>
                  <w:vAlign w:val="center"/>
                </w:tcPr>
                <w:p w14:paraId="519372F8">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介质</w:t>
                  </w:r>
                </w:p>
              </w:tc>
              <w:tc>
                <w:tcPr>
                  <w:tcW w:w="830" w:type="pct"/>
                  <w:noWrap w:val="0"/>
                  <w:vAlign w:val="center"/>
                </w:tcPr>
                <w:p w14:paraId="76F32FC5">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备注</w:t>
                  </w:r>
                </w:p>
              </w:tc>
            </w:tr>
            <w:tr w14:paraId="0C7B0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440" w:type="pct"/>
                  <w:noWrap w:val="0"/>
                  <w:vAlign w:val="center"/>
                </w:tcPr>
                <w:p w14:paraId="29577857">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232" w:type="pct"/>
                  <w:noWrap w:val="0"/>
                  <w:vAlign w:val="center"/>
                </w:tcPr>
                <w:p w14:paraId="2EF558C9">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储水罐</w:t>
                  </w:r>
                </w:p>
              </w:tc>
              <w:tc>
                <w:tcPr>
                  <w:tcW w:w="1032" w:type="pct"/>
                  <w:noWrap w:val="0"/>
                  <w:vAlign w:val="center"/>
                </w:tcPr>
                <w:p w14:paraId="25074593">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2.5m³，316L</w:t>
                  </w:r>
                </w:p>
              </w:tc>
              <w:tc>
                <w:tcPr>
                  <w:tcW w:w="459" w:type="pct"/>
                  <w:noWrap w:val="0"/>
                  <w:vAlign w:val="center"/>
                </w:tcPr>
                <w:p w14:paraId="4DF5B3E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58FD591C">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去离子水</w:t>
                  </w:r>
                </w:p>
              </w:tc>
              <w:tc>
                <w:tcPr>
                  <w:tcW w:w="830" w:type="pct"/>
                  <w:noWrap w:val="0"/>
                  <w:vAlign w:val="center"/>
                </w:tcPr>
                <w:p w14:paraId="6E0B0CA2">
                  <w:pPr>
                    <w:pStyle w:val="56"/>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080B6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440" w:type="pct"/>
                  <w:noWrap w:val="0"/>
                  <w:vAlign w:val="center"/>
                </w:tcPr>
                <w:p w14:paraId="02F489F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w:t>
                  </w:r>
                </w:p>
              </w:tc>
              <w:tc>
                <w:tcPr>
                  <w:tcW w:w="1232" w:type="pct"/>
                  <w:noWrap w:val="0"/>
                  <w:vAlign w:val="center"/>
                </w:tcPr>
                <w:p w14:paraId="5ABB44D5">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去离子水泵</w:t>
                  </w:r>
                </w:p>
              </w:tc>
              <w:tc>
                <w:tcPr>
                  <w:tcW w:w="1032" w:type="pct"/>
                  <w:noWrap w:val="0"/>
                  <w:vAlign w:val="center"/>
                </w:tcPr>
                <w:p w14:paraId="5CE2FB69">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459" w:type="pct"/>
                  <w:noWrap w:val="0"/>
                  <w:vAlign w:val="center"/>
                </w:tcPr>
                <w:p w14:paraId="29C3EFE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21BB04C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去离子水</w:t>
                  </w:r>
                </w:p>
              </w:tc>
              <w:tc>
                <w:tcPr>
                  <w:tcW w:w="830" w:type="pct"/>
                  <w:noWrap w:val="0"/>
                  <w:vAlign w:val="center"/>
                </w:tcPr>
                <w:p w14:paraId="6E712E8F">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lang w:val="en-US" w:eastAsia="zh-CN"/>
                    </w:rPr>
                    <w:t>新增</w:t>
                  </w:r>
                </w:p>
              </w:tc>
            </w:tr>
            <w:tr w14:paraId="3112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0CD418E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w:t>
                  </w:r>
                </w:p>
              </w:tc>
              <w:tc>
                <w:tcPr>
                  <w:tcW w:w="1232" w:type="pct"/>
                  <w:noWrap w:val="0"/>
                  <w:vAlign w:val="center"/>
                </w:tcPr>
                <w:p w14:paraId="3E610481">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反应釜</w:t>
                  </w:r>
                </w:p>
              </w:tc>
              <w:tc>
                <w:tcPr>
                  <w:tcW w:w="1032" w:type="pct"/>
                  <w:noWrap w:val="0"/>
                  <w:vAlign w:val="center"/>
                </w:tcPr>
                <w:p w14:paraId="2C5FA45F">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500L不锈钢，3kW，ExdⅡ</w:t>
                  </w:r>
                  <w:r>
                    <w:rPr>
                      <w:rFonts w:hint="eastAsia"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 xml:space="preserve">CT4 Gb </w:t>
                  </w:r>
                </w:p>
              </w:tc>
              <w:tc>
                <w:tcPr>
                  <w:tcW w:w="459" w:type="pct"/>
                  <w:noWrap w:val="0"/>
                  <w:vAlign w:val="center"/>
                </w:tcPr>
                <w:p w14:paraId="5B74EA2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w:t>
                  </w:r>
                </w:p>
              </w:tc>
              <w:tc>
                <w:tcPr>
                  <w:tcW w:w="1003" w:type="pct"/>
                  <w:noWrap w:val="0"/>
                  <w:vAlign w:val="center"/>
                </w:tcPr>
                <w:p w14:paraId="6732DCC5">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90～110℃，甘氨酸、维C、铁粉、柠檬酸、甘氨酸亚铁溶液</w:t>
                  </w:r>
                </w:p>
              </w:tc>
              <w:tc>
                <w:tcPr>
                  <w:tcW w:w="830" w:type="pct"/>
                  <w:noWrap w:val="0"/>
                  <w:vAlign w:val="center"/>
                </w:tcPr>
                <w:p w14:paraId="041E0839">
                  <w:pPr>
                    <w:pStyle w:val="56"/>
                    <w:rPr>
                      <w:rFonts w:hint="default"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lang w:val="en-US" w:eastAsia="zh-CN"/>
                    </w:rPr>
                    <w:t>新增</w:t>
                  </w:r>
                </w:p>
              </w:tc>
            </w:tr>
            <w:tr w14:paraId="76E98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3BB8C776">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4</w:t>
                  </w:r>
                </w:p>
              </w:tc>
              <w:tc>
                <w:tcPr>
                  <w:tcW w:w="1232" w:type="pct"/>
                  <w:noWrap w:val="0"/>
                  <w:vAlign w:val="center"/>
                </w:tcPr>
                <w:p w14:paraId="16A4F98C">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离心机</w:t>
                  </w:r>
                </w:p>
              </w:tc>
              <w:tc>
                <w:tcPr>
                  <w:tcW w:w="1032" w:type="pct"/>
                  <w:noWrap w:val="0"/>
                  <w:vAlign w:val="center"/>
                </w:tcPr>
                <w:p w14:paraId="642B4FF1">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ExdⅡCT4 Gb</w:t>
                  </w:r>
                </w:p>
              </w:tc>
              <w:tc>
                <w:tcPr>
                  <w:tcW w:w="459" w:type="pct"/>
                  <w:noWrap w:val="0"/>
                  <w:vAlign w:val="center"/>
                </w:tcPr>
                <w:p w14:paraId="5C91B85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5AC74B08">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80℃甘氨酸亚铁溶液（溶液中含铁粉量：15Kg/450Kg）</w:t>
                  </w:r>
                </w:p>
              </w:tc>
              <w:tc>
                <w:tcPr>
                  <w:tcW w:w="830" w:type="pct"/>
                  <w:noWrap w:val="0"/>
                  <w:vAlign w:val="center"/>
                </w:tcPr>
                <w:p w14:paraId="6FDF1C42">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45197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380DA972">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5</w:t>
                  </w:r>
                </w:p>
              </w:tc>
              <w:tc>
                <w:tcPr>
                  <w:tcW w:w="1232" w:type="pct"/>
                  <w:noWrap w:val="0"/>
                  <w:vAlign w:val="center"/>
                </w:tcPr>
                <w:p w14:paraId="52F91669">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料液槽</w:t>
                  </w:r>
                </w:p>
              </w:tc>
              <w:tc>
                <w:tcPr>
                  <w:tcW w:w="1032" w:type="pct"/>
                  <w:noWrap w:val="0"/>
                  <w:vAlign w:val="center"/>
                </w:tcPr>
                <w:p w14:paraId="7F9849F8">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700L，316L</w:t>
                  </w:r>
                </w:p>
              </w:tc>
              <w:tc>
                <w:tcPr>
                  <w:tcW w:w="459" w:type="pct"/>
                  <w:noWrap w:val="0"/>
                  <w:vAlign w:val="center"/>
                </w:tcPr>
                <w:p w14:paraId="7F1DFB00">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51E6395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甘氨酸亚铁溶液</w:t>
                  </w:r>
                </w:p>
              </w:tc>
              <w:tc>
                <w:tcPr>
                  <w:tcW w:w="830" w:type="pct"/>
                  <w:noWrap w:val="0"/>
                  <w:vAlign w:val="center"/>
                </w:tcPr>
                <w:p w14:paraId="1C039483">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15EA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000CE7DB">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6</w:t>
                  </w:r>
                </w:p>
              </w:tc>
              <w:tc>
                <w:tcPr>
                  <w:tcW w:w="1232" w:type="pct"/>
                  <w:noWrap w:val="0"/>
                  <w:vAlign w:val="center"/>
                </w:tcPr>
                <w:p w14:paraId="5D1502B0">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料液泵</w:t>
                  </w:r>
                </w:p>
              </w:tc>
              <w:tc>
                <w:tcPr>
                  <w:tcW w:w="1032" w:type="pct"/>
                  <w:noWrap w:val="0"/>
                  <w:vAlign w:val="center"/>
                </w:tcPr>
                <w:p w14:paraId="153A4C1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ExdⅡ</w:t>
                  </w:r>
                  <w:r>
                    <w:rPr>
                      <w:rFonts w:hint="eastAsia"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CT4 Gb</w:t>
                  </w:r>
                </w:p>
              </w:tc>
              <w:tc>
                <w:tcPr>
                  <w:tcW w:w="459" w:type="pct"/>
                  <w:noWrap w:val="0"/>
                  <w:vAlign w:val="center"/>
                </w:tcPr>
                <w:p w14:paraId="78D03DA2">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39F5D7BC">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甘氨酸亚铁溶液</w:t>
                  </w:r>
                </w:p>
              </w:tc>
              <w:tc>
                <w:tcPr>
                  <w:tcW w:w="830" w:type="pct"/>
                  <w:noWrap w:val="0"/>
                  <w:vAlign w:val="center"/>
                </w:tcPr>
                <w:p w14:paraId="7F4E4184">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2D58E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7F00E65C">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7</w:t>
                  </w:r>
                </w:p>
              </w:tc>
              <w:tc>
                <w:tcPr>
                  <w:tcW w:w="1232" w:type="pct"/>
                  <w:noWrap w:val="0"/>
                  <w:vAlign w:val="center"/>
                </w:tcPr>
                <w:p w14:paraId="2CF5C5F7">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中转罐</w:t>
                  </w:r>
                </w:p>
              </w:tc>
              <w:tc>
                <w:tcPr>
                  <w:tcW w:w="1032" w:type="pct"/>
                  <w:noWrap w:val="0"/>
                  <w:vAlign w:val="center"/>
                </w:tcPr>
                <w:p w14:paraId="5C9B0EF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2000L，316L，2.2kW</w:t>
                  </w:r>
                </w:p>
              </w:tc>
              <w:tc>
                <w:tcPr>
                  <w:tcW w:w="459" w:type="pct"/>
                  <w:noWrap w:val="0"/>
                  <w:vAlign w:val="center"/>
                </w:tcPr>
                <w:p w14:paraId="7B99A0A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w:t>
                  </w:r>
                </w:p>
              </w:tc>
              <w:tc>
                <w:tcPr>
                  <w:tcW w:w="1003" w:type="pct"/>
                  <w:noWrap w:val="0"/>
                  <w:vAlign w:val="center"/>
                </w:tcPr>
                <w:p w14:paraId="02B99007">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甘氨酸亚铁溶液</w:t>
                  </w:r>
                </w:p>
              </w:tc>
              <w:tc>
                <w:tcPr>
                  <w:tcW w:w="830" w:type="pct"/>
                  <w:noWrap w:val="0"/>
                  <w:vAlign w:val="center"/>
                </w:tcPr>
                <w:p w14:paraId="0A207212">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20ACF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104DAE4C">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8</w:t>
                  </w:r>
                </w:p>
              </w:tc>
              <w:tc>
                <w:tcPr>
                  <w:tcW w:w="1232" w:type="pct"/>
                  <w:noWrap w:val="0"/>
                  <w:vAlign w:val="center"/>
                </w:tcPr>
                <w:p w14:paraId="57BEA5B9">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除铁器</w:t>
                  </w:r>
                </w:p>
              </w:tc>
              <w:tc>
                <w:tcPr>
                  <w:tcW w:w="1032" w:type="pct"/>
                  <w:noWrap w:val="0"/>
                  <w:vAlign w:val="center"/>
                </w:tcPr>
                <w:p w14:paraId="4FF5184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管道式，带过滤网</w:t>
                  </w:r>
                </w:p>
              </w:tc>
              <w:tc>
                <w:tcPr>
                  <w:tcW w:w="459" w:type="pct"/>
                  <w:noWrap w:val="0"/>
                  <w:vAlign w:val="center"/>
                </w:tcPr>
                <w:p w14:paraId="6DB91651">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1DC67ADF">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甘氨酸亚铁溶液</w:t>
                  </w:r>
                </w:p>
              </w:tc>
              <w:tc>
                <w:tcPr>
                  <w:tcW w:w="830" w:type="pct"/>
                  <w:noWrap w:val="0"/>
                  <w:vAlign w:val="center"/>
                </w:tcPr>
                <w:p w14:paraId="0008A6C9">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0BB6C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0951A7A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9</w:t>
                  </w:r>
                </w:p>
              </w:tc>
              <w:tc>
                <w:tcPr>
                  <w:tcW w:w="1232" w:type="pct"/>
                  <w:noWrap w:val="0"/>
                  <w:vAlign w:val="center"/>
                </w:tcPr>
                <w:p w14:paraId="547ABBAF">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反应风机</w:t>
                  </w:r>
                </w:p>
              </w:tc>
              <w:tc>
                <w:tcPr>
                  <w:tcW w:w="1032" w:type="pct"/>
                  <w:noWrap w:val="0"/>
                  <w:vAlign w:val="center"/>
                </w:tcPr>
                <w:p w14:paraId="356A54F6">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w:t>
                  </w:r>
                </w:p>
              </w:tc>
              <w:tc>
                <w:tcPr>
                  <w:tcW w:w="459" w:type="pct"/>
                  <w:noWrap w:val="0"/>
                  <w:vAlign w:val="center"/>
                </w:tcPr>
                <w:p w14:paraId="20D2D6CD">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57835FA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尾气</w:t>
                  </w:r>
                </w:p>
              </w:tc>
              <w:tc>
                <w:tcPr>
                  <w:tcW w:w="830" w:type="pct"/>
                  <w:noWrap w:val="0"/>
                  <w:vAlign w:val="center"/>
                </w:tcPr>
                <w:p w14:paraId="5322B6FD">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59680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51A33564">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10</w:t>
                  </w:r>
                </w:p>
              </w:tc>
              <w:tc>
                <w:tcPr>
                  <w:tcW w:w="1232" w:type="pct"/>
                  <w:noWrap w:val="0"/>
                  <w:vAlign w:val="center"/>
                </w:tcPr>
                <w:p w14:paraId="44CF856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提升机</w:t>
                  </w:r>
                </w:p>
              </w:tc>
              <w:tc>
                <w:tcPr>
                  <w:tcW w:w="1032" w:type="pct"/>
                  <w:noWrap w:val="0"/>
                  <w:vAlign w:val="center"/>
                </w:tcPr>
                <w:p w14:paraId="55541A07">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2t，ExdⅡCT4 Gb</w:t>
                  </w:r>
                </w:p>
              </w:tc>
              <w:tc>
                <w:tcPr>
                  <w:tcW w:w="459" w:type="pct"/>
                  <w:noWrap w:val="0"/>
                  <w:vAlign w:val="center"/>
                </w:tcPr>
                <w:p w14:paraId="29B7C700">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2D414186">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甘氨酸亚铁</w:t>
                  </w:r>
                </w:p>
              </w:tc>
              <w:tc>
                <w:tcPr>
                  <w:tcW w:w="830" w:type="pct"/>
                  <w:noWrap w:val="0"/>
                  <w:vAlign w:val="center"/>
                </w:tcPr>
                <w:p w14:paraId="7D0B37D7">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46474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4AB4F62F">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11</w:t>
                  </w:r>
                </w:p>
              </w:tc>
              <w:tc>
                <w:tcPr>
                  <w:tcW w:w="1232" w:type="pct"/>
                  <w:noWrap w:val="0"/>
                  <w:vAlign w:val="center"/>
                </w:tcPr>
                <w:p w14:paraId="2145A2F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喷干系统-成套</w:t>
                  </w:r>
                </w:p>
              </w:tc>
              <w:tc>
                <w:tcPr>
                  <w:tcW w:w="1032" w:type="pct"/>
                  <w:noWrap w:val="0"/>
                  <w:vAlign w:val="center"/>
                </w:tcPr>
                <w:p w14:paraId="76097792">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LPG100，φ3000mm</w:t>
                  </w:r>
                </w:p>
              </w:tc>
              <w:tc>
                <w:tcPr>
                  <w:tcW w:w="459" w:type="pct"/>
                  <w:noWrap w:val="0"/>
                  <w:vAlign w:val="center"/>
                </w:tcPr>
                <w:p w14:paraId="313C1590">
                  <w:pPr>
                    <w:pStyle w:val="56"/>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1003" w:type="pct"/>
                  <w:noWrap w:val="0"/>
                  <w:vAlign w:val="center"/>
                </w:tcPr>
                <w:p w14:paraId="7C060597">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830" w:type="pct"/>
                  <w:noWrap w:val="0"/>
                  <w:vAlign w:val="center"/>
                </w:tcPr>
                <w:p w14:paraId="296E5F60">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69408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361F081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12</w:t>
                  </w:r>
                </w:p>
              </w:tc>
              <w:tc>
                <w:tcPr>
                  <w:tcW w:w="1232" w:type="pct"/>
                  <w:noWrap w:val="0"/>
                  <w:vAlign w:val="center"/>
                </w:tcPr>
                <w:p w14:paraId="44D3DDF4">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空气加热系统-成套</w:t>
                  </w:r>
                </w:p>
              </w:tc>
              <w:tc>
                <w:tcPr>
                  <w:tcW w:w="1032" w:type="pct"/>
                  <w:noWrap w:val="0"/>
                  <w:vAlign w:val="center"/>
                </w:tcPr>
                <w:p w14:paraId="3A9AF9A4">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w:t>
                  </w:r>
                </w:p>
              </w:tc>
              <w:tc>
                <w:tcPr>
                  <w:tcW w:w="459" w:type="pct"/>
                  <w:noWrap w:val="0"/>
                  <w:vAlign w:val="center"/>
                </w:tcPr>
                <w:p w14:paraId="622A1A86">
                  <w:pPr>
                    <w:pStyle w:val="56"/>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p>
              </w:tc>
              <w:tc>
                <w:tcPr>
                  <w:tcW w:w="1003" w:type="pct"/>
                  <w:noWrap w:val="0"/>
                  <w:vAlign w:val="center"/>
                </w:tcPr>
                <w:p w14:paraId="745EA676">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830" w:type="pct"/>
                  <w:noWrap w:val="0"/>
                  <w:vAlign w:val="center"/>
                </w:tcPr>
                <w:p w14:paraId="6AB5F0CA">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1D86A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40" w:type="pct"/>
                  <w:noWrap w:val="0"/>
                  <w:vAlign w:val="center"/>
                </w:tcPr>
                <w:p w14:paraId="3C0066DF">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13</w:t>
                  </w:r>
                </w:p>
              </w:tc>
              <w:tc>
                <w:tcPr>
                  <w:tcW w:w="1232" w:type="pct"/>
                  <w:noWrap w:val="0"/>
                  <w:vAlign w:val="center"/>
                </w:tcPr>
                <w:p w14:paraId="0AF248D1">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粉碎设备-成套</w:t>
                  </w:r>
                </w:p>
              </w:tc>
              <w:tc>
                <w:tcPr>
                  <w:tcW w:w="1032" w:type="pct"/>
                  <w:noWrap w:val="0"/>
                  <w:vAlign w:val="center"/>
                </w:tcPr>
                <w:p w14:paraId="1D2E817A">
                  <w:pPr>
                    <w:jc w:val="center"/>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30B，5.5+0.75kW</w:t>
                  </w:r>
                </w:p>
              </w:tc>
              <w:tc>
                <w:tcPr>
                  <w:tcW w:w="459" w:type="pct"/>
                  <w:noWrap w:val="0"/>
                  <w:vAlign w:val="center"/>
                </w:tcPr>
                <w:p w14:paraId="4204B659">
                  <w:pPr>
                    <w:pStyle w:val="56"/>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w:t>
                  </w:r>
                </w:p>
              </w:tc>
              <w:tc>
                <w:tcPr>
                  <w:tcW w:w="1003" w:type="pct"/>
                  <w:noWrap w:val="0"/>
                  <w:vAlign w:val="center"/>
                </w:tcPr>
                <w:p w14:paraId="06156696">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甘氨酸亚铁</w:t>
                  </w:r>
                </w:p>
              </w:tc>
              <w:tc>
                <w:tcPr>
                  <w:tcW w:w="830" w:type="pct"/>
                  <w:noWrap w:val="0"/>
                  <w:vAlign w:val="center"/>
                </w:tcPr>
                <w:p w14:paraId="0F3F25F1">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56F48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0" w:type="pct"/>
                  <w:noWrap w:val="0"/>
                  <w:vAlign w:val="center"/>
                </w:tcPr>
                <w:p w14:paraId="150FD0E1">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14</w:t>
                  </w:r>
                </w:p>
              </w:tc>
              <w:tc>
                <w:tcPr>
                  <w:tcW w:w="1232" w:type="pct"/>
                  <w:noWrap w:val="0"/>
                  <w:vAlign w:val="center"/>
                </w:tcPr>
                <w:p w14:paraId="3FC13457">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尾气处理系统-成套</w:t>
                  </w:r>
                </w:p>
              </w:tc>
              <w:tc>
                <w:tcPr>
                  <w:tcW w:w="1032" w:type="pct"/>
                  <w:noWrap w:val="0"/>
                  <w:vAlign w:val="center"/>
                </w:tcPr>
                <w:p w14:paraId="1818B613">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459" w:type="pct"/>
                  <w:noWrap w:val="0"/>
                  <w:vAlign w:val="center"/>
                </w:tcPr>
                <w:p w14:paraId="787C5BCE">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w:t>
                  </w:r>
                </w:p>
              </w:tc>
              <w:tc>
                <w:tcPr>
                  <w:tcW w:w="1003" w:type="pct"/>
                  <w:noWrap w:val="0"/>
                  <w:vAlign w:val="center"/>
                </w:tcPr>
                <w:p w14:paraId="6C22E19C">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830" w:type="pct"/>
                  <w:noWrap w:val="0"/>
                  <w:vAlign w:val="center"/>
                </w:tcPr>
                <w:p w14:paraId="0EC7492E">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467D0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5ACB434A">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15</w:t>
                  </w:r>
                </w:p>
              </w:tc>
              <w:tc>
                <w:tcPr>
                  <w:tcW w:w="1232" w:type="pct"/>
                  <w:noWrap w:val="0"/>
                  <w:vAlign w:val="center"/>
                </w:tcPr>
                <w:p w14:paraId="6F2FC048">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除尘风机</w:t>
                  </w:r>
                </w:p>
              </w:tc>
              <w:tc>
                <w:tcPr>
                  <w:tcW w:w="1032" w:type="pct"/>
                  <w:noWrap w:val="0"/>
                  <w:vAlign w:val="center"/>
                </w:tcPr>
                <w:p w14:paraId="4DC6A8D3">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风量2000</w:t>
                  </w:r>
                  <w:r>
                    <w:rPr>
                      <w:rStyle w:val="31"/>
                      <w:rFonts w:hint="default" w:ascii="Times New Roman" w:hAnsi="Times New Roman" w:cs="Times New Roman"/>
                      <w:color w:val="auto"/>
                      <w:spacing w:val="8"/>
                      <w:kern w:val="0"/>
                      <w:sz w:val="21"/>
                      <w:szCs w:val="21"/>
                      <w:highlight w:val="none"/>
                    </w:rPr>
                    <w:t>m³/h</w:t>
                  </w:r>
                </w:p>
              </w:tc>
              <w:tc>
                <w:tcPr>
                  <w:tcW w:w="459" w:type="pct"/>
                  <w:noWrap w:val="0"/>
                  <w:vAlign w:val="center"/>
                </w:tcPr>
                <w:p w14:paraId="5D7ADDB8">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1</w:t>
                  </w:r>
                </w:p>
              </w:tc>
              <w:tc>
                <w:tcPr>
                  <w:tcW w:w="1003" w:type="pct"/>
                  <w:noWrap w:val="0"/>
                  <w:vAlign w:val="center"/>
                </w:tcPr>
                <w:p w14:paraId="6196026E">
                  <w:pPr>
                    <w:pStyle w:val="56"/>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甘氨酸、维C、铁粉、柠檬酸粉尘</w:t>
                  </w:r>
                </w:p>
              </w:tc>
              <w:tc>
                <w:tcPr>
                  <w:tcW w:w="830" w:type="pct"/>
                  <w:noWrap w:val="0"/>
                  <w:vAlign w:val="center"/>
                </w:tcPr>
                <w:p w14:paraId="59F0763F">
                  <w:pPr>
                    <w:pStyle w:val="56"/>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0F25C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440" w:type="pct"/>
                  <w:noWrap w:val="0"/>
                  <w:vAlign w:val="center"/>
                </w:tcPr>
                <w:p w14:paraId="36D5AC42">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16</w:t>
                  </w:r>
                </w:p>
              </w:tc>
              <w:tc>
                <w:tcPr>
                  <w:tcW w:w="1232" w:type="pct"/>
                  <w:noWrap w:val="0"/>
                  <w:vAlign w:val="center"/>
                </w:tcPr>
                <w:p w14:paraId="243EF9A4">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冷凝水罐</w:t>
                  </w:r>
                </w:p>
              </w:tc>
              <w:tc>
                <w:tcPr>
                  <w:tcW w:w="1032" w:type="pct"/>
                  <w:noWrap w:val="0"/>
                  <w:vAlign w:val="center"/>
                </w:tcPr>
                <w:p w14:paraId="5A6D5F1B">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1.5</w:t>
                  </w:r>
                  <w:r>
                    <w:rPr>
                      <w:rFonts w:hint="default"/>
                      <w:color w:val="auto"/>
                      <w:highlight w:val="none"/>
                    </w:rPr>
                    <w:t xml:space="preserve"> m³</w:t>
                  </w:r>
                </w:p>
              </w:tc>
              <w:tc>
                <w:tcPr>
                  <w:tcW w:w="459" w:type="pct"/>
                  <w:noWrap w:val="0"/>
                  <w:vAlign w:val="center"/>
                </w:tcPr>
                <w:p w14:paraId="719A8669">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1</w:t>
                  </w:r>
                </w:p>
              </w:tc>
              <w:tc>
                <w:tcPr>
                  <w:tcW w:w="1003" w:type="pct"/>
                  <w:noWrap w:val="0"/>
                  <w:vAlign w:val="center"/>
                </w:tcPr>
                <w:p w14:paraId="7B524918">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水</w:t>
                  </w:r>
                </w:p>
              </w:tc>
              <w:tc>
                <w:tcPr>
                  <w:tcW w:w="830" w:type="pct"/>
                  <w:noWrap w:val="0"/>
                  <w:vAlign w:val="center"/>
                </w:tcPr>
                <w:p w14:paraId="7743BD79">
                  <w:pPr>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70318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440" w:type="pct"/>
                  <w:noWrap w:val="0"/>
                  <w:vAlign w:val="center"/>
                </w:tcPr>
                <w:p w14:paraId="32CBE048">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17</w:t>
                  </w:r>
                </w:p>
              </w:tc>
              <w:tc>
                <w:tcPr>
                  <w:tcW w:w="1232" w:type="pct"/>
                  <w:noWrap w:val="0"/>
                  <w:vAlign w:val="center"/>
                </w:tcPr>
                <w:p w14:paraId="3CC710D8">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冷凝水泵</w:t>
                  </w:r>
                </w:p>
              </w:tc>
              <w:tc>
                <w:tcPr>
                  <w:tcW w:w="1032" w:type="pct"/>
                  <w:noWrap w:val="0"/>
                  <w:vAlign w:val="center"/>
                </w:tcPr>
                <w:p w14:paraId="7897E370">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10</w:t>
                  </w:r>
                  <w:r>
                    <w:rPr>
                      <w:rFonts w:hint="default"/>
                      <w:color w:val="auto"/>
                      <w:highlight w:val="none"/>
                    </w:rPr>
                    <w:t xml:space="preserve"> m³</w:t>
                  </w:r>
                  <w:r>
                    <w:rPr>
                      <w:color w:val="auto"/>
                      <w:highlight w:val="none"/>
                    </w:rPr>
                    <w:t>/h</w:t>
                  </w:r>
                </w:p>
              </w:tc>
              <w:tc>
                <w:tcPr>
                  <w:tcW w:w="459" w:type="pct"/>
                  <w:noWrap w:val="0"/>
                  <w:vAlign w:val="center"/>
                </w:tcPr>
                <w:p w14:paraId="24FD5F07">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1</w:t>
                  </w:r>
                </w:p>
              </w:tc>
              <w:tc>
                <w:tcPr>
                  <w:tcW w:w="1003" w:type="pct"/>
                  <w:noWrap w:val="0"/>
                  <w:vAlign w:val="center"/>
                </w:tcPr>
                <w:p w14:paraId="7FBDEC30">
                  <w:pPr>
                    <w:pStyle w:val="56"/>
                    <w:ind w:firstLine="0" w:firstLineChars="0"/>
                    <w:rPr>
                      <w:rFonts w:hint="default" w:ascii="Times New Roman" w:hAnsi="Times New Roman" w:eastAsia="宋体" w:cs="Times New Roman"/>
                      <w:color w:val="auto"/>
                      <w:kern w:val="2"/>
                      <w:sz w:val="21"/>
                      <w:szCs w:val="24"/>
                      <w:highlight w:val="none"/>
                      <w:lang w:val="en-US" w:eastAsia="zh-CN" w:bidi="ar-SA"/>
                    </w:rPr>
                  </w:pPr>
                  <w:r>
                    <w:rPr>
                      <w:color w:val="auto"/>
                      <w:highlight w:val="none"/>
                    </w:rPr>
                    <w:t>水</w:t>
                  </w:r>
                </w:p>
              </w:tc>
              <w:tc>
                <w:tcPr>
                  <w:tcW w:w="830" w:type="pct"/>
                  <w:noWrap w:val="0"/>
                  <w:vAlign w:val="center"/>
                </w:tcPr>
                <w:p w14:paraId="133CDFE7">
                  <w:pPr>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新增</w:t>
                  </w:r>
                </w:p>
              </w:tc>
            </w:tr>
            <w:tr w14:paraId="08B1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440" w:type="pct"/>
                  <w:noWrap w:val="0"/>
                  <w:vAlign w:val="center"/>
                </w:tcPr>
                <w:p w14:paraId="0093D279">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18</w:t>
                  </w:r>
                </w:p>
              </w:tc>
              <w:tc>
                <w:tcPr>
                  <w:tcW w:w="1232" w:type="pct"/>
                  <w:noWrap w:val="0"/>
                  <w:vAlign w:val="center"/>
                </w:tcPr>
                <w:p w14:paraId="75E11B1E">
                  <w:pPr>
                    <w:pStyle w:val="56"/>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反应釜</w:t>
                  </w:r>
                </w:p>
              </w:tc>
              <w:tc>
                <w:tcPr>
                  <w:tcW w:w="1032" w:type="pct"/>
                  <w:noWrap w:val="0"/>
                  <w:vAlign w:val="center"/>
                </w:tcPr>
                <w:p w14:paraId="2F46BBE0">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500L不锈钢，3kW，ExdⅡ</w:t>
                  </w:r>
                  <w:r>
                    <w:rPr>
                      <w:rFonts w:hint="eastAsia" w:cs="Times New Roman"/>
                      <w:color w:val="auto"/>
                      <w:sz w:val="21"/>
                      <w:szCs w:val="21"/>
                      <w:highlight w:val="none"/>
                      <w:lang w:val="en-US" w:eastAsia="zh-CN"/>
                    </w:rPr>
                    <w:t xml:space="preserve"> </w:t>
                  </w:r>
                  <w:r>
                    <w:rPr>
                      <w:rFonts w:hint="default" w:ascii="Times New Roman" w:hAnsi="Times New Roman" w:cs="Times New Roman"/>
                      <w:color w:val="auto"/>
                      <w:sz w:val="21"/>
                      <w:szCs w:val="21"/>
                      <w:highlight w:val="none"/>
                    </w:rPr>
                    <w:t>CT4 Gb</w:t>
                  </w:r>
                </w:p>
              </w:tc>
              <w:tc>
                <w:tcPr>
                  <w:tcW w:w="459" w:type="pct"/>
                  <w:noWrap w:val="0"/>
                  <w:vAlign w:val="center"/>
                </w:tcPr>
                <w:p w14:paraId="707D122A">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w:t>
                  </w:r>
                </w:p>
              </w:tc>
              <w:tc>
                <w:tcPr>
                  <w:tcW w:w="1003" w:type="pct"/>
                  <w:noWrap w:val="0"/>
                  <w:vAlign w:val="center"/>
                </w:tcPr>
                <w:p w14:paraId="0CD0BA9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90～110℃，甘氨酸、维C、铁粉、柠檬酸、甘氨酸亚铁溶液</w:t>
                  </w:r>
                </w:p>
              </w:tc>
              <w:tc>
                <w:tcPr>
                  <w:tcW w:w="830" w:type="pct"/>
                  <w:noWrap w:val="0"/>
                  <w:vAlign w:val="center"/>
                </w:tcPr>
                <w:p w14:paraId="2111AD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因设备陈旧</w:t>
                  </w:r>
                  <w:r>
                    <w:rPr>
                      <w:rFonts w:hint="default" w:ascii="Times New Roman" w:hAnsi="Times New Roman" w:eastAsia="宋体" w:cs="Times New Roman"/>
                      <w:color w:val="auto"/>
                      <w:kern w:val="2"/>
                      <w:sz w:val="21"/>
                      <w:szCs w:val="21"/>
                      <w:highlight w:val="none"/>
                      <w:lang w:val="en-US" w:eastAsia="zh-CN" w:bidi="ar-SA"/>
                    </w:rPr>
                    <w:t>淘汰</w:t>
                  </w:r>
                </w:p>
              </w:tc>
            </w:tr>
            <w:tr w14:paraId="683D9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425DF332">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19</w:t>
                  </w:r>
                </w:p>
              </w:tc>
              <w:tc>
                <w:tcPr>
                  <w:tcW w:w="1232" w:type="pct"/>
                  <w:noWrap w:val="0"/>
                  <w:vAlign w:val="center"/>
                </w:tcPr>
                <w:p w14:paraId="5DAB98B8">
                  <w:pPr>
                    <w:pStyle w:val="56"/>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粉碎机</w:t>
                  </w:r>
                </w:p>
              </w:tc>
              <w:tc>
                <w:tcPr>
                  <w:tcW w:w="1032" w:type="pct"/>
                  <w:noWrap w:val="0"/>
                  <w:vAlign w:val="center"/>
                </w:tcPr>
                <w:p w14:paraId="450AE3FE">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6.25KW</w:t>
                  </w:r>
                </w:p>
              </w:tc>
              <w:tc>
                <w:tcPr>
                  <w:tcW w:w="459" w:type="pct"/>
                  <w:noWrap w:val="0"/>
                  <w:vAlign w:val="center"/>
                </w:tcPr>
                <w:p w14:paraId="1C228C12">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6DE8B568">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830" w:type="pct"/>
                  <w:noWrap w:val="0"/>
                  <w:vAlign w:val="center"/>
                </w:tcPr>
                <w:p w14:paraId="77D9D2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5C274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7062AF57">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20</w:t>
                  </w:r>
                </w:p>
              </w:tc>
              <w:tc>
                <w:tcPr>
                  <w:tcW w:w="1232" w:type="pct"/>
                  <w:noWrap w:val="0"/>
                  <w:vAlign w:val="center"/>
                </w:tcPr>
                <w:p w14:paraId="481CD356">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离心机</w:t>
                  </w:r>
                </w:p>
              </w:tc>
              <w:tc>
                <w:tcPr>
                  <w:tcW w:w="1032" w:type="pct"/>
                  <w:noWrap w:val="0"/>
                  <w:vAlign w:val="center"/>
                </w:tcPr>
                <w:p w14:paraId="0A22DA4A">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直径0.6m</w:t>
                  </w:r>
                </w:p>
              </w:tc>
              <w:tc>
                <w:tcPr>
                  <w:tcW w:w="459" w:type="pct"/>
                  <w:noWrap w:val="0"/>
                  <w:vAlign w:val="center"/>
                </w:tcPr>
                <w:p w14:paraId="1C92646A">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w:t>
                  </w:r>
                </w:p>
              </w:tc>
              <w:tc>
                <w:tcPr>
                  <w:tcW w:w="1003" w:type="pct"/>
                  <w:noWrap w:val="0"/>
                  <w:vAlign w:val="center"/>
                </w:tcPr>
                <w:p w14:paraId="14891BA2">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830" w:type="pct"/>
                  <w:noWrap w:val="0"/>
                  <w:vAlign w:val="center"/>
                </w:tcPr>
                <w:p w14:paraId="4A67215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7A5D2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6CD4D780">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21</w:t>
                  </w:r>
                </w:p>
              </w:tc>
              <w:tc>
                <w:tcPr>
                  <w:tcW w:w="1232" w:type="pct"/>
                  <w:noWrap w:val="0"/>
                  <w:vAlign w:val="center"/>
                </w:tcPr>
                <w:p w14:paraId="72A7153E">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硫酸罐</w:t>
                  </w:r>
                </w:p>
              </w:tc>
              <w:tc>
                <w:tcPr>
                  <w:tcW w:w="1032" w:type="pct"/>
                  <w:noWrap w:val="0"/>
                  <w:vAlign w:val="center"/>
                </w:tcPr>
                <w:p w14:paraId="21A95E92">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（浓度20%）1000L</w:t>
                  </w:r>
                </w:p>
              </w:tc>
              <w:tc>
                <w:tcPr>
                  <w:tcW w:w="459" w:type="pct"/>
                  <w:noWrap w:val="0"/>
                  <w:vAlign w:val="center"/>
                </w:tcPr>
                <w:p w14:paraId="230CDF4C">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w:t>
                  </w:r>
                </w:p>
              </w:tc>
              <w:tc>
                <w:tcPr>
                  <w:tcW w:w="1003" w:type="pct"/>
                  <w:noWrap w:val="0"/>
                  <w:vAlign w:val="center"/>
                </w:tcPr>
                <w:p w14:paraId="68E9F4AC">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w:t>
                  </w:r>
                </w:p>
              </w:tc>
              <w:tc>
                <w:tcPr>
                  <w:tcW w:w="830" w:type="pct"/>
                  <w:noWrap w:val="0"/>
                  <w:vAlign w:val="center"/>
                </w:tcPr>
                <w:p w14:paraId="0E3AE9E8">
                  <w:pPr>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保留</w:t>
                  </w:r>
                </w:p>
              </w:tc>
            </w:tr>
            <w:tr w14:paraId="58051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051CE947">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22</w:t>
                  </w:r>
                </w:p>
              </w:tc>
              <w:tc>
                <w:tcPr>
                  <w:tcW w:w="1232" w:type="pct"/>
                  <w:noWrap w:val="0"/>
                  <w:vAlign w:val="center"/>
                </w:tcPr>
                <w:p w14:paraId="24C462BB">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喷雾干燥系统</w:t>
                  </w:r>
                </w:p>
              </w:tc>
              <w:tc>
                <w:tcPr>
                  <w:tcW w:w="1032" w:type="pct"/>
                  <w:noWrap w:val="0"/>
                  <w:vAlign w:val="center"/>
                </w:tcPr>
                <w:p w14:paraId="3890E807">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LPG50</w:t>
                  </w:r>
                </w:p>
              </w:tc>
              <w:tc>
                <w:tcPr>
                  <w:tcW w:w="459" w:type="pct"/>
                  <w:noWrap w:val="0"/>
                  <w:vAlign w:val="center"/>
                </w:tcPr>
                <w:p w14:paraId="71694B2E">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7DECA536">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830" w:type="pct"/>
                  <w:noWrap w:val="0"/>
                  <w:vAlign w:val="center"/>
                </w:tcPr>
                <w:p w14:paraId="472C877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670C1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702A2081">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eastAsia="zh-CN"/>
                    </w:rPr>
                    <w:t>2</w:t>
                  </w:r>
                  <w:r>
                    <w:rPr>
                      <w:rFonts w:hint="default" w:ascii="Times New Roman" w:hAnsi="Times New Roman" w:cs="Times New Roman"/>
                      <w:color w:val="auto"/>
                      <w:sz w:val="21"/>
                      <w:szCs w:val="21"/>
                      <w:highlight w:val="none"/>
                      <w:lang w:val="en-US" w:eastAsia="zh-CN"/>
                    </w:rPr>
                    <w:t>3</w:t>
                  </w:r>
                </w:p>
              </w:tc>
              <w:tc>
                <w:tcPr>
                  <w:tcW w:w="1232" w:type="pct"/>
                  <w:noWrap w:val="0"/>
                  <w:vAlign w:val="center"/>
                </w:tcPr>
                <w:p w14:paraId="1EDB54DC">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布袋除尘系统</w:t>
                  </w:r>
                </w:p>
              </w:tc>
              <w:tc>
                <w:tcPr>
                  <w:tcW w:w="1032" w:type="pct"/>
                  <w:noWrap w:val="0"/>
                  <w:vAlign w:val="center"/>
                </w:tcPr>
                <w:p w14:paraId="1BD7717B">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459" w:type="pct"/>
                  <w:noWrap w:val="0"/>
                  <w:vAlign w:val="center"/>
                </w:tcPr>
                <w:p w14:paraId="5978019D">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4F571918">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830" w:type="pct"/>
                  <w:noWrap w:val="0"/>
                  <w:vAlign w:val="center"/>
                </w:tcPr>
                <w:p w14:paraId="5F8F4D9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139C0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09B46A7B">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24</w:t>
                  </w:r>
                </w:p>
              </w:tc>
              <w:tc>
                <w:tcPr>
                  <w:tcW w:w="1232" w:type="pct"/>
                  <w:noWrap w:val="0"/>
                  <w:vAlign w:val="center"/>
                </w:tcPr>
                <w:p w14:paraId="344C883B">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水吸收塔系统</w:t>
                  </w:r>
                </w:p>
              </w:tc>
              <w:tc>
                <w:tcPr>
                  <w:tcW w:w="1032" w:type="pct"/>
                  <w:noWrap w:val="0"/>
                  <w:vAlign w:val="center"/>
                </w:tcPr>
                <w:p w14:paraId="30C32A6B">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459" w:type="pct"/>
                  <w:noWrap w:val="0"/>
                  <w:vAlign w:val="center"/>
                </w:tcPr>
                <w:p w14:paraId="6E91B2DD">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73FA5E1F">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830" w:type="pct"/>
                  <w:noWrap w:val="0"/>
                  <w:vAlign w:val="center"/>
                </w:tcPr>
                <w:p w14:paraId="4BDC90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4D31E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3EE2DD2F">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25</w:t>
                  </w:r>
                </w:p>
              </w:tc>
              <w:tc>
                <w:tcPr>
                  <w:tcW w:w="1232" w:type="pct"/>
                  <w:noWrap w:val="0"/>
                  <w:vAlign w:val="center"/>
                </w:tcPr>
                <w:p w14:paraId="4C8170F8">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酸吸收塔系统</w:t>
                  </w:r>
                </w:p>
              </w:tc>
              <w:tc>
                <w:tcPr>
                  <w:tcW w:w="1032" w:type="pct"/>
                  <w:noWrap w:val="0"/>
                  <w:vAlign w:val="center"/>
                </w:tcPr>
                <w:p w14:paraId="2183EE61">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459" w:type="pct"/>
                  <w:noWrap w:val="0"/>
                  <w:vAlign w:val="center"/>
                </w:tcPr>
                <w:p w14:paraId="2EBB7D93">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7946C07F">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830" w:type="pct"/>
                  <w:noWrap w:val="0"/>
                  <w:vAlign w:val="center"/>
                </w:tcPr>
                <w:p w14:paraId="6E933FB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5DE3E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5475A24C">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26</w:t>
                  </w:r>
                </w:p>
              </w:tc>
              <w:tc>
                <w:tcPr>
                  <w:tcW w:w="1232" w:type="pct"/>
                  <w:noWrap w:val="0"/>
                  <w:vAlign w:val="center"/>
                </w:tcPr>
                <w:p w14:paraId="4A1E41CE">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加热系统</w:t>
                  </w:r>
                </w:p>
              </w:tc>
              <w:tc>
                <w:tcPr>
                  <w:tcW w:w="1032" w:type="pct"/>
                  <w:noWrap w:val="0"/>
                  <w:vAlign w:val="center"/>
                </w:tcPr>
                <w:p w14:paraId="28E469A3">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459" w:type="pct"/>
                  <w:noWrap w:val="0"/>
                  <w:vAlign w:val="center"/>
                </w:tcPr>
                <w:p w14:paraId="3CC15023">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00CBE493">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830" w:type="pct"/>
                  <w:noWrap w:val="0"/>
                  <w:vAlign w:val="center"/>
                </w:tcPr>
                <w:p w14:paraId="265D207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r w14:paraId="1393C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 w:hRule="atLeast"/>
              </w:trPr>
              <w:tc>
                <w:tcPr>
                  <w:tcW w:w="440" w:type="pct"/>
                  <w:noWrap w:val="0"/>
                  <w:vAlign w:val="center"/>
                </w:tcPr>
                <w:p w14:paraId="2D0096D4">
                  <w:pPr>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27</w:t>
                  </w:r>
                </w:p>
              </w:tc>
              <w:tc>
                <w:tcPr>
                  <w:tcW w:w="1232" w:type="pct"/>
                  <w:noWrap w:val="0"/>
                  <w:vAlign w:val="center"/>
                </w:tcPr>
                <w:p w14:paraId="2A187A3B">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冷凝器</w:t>
                  </w:r>
                </w:p>
              </w:tc>
              <w:tc>
                <w:tcPr>
                  <w:tcW w:w="1032" w:type="pct"/>
                  <w:noWrap w:val="0"/>
                  <w:vAlign w:val="center"/>
                </w:tcPr>
                <w:p w14:paraId="7D65EF64">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459" w:type="pct"/>
                  <w:noWrap w:val="0"/>
                  <w:vAlign w:val="center"/>
                </w:tcPr>
                <w:p w14:paraId="104B079C">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1</w:t>
                  </w:r>
                </w:p>
              </w:tc>
              <w:tc>
                <w:tcPr>
                  <w:tcW w:w="1003" w:type="pct"/>
                  <w:noWrap w:val="0"/>
                  <w:vAlign w:val="center"/>
                </w:tcPr>
                <w:p w14:paraId="4A59D9F6">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lang w:val="en-US" w:eastAsia="zh-CN"/>
                    </w:rPr>
                    <w:t>/</w:t>
                  </w:r>
                </w:p>
              </w:tc>
              <w:tc>
                <w:tcPr>
                  <w:tcW w:w="830" w:type="pct"/>
                  <w:noWrap w:val="0"/>
                  <w:vAlign w:val="center"/>
                </w:tcPr>
                <w:p w14:paraId="4310948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项目扩能</w:t>
                  </w:r>
                  <w:r>
                    <w:rPr>
                      <w:rFonts w:hint="eastAsia" w:ascii="Times New Roman" w:hAnsi="Times New Roman" w:eastAsia="宋体" w:cs="Times New Roman"/>
                      <w:color w:val="auto"/>
                      <w:kern w:val="2"/>
                      <w:sz w:val="21"/>
                      <w:szCs w:val="21"/>
                      <w:highlight w:val="none"/>
                      <w:lang w:val="en-US" w:eastAsia="zh-CN" w:bidi="ar-SA"/>
                    </w:rPr>
                    <w:t>旧设备</w:t>
                  </w:r>
                  <w:r>
                    <w:rPr>
                      <w:rFonts w:hint="default" w:ascii="Times New Roman" w:hAnsi="Times New Roman" w:eastAsia="宋体" w:cs="Times New Roman"/>
                      <w:color w:val="auto"/>
                      <w:kern w:val="2"/>
                      <w:sz w:val="21"/>
                      <w:szCs w:val="21"/>
                      <w:highlight w:val="none"/>
                      <w:lang w:val="en-US" w:eastAsia="zh-CN" w:bidi="ar-SA"/>
                    </w:rPr>
                    <w:t>淘汰</w:t>
                  </w:r>
                </w:p>
              </w:tc>
            </w:tr>
          </w:tbl>
          <w:p w14:paraId="2AF56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2" w:firstLineChars="200"/>
              <w:textAlignment w:val="auto"/>
              <w:rPr>
                <w:rFonts w:hint="eastAsia" w:cs="Times New Roman"/>
                <w:b/>
                <w:bCs/>
                <w:color w:val="auto"/>
                <w:sz w:val="21"/>
                <w:szCs w:val="21"/>
                <w:highlight w:val="none"/>
                <w:lang w:val="en-US" w:eastAsia="zh-CN"/>
              </w:rPr>
            </w:pPr>
          </w:p>
          <w:p w14:paraId="37827F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2" w:firstLineChars="200"/>
              <w:textAlignment w:val="auto"/>
              <w:rPr>
                <w:rFonts w:hint="default" w:ascii="Times New Roman" w:hAnsi="Times New Roman" w:eastAsia="宋体" w:cs="Times New Roman"/>
                <w:b/>
                <w:bCs/>
                <w:color w:val="auto"/>
                <w:sz w:val="21"/>
                <w:szCs w:val="21"/>
                <w:highlight w:val="none"/>
              </w:rPr>
            </w:pPr>
            <w:r>
              <w:rPr>
                <w:rFonts w:hint="eastAsia" w:cs="Times New Roman"/>
                <w:b/>
                <w:bCs/>
                <w:color w:val="auto"/>
                <w:sz w:val="21"/>
                <w:szCs w:val="21"/>
                <w:highlight w:val="none"/>
                <w:lang w:val="en-US" w:eastAsia="zh-CN"/>
              </w:rPr>
              <w:t>（五）</w:t>
            </w:r>
            <w:r>
              <w:rPr>
                <w:rFonts w:hint="default" w:ascii="Times New Roman" w:hAnsi="Times New Roman" w:eastAsia="宋体" w:cs="Times New Roman"/>
                <w:b/>
                <w:bCs/>
                <w:color w:val="auto"/>
                <w:sz w:val="21"/>
                <w:szCs w:val="21"/>
                <w:highlight w:val="none"/>
              </w:rPr>
              <w:t>主要原辅材料</w:t>
            </w:r>
          </w:p>
          <w:p w14:paraId="7F5585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eastAsia" w:cs="Times New Roman"/>
                <w:color w:val="auto"/>
                <w:sz w:val="21"/>
                <w:szCs w:val="21"/>
                <w:highlight w:val="none"/>
                <w:lang w:eastAsia="zh-CN"/>
              </w:rPr>
            </w:pPr>
            <w:r>
              <w:rPr>
                <w:rFonts w:hint="eastAsia" w:cs="Times New Roman"/>
                <w:color w:val="auto"/>
                <w:sz w:val="21"/>
                <w:szCs w:val="21"/>
                <w:highlight w:val="none"/>
                <w:lang w:eastAsia="zh-CN"/>
              </w:rPr>
              <w:t>（</w:t>
            </w:r>
            <w:r>
              <w:rPr>
                <w:rFonts w:hint="eastAsia" w:cs="Times New Roman"/>
                <w:color w:val="auto"/>
                <w:sz w:val="21"/>
                <w:szCs w:val="21"/>
                <w:highlight w:val="none"/>
                <w:lang w:val="en-US" w:eastAsia="zh-CN"/>
              </w:rPr>
              <w:t>1</w:t>
            </w:r>
            <w:r>
              <w:rPr>
                <w:rFonts w:hint="eastAsia" w:cs="Times New Roman"/>
                <w:color w:val="auto"/>
                <w:sz w:val="21"/>
                <w:szCs w:val="21"/>
                <w:highlight w:val="none"/>
                <w:lang w:eastAsia="zh-CN"/>
              </w:rPr>
              <w:t>）原辅材料及消耗情况</w:t>
            </w:r>
          </w:p>
          <w:p w14:paraId="3AF00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420" w:firstLineChars="20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主要原辅材料种类和用量见表</w:t>
            </w:r>
            <w:r>
              <w:rPr>
                <w:rFonts w:hint="default" w:ascii="Times New Roman" w:hAnsi="Times New Roman" w:eastAsia="宋体" w:cs="Times New Roman"/>
                <w:color w:val="auto"/>
                <w:sz w:val="21"/>
                <w:szCs w:val="21"/>
                <w:highlight w:val="none"/>
                <w:lang w:val="en-US" w:eastAsia="zh-CN"/>
              </w:rPr>
              <w:t>2-</w:t>
            </w:r>
            <w:r>
              <w:rPr>
                <w:rFonts w:hint="eastAsia" w:cs="Times New Roman"/>
                <w:color w:val="auto"/>
                <w:sz w:val="21"/>
                <w:szCs w:val="21"/>
                <w:highlight w:val="none"/>
                <w:lang w:val="en-US" w:eastAsia="zh-CN"/>
              </w:rPr>
              <w:t>5</w:t>
            </w:r>
            <w:r>
              <w:rPr>
                <w:rFonts w:hint="default" w:ascii="Times New Roman" w:hAnsi="Times New Roman" w:eastAsia="宋体" w:cs="Times New Roman"/>
                <w:color w:val="auto"/>
                <w:sz w:val="21"/>
                <w:szCs w:val="21"/>
                <w:highlight w:val="none"/>
                <w:lang w:val="en-US" w:eastAsia="zh-CN"/>
              </w:rPr>
              <w:t>。</w:t>
            </w:r>
          </w:p>
          <w:p w14:paraId="10606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contextualSpacing/>
              <w:jc w:val="center"/>
              <w:textAlignment w:val="auto"/>
              <w:rPr>
                <w:rFonts w:hint="default"/>
                <w:b/>
                <w:bCs/>
                <w:color w:val="auto"/>
                <w:sz w:val="21"/>
                <w:szCs w:val="21"/>
                <w:highlight w:val="none"/>
                <w:lang w:val="zh-CN"/>
              </w:rPr>
            </w:pPr>
            <w:r>
              <w:rPr>
                <w:rFonts w:hint="default" w:ascii="Times New Roman" w:hAnsi="Times New Roman" w:eastAsia="宋体" w:cs="Times New Roman"/>
                <w:b/>
                <w:bCs/>
                <w:color w:val="auto"/>
                <w:sz w:val="21"/>
                <w:szCs w:val="21"/>
                <w:highlight w:val="none"/>
                <w:lang w:val="zh-CN"/>
              </w:rPr>
              <w:t>表</w:t>
            </w:r>
            <w:r>
              <w:rPr>
                <w:rFonts w:hint="default" w:ascii="Times New Roman" w:hAnsi="Times New Roman" w:eastAsia="宋体" w:cs="Times New Roman"/>
                <w:b/>
                <w:bCs/>
                <w:color w:val="auto"/>
                <w:sz w:val="21"/>
                <w:szCs w:val="21"/>
                <w:highlight w:val="none"/>
                <w:lang w:val="en-US" w:eastAsia="zh-CN"/>
              </w:rPr>
              <w:t xml:space="preserve"> </w:t>
            </w:r>
            <w:r>
              <w:rPr>
                <w:rFonts w:hint="default" w:ascii="Times New Roman" w:hAnsi="Times New Roman" w:eastAsia="宋体" w:cs="Times New Roman"/>
                <w:b/>
                <w:bCs/>
                <w:color w:val="auto"/>
                <w:sz w:val="21"/>
                <w:szCs w:val="21"/>
                <w:highlight w:val="none"/>
                <w:lang w:val="zh-CN"/>
              </w:rPr>
              <w:t>2-</w:t>
            </w:r>
            <w:r>
              <w:rPr>
                <w:rFonts w:hint="eastAsia" w:cs="Times New Roman"/>
                <w:b/>
                <w:bCs/>
                <w:color w:val="auto"/>
                <w:sz w:val="21"/>
                <w:szCs w:val="21"/>
                <w:highlight w:val="none"/>
                <w:lang w:val="en-US" w:eastAsia="zh-CN"/>
              </w:rPr>
              <w:t>5</w:t>
            </w:r>
            <w:r>
              <w:rPr>
                <w:rFonts w:hint="default" w:ascii="Times New Roman" w:hAnsi="Times New Roman" w:eastAsia="宋体" w:cs="Times New Roman"/>
                <w:b/>
                <w:bCs/>
                <w:color w:val="auto"/>
                <w:sz w:val="21"/>
                <w:szCs w:val="21"/>
                <w:highlight w:val="none"/>
                <w:lang w:val="en-US" w:eastAsia="zh-CN"/>
              </w:rPr>
              <w:t xml:space="preserve"> </w:t>
            </w:r>
            <w:r>
              <w:rPr>
                <w:rFonts w:hint="eastAsia" w:eastAsia="宋体" w:cs="Times New Roman"/>
                <w:b/>
                <w:bCs/>
                <w:color w:val="auto"/>
                <w:sz w:val="21"/>
                <w:szCs w:val="21"/>
                <w:highlight w:val="none"/>
                <w:lang w:val="en-US" w:eastAsia="zh-CN"/>
              </w:rPr>
              <w:t>本项目</w:t>
            </w:r>
            <w:r>
              <w:rPr>
                <w:rFonts w:hint="default" w:ascii="Times New Roman" w:hAnsi="Times New Roman" w:eastAsia="宋体" w:cs="Times New Roman"/>
                <w:b/>
                <w:bCs/>
                <w:color w:val="auto"/>
                <w:sz w:val="21"/>
                <w:szCs w:val="21"/>
                <w:highlight w:val="none"/>
                <w:lang w:val="zh-CN"/>
              </w:rPr>
              <w:t>原辅材料及消耗情况一览表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357"/>
              <w:gridCol w:w="681"/>
              <w:gridCol w:w="755"/>
              <w:gridCol w:w="863"/>
              <w:gridCol w:w="873"/>
              <w:gridCol w:w="970"/>
              <w:gridCol w:w="1055"/>
              <w:gridCol w:w="951"/>
            </w:tblGrid>
            <w:tr w14:paraId="2C202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1CFBF6C9">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序号</w:t>
                  </w:r>
                </w:p>
              </w:tc>
              <w:tc>
                <w:tcPr>
                  <w:tcW w:w="855" w:type="pct"/>
                  <w:noWrap w:val="0"/>
                  <w:vAlign w:val="center"/>
                </w:tcPr>
                <w:p w14:paraId="38C580C1">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lang w:val="en-US" w:eastAsia="zh-CN"/>
                    </w:rPr>
                    <w:t>原辅材料</w:t>
                  </w:r>
                  <w:r>
                    <w:rPr>
                      <w:rFonts w:hint="default" w:ascii="Times New Roman" w:hAnsi="Times New Roman" w:eastAsia="宋体" w:cs="Times New Roman"/>
                      <w:color w:val="auto"/>
                      <w:spacing w:val="-10"/>
                      <w:sz w:val="21"/>
                      <w:szCs w:val="21"/>
                      <w:highlight w:val="none"/>
                    </w:rPr>
                    <w:t>名称</w:t>
                  </w:r>
                </w:p>
              </w:tc>
              <w:tc>
                <w:tcPr>
                  <w:tcW w:w="429" w:type="pct"/>
                  <w:noWrap w:val="0"/>
                  <w:vAlign w:val="center"/>
                </w:tcPr>
                <w:p w14:paraId="6FBF24B0">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lang w:val="en-US" w:eastAsia="zh-CN"/>
                    </w:rPr>
                    <w:t>形态</w:t>
                  </w:r>
                </w:p>
              </w:tc>
              <w:tc>
                <w:tcPr>
                  <w:tcW w:w="475" w:type="pct"/>
                  <w:noWrap w:val="0"/>
                  <w:vAlign w:val="center"/>
                </w:tcPr>
                <w:p w14:paraId="0BAE60F0">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规格</w:t>
                  </w:r>
                </w:p>
              </w:tc>
              <w:tc>
                <w:tcPr>
                  <w:tcW w:w="543" w:type="pct"/>
                  <w:noWrap w:val="0"/>
                  <w:vAlign w:val="center"/>
                </w:tcPr>
                <w:p w14:paraId="74144AA2">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default" w:ascii="Times New Roman" w:hAnsi="Times New Roman" w:eastAsia="宋体" w:cs="Times New Roman"/>
                      <w:color w:val="auto"/>
                      <w:spacing w:val="-10"/>
                      <w:sz w:val="21"/>
                      <w:szCs w:val="21"/>
                      <w:highlight w:val="none"/>
                      <w:lang w:val="en-US" w:eastAsia="zh-CN"/>
                    </w:rPr>
                    <w:t>年用量</w:t>
                  </w:r>
                  <w:r>
                    <w:rPr>
                      <w:rFonts w:hint="eastAsia" w:ascii="Times New Roman" w:hAnsi="Times New Roman" w:eastAsia="宋体" w:cs="Times New Roman"/>
                      <w:i w:val="0"/>
                      <w:iCs w:val="0"/>
                      <w:color w:val="auto"/>
                      <w:spacing w:val="-10"/>
                      <w:kern w:val="2"/>
                      <w:sz w:val="21"/>
                      <w:szCs w:val="21"/>
                      <w:highlight w:val="none"/>
                      <w:u w:val="none"/>
                      <w:lang w:val="en-US" w:eastAsia="zh-CN" w:bidi="ar"/>
                    </w:rPr>
                    <w:t>/t</w:t>
                  </w:r>
                </w:p>
              </w:tc>
              <w:tc>
                <w:tcPr>
                  <w:tcW w:w="550" w:type="pct"/>
                  <w:noWrap w:val="0"/>
                  <w:vAlign w:val="center"/>
                </w:tcPr>
                <w:p w14:paraId="2D8B200F">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default" w:ascii="Times New Roman" w:hAnsi="Times New Roman" w:eastAsia="宋体" w:cs="Times New Roman"/>
                      <w:color w:val="auto"/>
                      <w:spacing w:val="-10"/>
                      <w:sz w:val="21"/>
                      <w:szCs w:val="21"/>
                      <w:highlight w:val="none"/>
                      <w:lang w:val="en-US" w:eastAsia="zh-CN"/>
                    </w:rPr>
                    <w:t>最大存储量</w:t>
                  </w:r>
                  <w:r>
                    <w:rPr>
                      <w:rFonts w:hint="eastAsia" w:ascii="Times New Roman" w:hAnsi="Times New Roman" w:eastAsia="宋体" w:cs="Times New Roman"/>
                      <w:color w:val="auto"/>
                      <w:spacing w:val="-10"/>
                      <w:sz w:val="21"/>
                      <w:szCs w:val="21"/>
                      <w:highlight w:val="none"/>
                      <w:lang w:val="en-US" w:eastAsia="zh-CN"/>
                    </w:rPr>
                    <w:t>/</w:t>
                  </w:r>
                  <w:r>
                    <w:rPr>
                      <w:rFonts w:hint="eastAsia" w:ascii="Times New Roman" w:hAnsi="Times New Roman" w:eastAsia="宋体" w:cs="Times New Roman"/>
                      <w:i w:val="0"/>
                      <w:iCs w:val="0"/>
                      <w:color w:val="auto"/>
                      <w:spacing w:val="-10"/>
                      <w:kern w:val="2"/>
                      <w:sz w:val="21"/>
                      <w:szCs w:val="21"/>
                      <w:highlight w:val="none"/>
                      <w:u w:val="none"/>
                      <w:lang w:val="en-US" w:eastAsia="zh-CN" w:bidi="ar"/>
                    </w:rPr>
                    <w:t>t</w:t>
                  </w:r>
                </w:p>
              </w:tc>
              <w:tc>
                <w:tcPr>
                  <w:tcW w:w="611" w:type="pct"/>
                  <w:noWrap w:val="0"/>
                  <w:vAlign w:val="center"/>
                </w:tcPr>
                <w:p w14:paraId="35883A69">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lang w:val="en-US" w:eastAsia="zh-CN"/>
                    </w:rPr>
                    <w:t>规格</w:t>
                  </w:r>
                </w:p>
              </w:tc>
              <w:tc>
                <w:tcPr>
                  <w:tcW w:w="664" w:type="pct"/>
                  <w:noWrap w:val="0"/>
                  <w:vAlign w:val="center"/>
                </w:tcPr>
                <w:p w14:paraId="745433FB">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ascii="Times New Roman" w:hAnsi="Times New Roman" w:eastAsia="宋体" w:cs="Times New Roman"/>
                      <w:color w:val="auto"/>
                      <w:spacing w:val="-10"/>
                      <w:sz w:val="21"/>
                      <w:szCs w:val="21"/>
                      <w:highlight w:val="none"/>
                      <w:lang w:val="en-US" w:eastAsia="zh-CN"/>
                    </w:rPr>
                    <w:t>存贮位置</w:t>
                  </w:r>
                </w:p>
              </w:tc>
              <w:tc>
                <w:tcPr>
                  <w:tcW w:w="599" w:type="pct"/>
                  <w:noWrap w:val="0"/>
                  <w:vAlign w:val="center"/>
                </w:tcPr>
                <w:p w14:paraId="25980138">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ascii="Times New Roman" w:hAnsi="Times New Roman" w:eastAsia="宋体" w:cs="Times New Roman"/>
                      <w:color w:val="auto"/>
                      <w:spacing w:val="-10"/>
                      <w:sz w:val="21"/>
                      <w:szCs w:val="21"/>
                      <w:highlight w:val="none"/>
                      <w:lang w:val="en-US" w:eastAsia="zh-CN"/>
                    </w:rPr>
                    <w:t>备注</w:t>
                  </w:r>
                </w:p>
              </w:tc>
            </w:tr>
            <w:tr w14:paraId="3D605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5000" w:type="pct"/>
                  <w:gridSpan w:val="9"/>
                  <w:shd w:val="clear" w:color="auto" w:fill="D7D7D7"/>
                  <w:noWrap w:val="0"/>
                  <w:vAlign w:val="center"/>
                </w:tcPr>
                <w:p w14:paraId="06583209">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甘氨酸</w:t>
                  </w:r>
                  <w:r>
                    <w:rPr>
                      <w:rFonts w:hint="eastAsia" w:ascii="宋体" w:hAnsi="宋体" w:cs="宋体"/>
                      <w:color w:val="auto"/>
                      <w:sz w:val="21"/>
                      <w:szCs w:val="21"/>
                      <w:highlight w:val="none"/>
                      <w:lang w:val="en-US" w:eastAsia="zh-CN"/>
                    </w:rPr>
                    <w:t>亚铁</w:t>
                  </w:r>
                  <w:r>
                    <w:rPr>
                      <w:rFonts w:hint="eastAsia" w:ascii="宋体" w:hAnsi="宋体" w:eastAsia="宋体" w:cs="宋体"/>
                      <w:color w:val="auto"/>
                      <w:sz w:val="21"/>
                      <w:szCs w:val="21"/>
                      <w:highlight w:val="none"/>
                      <w:lang w:eastAsia="zh-CN"/>
                    </w:rPr>
                    <w:t>生产线</w:t>
                  </w:r>
                </w:p>
              </w:tc>
            </w:tr>
            <w:tr w14:paraId="19A97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781E151F">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1</w:t>
                  </w:r>
                </w:p>
              </w:tc>
              <w:tc>
                <w:tcPr>
                  <w:tcW w:w="855" w:type="pct"/>
                  <w:noWrap w:val="0"/>
                  <w:vAlign w:val="center"/>
                </w:tcPr>
                <w:p w14:paraId="4FFF9A6D">
                  <w:pPr>
                    <w:pStyle w:val="40"/>
                    <w:keepNext w:val="0"/>
                    <w:keepLines w:val="0"/>
                    <w:pageBreakBefore w:val="0"/>
                    <w:widowControl w:val="0"/>
                    <w:kinsoku/>
                    <w:wordWrap/>
                    <w:overflowPunct/>
                    <w:topLinePunct w:val="0"/>
                    <w:autoSpaceDE/>
                    <w:autoSpaceDN/>
                    <w:bidi w:val="0"/>
                    <w:adjustRightInd/>
                    <w:snapToGrid/>
                    <w:spacing w:line="240" w:lineRule="auto"/>
                    <w:ind w:left="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ascii="宋体" w:hAnsi="宋体" w:eastAsia="宋体" w:cs="宋体"/>
                      <w:color w:val="auto"/>
                      <w:sz w:val="21"/>
                      <w:szCs w:val="21"/>
                      <w:highlight w:val="none"/>
                    </w:rPr>
                    <w:t>甘氨酸</w:t>
                  </w:r>
                </w:p>
              </w:tc>
              <w:tc>
                <w:tcPr>
                  <w:tcW w:w="429" w:type="pct"/>
                  <w:noWrap w:val="0"/>
                  <w:vAlign w:val="center"/>
                </w:tcPr>
                <w:p w14:paraId="236E425B">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i w:val="0"/>
                      <w:iCs w:val="0"/>
                      <w:color w:val="auto"/>
                      <w:spacing w:val="-10"/>
                      <w:kern w:val="2"/>
                      <w:sz w:val="21"/>
                      <w:szCs w:val="21"/>
                      <w:highlight w:val="none"/>
                      <w:u w:val="none"/>
                      <w:lang w:val="en-US" w:eastAsia="zh-CN" w:bidi="ar"/>
                    </w:rPr>
                    <w:t>固态</w:t>
                  </w:r>
                </w:p>
              </w:tc>
              <w:tc>
                <w:tcPr>
                  <w:tcW w:w="475" w:type="pct"/>
                  <w:noWrap w:val="0"/>
                  <w:vAlign w:val="center"/>
                </w:tcPr>
                <w:p w14:paraId="191009CA">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color w:val="auto"/>
                      <w:sz w:val="21"/>
                      <w:szCs w:val="21"/>
                      <w:highlight w:val="none"/>
                    </w:rPr>
                    <w:t>袋装</w:t>
                  </w:r>
                </w:p>
              </w:tc>
              <w:tc>
                <w:tcPr>
                  <w:tcW w:w="863" w:type="dxa"/>
                  <w:noWrap w:val="0"/>
                  <w:vAlign w:val="center"/>
                </w:tcPr>
                <w:p w14:paraId="7059AF2A">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189.3</w:t>
                  </w:r>
                </w:p>
              </w:tc>
              <w:tc>
                <w:tcPr>
                  <w:tcW w:w="550" w:type="pct"/>
                  <w:noWrap w:val="0"/>
                  <w:vAlign w:val="center"/>
                </w:tcPr>
                <w:p w14:paraId="65A2F99C">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2</w:t>
                  </w:r>
                </w:p>
              </w:tc>
              <w:tc>
                <w:tcPr>
                  <w:tcW w:w="611" w:type="pct"/>
                  <w:noWrap w:val="0"/>
                  <w:vAlign w:val="center"/>
                </w:tcPr>
                <w:p w14:paraId="7E9CE430">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color w:val="auto"/>
                      <w:spacing w:val="-10"/>
                      <w:kern w:val="2"/>
                      <w:sz w:val="21"/>
                      <w:szCs w:val="21"/>
                      <w:highlight w:val="none"/>
                      <w:lang w:val="en-US" w:eastAsia="zh-CN" w:bidi="ar-SA"/>
                    </w:rPr>
                    <w:t>25kg/袋</w:t>
                  </w:r>
                </w:p>
              </w:tc>
              <w:tc>
                <w:tcPr>
                  <w:tcW w:w="664" w:type="pct"/>
                  <w:noWrap w:val="0"/>
                  <w:vAlign w:val="center"/>
                </w:tcPr>
                <w:p w14:paraId="4E9F65DA">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default"/>
                      <w:color w:val="auto"/>
                      <w:sz w:val="21"/>
                      <w:szCs w:val="21"/>
                      <w:highlight w:val="none"/>
                    </w:rPr>
                    <w:t>原料库</w:t>
                  </w:r>
                </w:p>
              </w:tc>
              <w:tc>
                <w:tcPr>
                  <w:tcW w:w="599" w:type="pct"/>
                  <w:noWrap w:val="0"/>
                  <w:vAlign w:val="center"/>
                </w:tcPr>
                <w:p w14:paraId="56E383B7">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宋体" w:hAnsi="宋体" w:eastAsia="宋体" w:cs="宋体"/>
                      <w:color w:val="auto"/>
                      <w:sz w:val="21"/>
                      <w:szCs w:val="21"/>
                      <w:highlight w:val="none"/>
                      <w:lang w:val="en-US" w:eastAsia="zh-CN"/>
                    </w:rPr>
                  </w:pPr>
                  <w:r>
                    <w:rPr>
                      <w:rFonts w:ascii="宋体" w:hAnsi="宋体" w:eastAsia="宋体" w:cs="宋体"/>
                      <w:color w:val="auto"/>
                      <w:sz w:val="21"/>
                      <w:szCs w:val="21"/>
                      <w:highlight w:val="none"/>
                    </w:rPr>
                    <w:t>食品级</w:t>
                  </w:r>
                  <w:r>
                    <w:rPr>
                      <w:rFonts w:hint="eastAsia" w:cs="宋体"/>
                      <w:color w:val="auto"/>
                      <w:sz w:val="21"/>
                      <w:szCs w:val="21"/>
                      <w:highlight w:val="none"/>
                      <w:lang w:eastAsia="zh-CN"/>
                    </w:rPr>
                    <w:t>（</w:t>
                  </w:r>
                  <w:r>
                    <w:rPr>
                      <w:rFonts w:hint="eastAsia" w:cs="宋体"/>
                      <w:color w:val="auto"/>
                      <w:sz w:val="21"/>
                      <w:szCs w:val="21"/>
                      <w:highlight w:val="none"/>
                      <w:lang w:val="en-US" w:eastAsia="zh-CN"/>
                    </w:rPr>
                    <w:t>自产）</w:t>
                  </w:r>
                </w:p>
              </w:tc>
            </w:tr>
            <w:tr w14:paraId="309D3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7A7DA3E8">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2</w:t>
                  </w:r>
                </w:p>
              </w:tc>
              <w:tc>
                <w:tcPr>
                  <w:tcW w:w="855" w:type="pct"/>
                  <w:noWrap w:val="0"/>
                  <w:vAlign w:val="center"/>
                </w:tcPr>
                <w:p w14:paraId="4867DA85">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color w:val="auto"/>
                      <w:sz w:val="21"/>
                      <w:szCs w:val="21"/>
                      <w:highlight w:val="none"/>
                    </w:rPr>
                    <w:t>柠檬酸</w:t>
                  </w:r>
                </w:p>
              </w:tc>
              <w:tc>
                <w:tcPr>
                  <w:tcW w:w="429" w:type="pct"/>
                  <w:noWrap w:val="0"/>
                  <w:vAlign w:val="center"/>
                </w:tcPr>
                <w:p w14:paraId="589DD5AC">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i w:val="0"/>
                      <w:iCs w:val="0"/>
                      <w:color w:val="auto"/>
                      <w:spacing w:val="-10"/>
                      <w:kern w:val="2"/>
                      <w:sz w:val="21"/>
                      <w:szCs w:val="21"/>
                      <w:highlight w:val="none"/>
                      <w:u w:val="none"/>
                      <w:lang w:val="en-US" w:eastAsia="zh-CN" w:bidi="ar"/>
                    </w:rPr>
                    <w:t>固态</w:t>
                  </w:r>
                </w:p>
              </w:tc>
              <w:tc>
                <w:tcPr>
                  <w:tcW w:w="475" w:type="pct"/>
                  <w:noWrap w:val="0"/>
                  <w:vAlign w:val="center"/>
                </w:tcPr>
                <w:p w14:paraId="3A554338">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color w:val="auto"/>
                      <w:sz w:val="21"/>
                      <w:szCs w:val="21"/>
                      <w:highlight w:val="none"/>
                    </w:rPr>
                    <w:t>袋装</w:t>
                  </w:r>
                </w:p>
              </w:tc>
              <w:tc>
                <w:tcPr>
                  <w:tcW w:w="863" w:type="dxa"/>
                  <w:noWrap w:val="0"/>
                  <w:vAlign w:val="center"/>
                </w:tcPr>
                <w:p w14:paraId="58A65770">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16</w:t>
                  </w:r>
                </w:p>
              </w:tc>
              <w:tc>
                <w:tcPr>
                  <w:tcW w:w="550" w:type="pct"/>
                  <w:noWrap w:val="0"/>
                  <w:vAlign w:val="center"/>
                </w:tcPr>
                <w:p w14:paraId="4DB2275A">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2</w:t>
                  </w:r>
                </w:p>
              </w:tc>
              <w:tc>
                <w:tcPr>
                  <w:tcW w:w="611" w:type="pct"/>
                  <w:noWrap w:val="0"/>
                  <w:vAlign w:val="center"/>
                </w:tcPr>
                <w:p w14:paraId="3CCE3D9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color w:val="auto"/>
                      <w:spacing w:val="-10"/>
                      <w:kern w:val="2"/>
                      <w:sz w:val="21"/>
                      <w:szCs w:val="21"/>
                      <w:highlight w:val="none"/>
                      <w:lang w:val="en-US" w:eastAsia="zh-CN" w:bidi="ar-SA"/>
                    </w:rPr>
                    <w:t>25kg/袋</w:t>
                  </w:r>
                </w:p>
              </w:tc>
              <w:tc>
                <w:tcPr>
                  <w:tcW w:w="664" w:type="pct"/>
                  <w:noWrap w:val="0"/>
                  <w:vAlign w:val="center"/>
                </w:tcPr>
                <w:p w14:paraId="106CE8C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default"/>
                      <w:color w:val="auto"/>
                      <w:sz w:val="21"/>
                      <w:szCs w:val="21"/>
                      <w:highlight w:val="none"/>
                    </w:rPr>
                    <w:t>原料库</w:t>
                  </w:r>
                </w:p>
              </w:tc>
              <w:tc>
                <w:tcPr>
                  <w:tcW w:w="599" w:type="pct"/>
                  <w:noWrap w:val="0"/>
                  <w:vAlign w:val="center"/>
                </w:tcPr>
                <w:p w14:paraId="7C95A674">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宋体" w:hAnsi="宋体" w:eastAsia="宋体" w:cs="宋体"/>
                      <w:color w:val="auto"/>
                      <w:sz w:val="21"/>
                      <w:szCs w:val="21"/>
                      <w:highlight w:val="none"/>
                      <w:lang w:val="en-US"/>
                    </w:rPr>
                  </w:pPr>
                  <w:r>
                    <w:rPr>
                      <w:rFonts w:ascii="宋体" w:hAnsi="宋体" w:eastAsia="宋体" w:cs="宋体"/>
                      <w:color w:val="auto"/>
                      <w:sz w:val="21"/>
                      <w:szCs w:val="21"/>
                      <w:highlight w:val="none"/>
                    </w:rPr>
                    <w:t>食品级</w:t>
                  </w:r>
                  <w:r>
                    <w:rPr>
                      <w:rFonts w:hint="eastAsia" w:cs="宋体"/>
                      <w:color w:val="auto"/>
                      <w:sz w:val="21"/>
                      <w:szCs w:val="21"/>
                      <w:highlight w:val="none"/>
                      <w:lang w:eastAsia="zh-CN"/>
                    </w:rPr>
                    <w:t>（</w:t>
                  </w:r>
                  <w:r>
                    <w:rPr>
                      <w:rFonts w:hint="eastAsia" w:cs="宋体"/>
                      <w:color w:val="auto"/>
                      <w:sz w:val="21"/>
                      <w:szCs w:val="21"/>
                      <w:highlight w:val="none"/>
                      <w:lang w:val="en-US" w:eastAsia="zh-CN"/>
                    </w:rPr>
                    <w:t>外购）</w:t>
                  </w:r>
                </w:p>
              </w:tc>
            </w:tr>
            <w:tr w14:paraId="7F33D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466B80A3">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3</w:t>
                  </w:r>
                </w:p>
              </w:tc>
              <w:tc>
                <w:tcPr>
                  <w:tcW w:w="855" w:type="pct"/>
                  <w:noWrap w:val="0"/>
                  <w:vAlign w:val="center"/>
                </w:tcPr>
                <w:p w14:paraId="5D31E1A7">
                  <w:pPr>
                    <w:pStyle w:val="40"/>
                    <w:keepNext w:val="0"/>
                    <w:keepLines w:val="0"/>
                    <w:pageBreakBefore w:val="0"/>
                    <w:widowControl w:val="0"/>
                    <w:kinsoku/>
                    <w:wordWrap/>
                    <w:overflowPunct/>
                    <w:topLinePunct w:val="0"/>
                    <w:autoSpaceDE/>
                    <w:autoSpaceDN/>
                    <w:bidi w:val="0"/>
                    <w:adjustRightInd/>
                    <w:snapToGrid/>
                    <w:spacing w:line="240" w:lineRule="auto"/>
                    <w:ind w:left="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color w:val="auto"/>
                      <w:sz w:val="21"/>
                      <w:szCs w:val="21"/>
                      <w:highlight w:val="none"/>
                    </w:rPr>
                    <w:t>维生素C</w:t>
                  </w:r>
                </w:p>
              </w:tc>
              <w:tc>
                <w:tcPr>
                  <w:tcW w:w="429" w:type="pct"/>
                  <w:noWrap w:val="0"/>
                  <w:vAlign w:val="center"/>
                </w:tcPr>
                <w:p w14:paraId="336A9A1E">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i w:val="0"/>
                      <w:iCs w:val="0"/>
                      <w:color w:val="auto"/>
                      <w:spacing w:val="-10"/>
                      <w:kern w:val="2"/>
                      <w:sz w:val="21"/>
                      <w:szCs w:val="21"/>
                      <w:highlight w:val="none"/>
                      <w:u w:val="none"/>
                      <w:lang w:val="en-US" w:eastAsia="zh-CN" w:bidi="ar"/>
                    </w:rPr>
                    <w:t>固态</w:t>
                  </w:r>
                </w:p>
              </w:tc>
              <w:tc>
                <w:tcPr>
                  <w:tcW w:w="475" w:type="pct"/>
                  <w:noWrap w:val="0"/>
                  <w:vAlign w:val="center"/>
                </w:tcPr>
                <w:p w14:paraId="295CFE1C">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olor w:val="auto"/>
                      <w:sz w:val="21"/>
                      <w:szCs w:val="21"/>
                      <w:highlight w:val="none"/>
                      <w:lang w:val="en-US" w:eastAsia="zh-CN"/>
                    </w:rPr>
                    <w:t>箱</w:t>
                  </w:r>
                  <w:r>
                    <w:rPr>
                      <w:rFonts w:hint="default"/>
                      <w:color w:val="auto"/>
                      <w:sz w:val="21"/>
                      <w:szCs w:val="21"/>
                      <w:highlight w:val="none"/>
                    </w:rPr>
                    <w:t>装</w:t>
                  </w:r>
                </w:p>
              </w:tc>
              <w:tc>
                <w:tcPr>
                  <w:tcW w:w="863" w:type="dxa"/>
                  <w:noWrap w:val="0"/>
                  <w:vAlign w:val="center"/>
                </w:tcPr>
                <w:p w14:paraId="7526D8A9">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8.6</w:t>
                  </w:r>
                </w:p>
              </w:tc>
              <w:tc>
                <w:tcPr>
                  <w:tcW w:w="550" w:type="pct"/>
                  <w:noWrap w:val="0"/>
                  <w:vAlign w:val="center"/>
                </w:tcPr>
                <w:p w14:paraId="4109DCC8">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1</w:t>
                  </w:r>
                </w:p>
              </w:tc>
              <w:tc>
                <w:tcPr>
                  <w:tcW w:w="611" w:type="pct"/>
                  <w:noWrap w:val="0"/>
                  <w:vAlign w:val="center"/>
                </w:tcPr>
                <w:p w14:paraId="15E114F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color w:val="auto"/>
                      <w:spacing w:val="-10"/>
                      <w:kern w:val="2"/>
                      <w:sz w:val="21"/>
                      <w:szCs w:val="21"/>
                      <w:highlight w:val="none"/>
                      <w:lang w:val="en-US" w:eastAsia="zh-CN" w:bidi="ar-SA"/>
                    </w:rPr>
                    <w:t>25kg/</w:t>
                  </w:r>
                  <w:r>
                    <w:rPr>
                      <w:rFonts w:hint="default" w:ascii="Times New Roman" w:hAnsi="Times New Roman" w:eastAsia="宋体" w:cs="Times New Roman"/>
                      <w:color w:val="auto"/>
                      <w:spacing w:val="-10"/>
                      <w:kern w:val="2"/>
                      <w:sz w:val="21"/>
                      <w:szCs w:val="21"/>
                      <w:highlight w:val="none"/>
                      <w:lang w:val="en-US" w:eastAsia="zh-CN" w:bidi="ar-SA"/>
                    </w:rPr>
                    <w:t>箱</w:t>
                  </w:r>
                </w:p>
              </w:tc>
              <w:tc>
                <w:tcPr>
                  <w:tcW w:w="664" w:type="pct"/>
                  <w:noWrap w:val="0"/>
                  <w:vAlign w:val="center"/>
                </w:tcPr>
                <w:p w14:paraId="54126BE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kern w:val="2"/>
                      <w:sz w:val="21"/>
                      <w:szCs w:val="21"/>
                      <w:highlight w:val="none"/>
                      <w:lang w:val="en-US" w:eastAsia="zh-CN" w:bidi="ar-SA"/>
                    </w:rPr>
                    <w:t>原料库</w:t>
                  </w:r>
                </w:p>
              </w:tc>
              <w:tc>
                <w:tcPr>
                  <w:tcW w:w="599" w:type="pct"/>
                  <w:noWrap w:val="0"/>
                  <w:vAlign w:val="center"/>
                </w:tcPr>
                <w:p w14:paraId="29A79D4C">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ascii="宋体" w:hAnsi="宋体" w:eastAsia="宋体" w:cs="宋体"/>
                      <w:color w:val="auto"/>
                      <w:sz w:val="21"/>
                      <w:szCs w:val="21"/>
                      <w:highlight w:val="none"/>
                    </w:rPr>
                  </w:pPr>
                  <w:r>
                    <w:rPr>
                      <w:rFonts w:ascii="宋体" w:hAnsi="宋体" w:eastAsia="宋体" w:cs="宋体"/>
                      <w:color w:val="auto"/>
                      <w:sz w:val="21"/>
                      <w:szCs w:val="21"/>
                      <w:highlight w:val="none"/>
                    </w:rPr>
                    <w:t>食品级</w:t>
                  </w:r>
                  <w:r>
                    <w:rPr>
                      <w:rFonts w:hint="eastAsia" w:cs="宋体"/>
                      <w:color w:val="auto"/>
                      <w:sz w:val="21"/>
                      <w:szCs w:val="21"/>
                      <w:highlight w:val="none"/>
                      <w:lang w:eastAsia="zh-CN"/>
                    </w:rPr>
                    <w:t>（</w:t>
                  </w:r>
                  <w:r>
                    <w:rPr>
                      <w:rFonts w:hint="eastAsia" w:cs="宋体"/>
                      <w:color w:val="auto"/>
                      <w:sz w:val="21"/>
                      <w:szCs w:val="21"/>
                      <w:highlight w:val="none"/>
                      <w:lang w:val="en-US" w:eastAsia="zh-CN"/>
                    </w:rPr>
                    <w:t>外购）</w:t>
                  </w:r>
                </w:p>
              </w:tc>
            </w:tr>
            <w:tr w14:paraId="05A5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76D45073">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4</w:t>
                  </w:r>
                </w:p>
              </w:tc>
              <w:tc>
                <w:tcPr>
                  <w:tcW w:w="855" w:type="pct"/>
                  <w:noWrap w:val="0"/>
                  <w:vAlign w:val="center"/>
                </w:tcPr>
                <w:p w14:paraId="78C0AC0D">
                  <w:pPr>
                    <w:pStyle w:val="40"/>
                    <w:keepNext w:val="0"/>
                    <w:keepLines w:val="0"/>
                    <w:pageBreakBefore w:val="0"/>
                    <w:widowControl w:val="0"/>
                    <w:kinsoku/>
                    <w:wordWrap/>
                    <w:overflowPunct/>
                    <w:topLinePunct w:val="0"/>
                    <w:autoSpaceDE/>
                    <w:autoSpaceDN/>
                    <w:bidi w:val="0"/>
                    <w:adjustRightInd/>
                    <w:snapToGrid/>
                    <w:spacing w:line="240" w:lineRule="auto"/>
                    <w:ind w:left="0" w:right="0" w:rightChars="0"/>
                    <w:jc w:val="center"/>
                    <w:rPr>
                      <w:rFonts w:hint="default"/>
                      <w:color w:val="auto"/>
                      <w:sz w:val="21"/>
                      <w:szCs w:val="21"/>
                      <w:highlight w:val="none"/>
                    </w:rPr>
                  </w:pPr>
                  <w:r>
                    <w:rPr>
                      <w:rFonts w:hint="default"/>
                      <w:color w:val="auto"/>
                      <w:sz w:val="21"/>
                      <w:szCs w:val="21"/>
                      <w:highlight w:val="none"/>
                    </w:rPr>
                    <w:t>还原铁粉</w:t>
                  </w:r>
                </w:p>
              </w:tc>
              <w:tc>
                <w:tcPr>
                  <w:tcW w:w="429" w:type="pct"/>
                  <w:noWrap w:val="0"/>
                  <w:vAlign w:val="center"/>
                </w:tcPr>
                <w:p w14:paraId="4CB4243F">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ascii="Times New Roman" w:hAnsi="Times New Roman" w:eastAsia="宋体" w:cs="Times New Roman"/>
                      <w:i w:val="0"/>
                      <w:iCs w:val="0"/>
                      <w:color w:val="auto"/>
                      <w:spacing w:val="-10"/>
                      <w:kern w:val="2"/>
                      <w:sz w:val="21"/>
                      <w:szCs w:val="21"/>
                      <w:highlight w:val="none"/>
                      <w:u w:val="none"/>
                      <w:lang w:val="en-US" w:eastAsia="zh-CN" w:bidi="ar"/>
                    </w:rPr>
                    <w:t>固态</w:t>
                  </w:r>
                </w:p>
              </w:tc>
              <w:tc>
                <w:tcPr>
                  <w:tcW w:w="475" w:type="pct"/>
                  <w:noWrap w:val="0"/>
                  <w:vAlign w:val="center"/>
                </w:tcPr>
                <w:p w14:paraId="3EF90B17">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eastAsia" w:cs="Times New Roman"/>
                      <w:i w:val="0"/>
                      <w:iCs w:val="0"/>
                      <w:color w:val="auto"/>
                      <w:spacing w:val="-10"/>
                      <w:kern w:val="2"/>
                      <w:sz w:val="21"/>
                      <w:szCs w:val="21"/>
                      <w:highlight w:val="none"/>
                      <w:u w:val="none"/>
                      <w:lang w:val="en-US" w:eastAsia="zh-CN" w:bidi="ar"/>
                    </w:rPr>
                  </w:pPr>
                  <w:r>
                    <w:rPr>
                      <w:rFonts w:hint="default"/>
                      <w:color w:val="auto"/>
                      <w:sz w:val="21"/>
                      <w:szCs w:val="21"/>
                      <w:highlight w:val="none"/>
                    </w:rPr>
                    <w:t>袋装</w:t>
                  </w:r>
                </w:p>
              </w:tc>
              <w:tc>
                <w:tcPr>
                  <w:tcW w:w="863" w:type="dxa"/>
                  <w:noWrap w:val="0"/>
                  <w:vAlign w:val="center"/>
                </w:tcPr>
                <w:p w14:paraId="33BFCA20">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70.6</w:t>
                  </w:r>
                </w:p>
              </w:tc>
              <w:tc>
                <w:tcPr>
                  <w:tcW w:w="550" w:type="pct"/>
                  <w:noWrap w:val="0"/>
                  <w:vAlign w:val="center"/>
                </w:tcPr>
                <w:p w14:paraId="34707EB5">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2</w:t>
                  </w:r>
                </w:p>
              </w:tc>
              <w:tc>
                <w:tcPr>
                  <w:tcW w:w="611" w:type="pct"/>
                  <w:noWrap w:val="0"/>
                  <w:vAlign w:val="center"/>
                </w:tcPr>
                <w:p w14:paraId="32AA154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color w:val="auto"/>
                      <w:spacing w:val="-10"/>
                      <w:kern w:val="2"/>
                      <w:sz w:val="21"/>
                      <w:szCs w:val="21"/>
                      <w:highlight w:val="none"/>
                      <w:lang w:val="en-US" w:eastAsia="zh-CN" w:bidi="ar-SA"/>
                    </w:rPr>
                    <w:t>25kg/袋</w:t>
                  </w:r>
                </w:p>
              </w:tc>
              <w:tc>
                <w:tcPr>
                  <w:tcW w:w="664" w:type="pct"/>
                  <w:noWrap w:val="0"/>
                  <w:vAlign w:val="center"/>
                </w:tcPr>
                <w:p w14:paraId="23C33B0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kern w:val="2"/>
                      <w:sz w:val="21"/>
                      <w:szCs w:val="21"/>
                      <w:highlight w:val="none"/>
                      <w:lang w:val="en-US" w:eastAsia="zh-CN" w:bidi="ar-SA"/>
                    </w:rPr>
                    <w:t>原料库</w:t>
                  </w:r>
                </w:p>
              </w:tc>
              <w:tc>
                <w:tcPr>
                  <w:tcW w:w="599" w:type="pct"/>
                  <w:noWrap w:val="0"/>
                  <w:vAlign w:val="center"/>
                </w:tcPr>
                <w:p w14:paraId="0CDEC247">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ascii="宋体" w:hAnsi="宋体" w:eastAsia="宋体" w:cs="宋体"/>
                      <w:color w:val="auto"/>
                      <w:sz w:val="21"/>
                      <w:szCs w:val="21"/>
                      <w:highlight w:val="none"/>
                    </w:rPr>
                  </w:pPr>
                  <w:r>
                    <w:rPr>
                      <w:rFonts w:hint="default" w:ascii="宋体" w:hAnsi="宋体" w:eastAsia="宋体" w:cs="宋体"/>
                      <w:color w:val="auto"/>
                      <w:sz w:val="21"/>
                      <w:szCs w:val="21"/>
                      <w:highlight w:val="none"/>
                    </w:rPr>
                    <w:t>工业品</w:t>
                  </w:r>
                  <w:r>
                    <w:rPr>
                      <w:rFonts w:hint="eastAsia" w:cs="宋体"/>
                      <w:color w:val="auto"/>
                      <w:sz w:val="21"/>
                      <w:szCs w:val="21"/>
                      <w:highlight w:val="none"/>
                      <w:lang w:eastAsia="zh-CN"/>
                    </w:rPr>
                    <w:t>（</w:t>
                  </w:r>
                  <w:r>
                    <w:rPr>
                      <w:rFonts w:hint="eastAsia" w:cs="宋体"/>
                      <w:color w:val="auto"/>
                      <w:sz w:val="21"/>
                      <w:szCs w:val="21"/>
                      <w:highlight w:val="none"/>
                      <w:lang w:val="en-US" w:eastAsia="zh-CN"/>
                    </w:rPr>
                    <w:t>外购）</w:t>
                  </w:r>
                </w:p>
              </w:tc>
            </w:tr>
            <w:tr w14:paraId="57349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36B7969F">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5</w:t>
                  </w:r>
                </w:p>
              </w:tc>
              <w:tc>
                <w:tcPr>
                  <w:tcW w:w="855" w:type="pct"/>
                  <w:noWrap w:val="0"/>
                  <w:vAlign w:val="center"/>
                </w:tcPr>
                <w:p w14:paraId="43D9CE3E">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宋体" w:hAnsi="宋体" w:eastAsia="宋体" w:cs="宋体"/>
                      <w:color w:val="auto"/>
                      <w:kern w:val="2"/>
                      <w:sz w:val="21"/>
                      <w:szCs w:val="21"/>
                      <w:highlight w:val="none"/>
                      <w:lang w:val="zh-CN" w:eastAsia="zh-CN" w:bidi="zh-CN"/>
                    </w:rPr>
                  </w:pPr>
                  <w:r>
                    <w:rPr>
                      <w:rFonts w:hint="default"/>
                      <w:color w:val="auto"/>
                      <w:sz w:val="21"/>
                      <w:szCs w:val="21"/>
                      <w:highlight w:val="none"/>
                    </w:rPr>
                    <w:t>去离子水</w:t>
                  </w:r>
                </w:p>
              </w:tc>
              <w:tc>
                <w:tcPr>
                  <w:tcW w:w="429" w:type="pct"/>
                  <w:noWrap w:val="0"/>
                  <w:vAlign w:val="center"/>
                </w:tcPr>
                <w:p w14:paraId="5B073F16">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eastAsia"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液态</w:t>
                  </w:r>
                </w:p>
              </w:tc>
              <w:tc>
                <w:tcPr>
                  <w:tcW w:w="475" w:type="pct"/>
                  <w:noWrap w:val="0"/>
                  <w:vAlign w:val="center"/>
                </w:tcPr>
                <w:p w14:paraId="1F283097">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eastAsia"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w:t>
                  </w:r>
                </w:p>
              </w:tc>
              <w:tc>
                <w:tcPr>
                  <w:tcW w:w="543" w:type="pct"/>
                  <w:noWrap w:val="0"/>
                  <w:vAlign w:val="center"/>
                </w:tcPr>
                <w:p w14:paraId="18221B4D">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cs="Times New Roman"/>
                      <w:i w:val="0"/>
                      <w:iCs w:val="0"/>
                      <w:color w:val="auto"/>
                      <w:spacing w:val="-10"/>
                      <w:kern w:val="2"/>
                      <w:sz w:val="21"/>
                      <w:szCs w:val="21"/>
                      <w:highlight w:val="none"/>
                      <w:u w:val="none"/>
                      <w:lang w:val="en-US" w:eastAsia="zh-CN" w:bidi="ar"/>
                    </w:rPr>
                    <w:t>1200</w:t>
                  </w:r>
                </w:p>
              </w:tc>
              <w:tc>
                <w:tcPr>
                  <w:tcW w:w="550" w:type="pct"/>
                  <w:noWrap w:val="0"/>
                  <w:vAlign w:val="center"/>
                </w:tcPr>
                <w:p w14:paraId="648B9DF7">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eastAsia"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2.5</w:t>
                  </w:r>
                </w:p>
              </w:tc>
              <w:tc>
                <w:tcPr>
                  <w:tcW w:w="611" w:type="pct"/>
                  <w:noWrap w:val="0"/>
                  <w:vAlign w:val="center"/>
                </w:tcPr>
                <w:p w14:paraId="6C46D16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kern w:val="2"/>
                      <w:sz w:val="21"/>
                      <w:szCs w:val="21"/>
                      <w:highlight w:val="none"/>
                      <w:lang w:val="en-US" w:eastAsia="zh-CN" w:bidi="ar-SA"/>
                    </w:rPr>
                    <w:t>2.5m³/罐</w:t>
                  </w:r>
                </w:p>
              </w:tc>
              <w:tc>
                <w:tcPr>
                  <w:tcW w:w="664" w:type="pct"/>
                  <w:noWrap w:val="0"/>
                  <w:vAlign w:val="center"/>
                </w:tcPr>
                <w:p w14:paraId="1E301D8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kern w:val="2"/>
                      <w:sz w:val="21"/>
                      <w:szCs w:val="21"/>
                      <w:highlight w:val="none"/>
                      <w:lang w:val="en-US" w:eastAsia="zh-CN" w:bidi="ar-SA"/>
                    </w:rPr>
                    <w:t>公辅区</w:t>
                  </w:r>
                </w:p>
              </w:tc>
              <w:tc>
                <w:tcPr>
                  <w:tcW w:w="599" w:type="pct"/>
                  <w:noWrap w:val="0"/>
                  <w:vAlign w:val="center"/>
                </w:tcPr>
                <w:p w14:paraId="181F557F">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val="en-US" w:eastAsia="zh-CN"/>
                    </w:rPr>
                    <w:t>自产</w:t>
                  </w:r>
                </w:p>
              </w:tc>
            </w:tr>
            <w:tr w14:paraId="28BB5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68844F60">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6</w:t>
                  </w:r>
                </w:p>
              </w:tc>
              <w:tc>
                <w:tcPr>
                  <w:tcW w:w="855" w:type="pct"/>
                  <w:noWrap w:val="0"/>
                  <w:vAlign w:val="center"/>
                </w:tcPr>
                <w:p w14:paraId="279E67DC">
                  <w:pPr>
                    <w:pStyle w:val="40"/>
                    <w:keepNext w:val="0"/>
                    <w:keepLines w:val="0"/>
                    <w:pageBreakBefore w:val="0"/>
                    <w:widowControl w:val="0"/>
                    <w:kinsoku/>
                    <w:wordWrap/>
                    <w:overflowPunct/>
                    <w:topLinePunct w:val="0"/>
                    <w:autoSpaceDE/>
                    <w:autoSpaceDN/>
                    <w:bidi w:val="0"/>
                    <w:adjustRightInd/>
                    <w:snapToGrid/>
                    <w:spacing w:line="240" w:lineRule="auto"/>
                    <w:ind w:left="0" w:right="0" w:right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20%硫酸</w:t>
                  </w:r>
                </w:p>
              </w:tc>
              <w:tc>
                <w:tcPr>
                  <w:tcW w:w="429" w:type="pct"/>
                  <w:noWrap w:val="0"/>
                  <w:vAlign w:val="center"/>
                </w:tcPr>
                <w:p w14:paraId="06FC536B">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ascii="Times New Roman" w:hAnsi="Times New Roman" w:cs="Times New Roman"/>
                      <w:i w:val="0"/>
                      <w:iCs w:val="0"/>
                      <w:color w:val="auto"/>
                      <w:spacing w:val="-10"/>
                      <w:kern w:val="2"/>
                      <w:sz w:val="21"/>
                      <w:szCs w:val="21"/>
                      <w:highlight w:val="none"/>
                      <w:u w:val="none"/>
                      <w:lang w:val="en-US" w:eastAsia="zh-CN" w:bidi="ar"/>
                    </w:rPr>
                    <w:t>液态</w:t>
                  </w:r>
                </w:p>
              </w:tc>
              <w:tc>
                <w:tcPr>
                  <w:tcW w:w="475" w:type="pct"/>
                  <w:noWrap w:val="0"/>
                  <w:vAlign w:val="center"/>
                </w:tcPr>
                <w:p w14:paraId="2EE25493">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罐装</w:t>
                  </w:r>
                </w:p>
              </w:tc>
              <w:tc>
                <w:tcPr>
                  <w:tcW w:w="543" w:type="pct"/>
                  <w:noWrap w:val="0"/>
                  <w:vAlign w:val="center"/>
                </w:tcPr>
                <w:p w14:paraId="30134DF7">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45</w:t>
                  </w:r>
                </w:p>
              </w:tc>
              <w:tc>
                <w:tcPr>
                  <w:tcW w:w="550" w:type="pct"/>
                  <w:noWrap w:val="0"/>
                  <w:vAlign w:val="center"/>
                </w:tcPr>
                <w:p w14:paraId="4F29E5B4">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cs="Times New Roman"/>
                      <w:i w:val="0"/>
                      <w:iCs w:val="0"/>
                      <w:color w:val="auto"/>
                      <w:spacing w:val="-10"/>
                      <w:kern w:val="2"/>
                      <w:sz w:val="21"/>
                      <w:szCs w:val="21"/>
                      <w:highlight w:val="none"/>
                      <w:u w:val="none"/>
                      <w:lang w:val="en-US" w:eastAsia="zh-CN" w:bidi="ar"/>
                    </w:rPr>
                  </w:pPr>
                  <w:r>
                    <w:rPr>
                      <w:rFonts w:hint="default" w:ascii="Times New Roman" w:hAnsi="Times New Roman" w:cs="Times New Roman"/>
                      <w:i w:val="0"/>
                      <w:iCs w:val="0"/>
                      <w:color w:val="auto"/>
                      <w:spacing w:val="-10"/>
                      <w:kern w:val="2"/>
                      <w:sz w:val="21"/>
                      <w:szCs w:val="21"/>
                      <w:highlight w:val="none"/>
                      <w:u w:val="none"/>
                      <w:lang w:val="en-US" w:eastAsia="zh-CN" w:bidi="ar"/>
                    </w:rPr>
                    <w:t>1</w:t>
                  </w:r>
                </w:p>
              </w:tc>
              <w:tc>
                <w:tcPr>
                  <w:tcW w:w="611" w:type="pct"/>
                  <w:noWrap w:val="0"/>
                  <w:vAlign w:val="center"/>
                </w:tcPr>
                <w:p w14:paraId="2FC9AB3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cs="Times New Roman"/>
                      <w:color w:val="auto"/>
                      <w:spacing w:val="-10"/>
                      <w:kern w:val="2"/>
                      <w:sz w:val="21"/>
                      <w:szCs w:val="21"/>
                      <w:highlight w:val="none"/>
                      <w:lang w:val="en-US" w:eastAsia="zh-CN" w:bidi="ar-SA"/>
                    </w:rPr>
                    <w:t>1</w:t>
                  </w:r>
                  <w:r>
                    <w:rPr>
                      <w:rFonts w:hint="default" w:ascii="Times New Roman" w:hAnsi="Times New Roman" w:eastAsia="宋体" w:cs="Times New Roman"/>
                      <w:color w:val="auto"/>
                      <w:spacing w:val="-10"/>
                      <w:kern w:val="2"/>
                      <w:sz w:val="21"/>
                      <w:szCs w:val="21"/>
                      <w:highlight w:val="none"/>
                      <w:lang w:val="en-US" w:eastAsia="zh-CN" w:bidi="ar-SA"/>
                    </w:rPr>
                    <w:t>m³/罐</w:t>
                  </w:r>
                </w:p>
              </w:tc>
              <w:tc>
                <w:tcPr>
                  <w:tcW w:w="664" w:type="pct"/>
                  <w:noWrap w:val="0"/>
                  <w:vAlign w:val="center"/>
                </w:tcPr>
                <w:p w14:paraId="6E080E6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kern w:val="2"/>
                      <w:sz w:val="21"/>
                      <w:szCs w:val="21"/>
                      <w:highlight w:val="none"/>
                      <w:lang w:val="en-US" w:eastAsia="zh-CN" w:bidi="ar-SA"/>
                    </w:rPr>
                    <w:t>公辅区</w:t>
                  </w:r>
                </w:p>
              </w:tc>
              <w:tc>
                <w:tcPr>
                  <w:tcW w:w="599" w:type="pct"/>
                  <w:noWrap w:val="0"/>
                  <w:vAlign w:val="center"/>
                </w:tcPr>
                <w:p w14:paraId="2B20C1B0">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废气治理药剂，依托厂区现有</w:t>
                  </w:r>
                </w:p>
              </w:tc>
            </w:tr>
            <w:tr w14:paraId="7C9B6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6B63B862">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7</w:t>
                  </w:r>
                </w:p>
              </w:tc>
              <w:tc>
                <w:tcPr>
                  <w:tcW w:w="855" w:type="pct"/>
                  <w:noWrap w:val="0"/>
                  <w:vAlign w:val="center"/>
                </w:tcPr>
                <w:p w14:paraId="29028C69">
                  <w:pPr>
                    <w:pStyle w:val="40"/>
                    <w:keepNext w:val="0"/>
                    <w:keepLines w:val="0"/>
                    <w:pageBreakBefore w:val="0"/>
                    <w:widowControl w:val="0"/>
                    <w:kinsoku/>
                    <w:wordWrap/>
                    <w:overflowPunct/>
                    <w:topLinePunct w:val="0"/>
                    <w:autoSpaceDE/>
                    <w:autoSpaceDN/>
                    <w:bidi w:val="0"/>
                    <w:adjustRightInd/>
                    <w:snapToGrid/>
                    <w:spacing w:line="240" w:lineRule="auto"/>
                    <w:ind w:left="0" w:right="0"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润滑油</w:t>
                  </w:r>
                </w:p>
              </w:tc>
              <w:tc>
                <w:tcPr>
                  <w:tcW w:w="429" w:type="pct"/>
                  <w:noWrap w:val="0"/>
                  <w:vAlign w:val="center"/>
                </w:tcPr>
                <w:p w14:paraId="1EA6E67D">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default" w:ascii="Times New Roman" w:hAnsi="Times New Roman" w:cs="Times New Roman"/>
                      <w:i w:val="0"/>
                      <w:iCs w:val="0"/>
                      <w:color w:val="auto"/>
                      <w:spacing w:val="-10"/>
                      <w:kern w:val="2"/>
                      <w:sz w:val="21"/>
                      <w:szCs w:val="21"/>
                      <w:highlight w:val="none"/>
                      <w:u w:val="none"/>
                      <w:lang w:val="en-US" w:eastAsia="zh-CN" w:bidi="ar"/>
                    </w:rPr>
                  </w:pPr>
                  <w:r>
                    <w:rPr>
                      <w:rFonts w:hint="default" w:ascii="Times New Roman" w:hAnsi="Times New Roman" w:cs="Times New Roman"/>
                      <w:i w:val="0"/>
                      <w:iCs w:val="0"/>
                      <w:color w:val="auto"/>
                      <w:spacing w:val="-10"/>
                      <w:kern w:val="2"/>
                      <w:sz w:val="21"/>
                      <w:szCs w:val="21"/>
                      <w:highlight w:val="none"/>
                      <w:u w:val="none"/>
                      <w:lang w:val="en-US" w:eastAsia="zh-CN" w:bidi="ar"/>
                    </w:rPr>
                    <w:t>液态</w:t>
                  </w:r>
                </w:p>
              </w:tc>
              <w:tc>
                <w:tcPr>
                  <w:tcW w:w="475" w:type="pct"/>
                  <w:noWrap w:val="0"/>
                  <w:vAlign w:val="center"/>
                </w:tcPr>
                <w:p w14:paraId="16C97900">
                  <w:pPr>
                    <w:keepNext w:val="0"/>
                    <w:keepLines w:val="0"/>
                    <w:pageBreakBefore w:val="0"/>
                    <w:widowControl w:val="0"/>
                    <w:suppressLineNumbers w:val="0"/>
                    <w:kinsoku/>
                    <w:wordWrap/>
                    <w:overflowPunct/>
                    <w:topLinePunct w:val="0"/>
                    <w:autoSpaceDE/>
                    <w:autoSpaceDN/>
                    <w:bidi w:val="0"/>
                    <w:adjustRightInd/>
                    <w:snapToGrid/>
                    <w:spacing w:line="240" w:lineRule="auto"/>
                    <w:ind w:left="0" w:leftChars="0" w:right="0" w:rightChars="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桶装</w:t>
                  </w:r>
                </w:p>
              </w:tc>
              <w:tc>
                <w:tcPr>
                  <w:tcW w:w="543" w:type="pct"/>
                  <w:noWrap w:val="0"/>
                  <w:vAlign w:val="center"/>
                </w:tcPr>
                <w:p w14:paraId="4C9AE60A">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0.05</w:t>
                  </w:r>
                </w:p>
              </w:tc>
              <w:tc>
                <w:tcPr>
                  <w:tcW w:w="550" w:type="pct"/>
                  <w:noWrap w:val="0"/>
                  <w:vAlign w:val="center"/>
                </w:tcPr>
                <w:p w14:paraId="61F1AEA7">
                  <w:pPr>
                    <w:keepNext w:val="0"/>
                    <w:keepLines w:val="0"/>
                    <w:pageBreakBefore w:val="0"/>
                    <w:widowControl w:val="0"/>
                    <w:suppressLineNumbers w:val="0"/>
                    <w:kinsoku/>
                    <w:wordWrap/>
                    <w:overflowPunct/>
                    <w:topLinePunct w:val="0"/>
                    <w:autoSpaceDE/>
                    <w:autoSpaceDN/>
                    <w:bidi w:val="0"/>
                    <w:adjustRightInd/>
                    <w:snapToGrid/>
                    <w:spacing w:line="240" w:lineRule="auto"/>
                    <w:ind w:left="0" w:right="0"/>
                    <w:jc w:val="center"/>
                    <w:textAlignment w:val="bottom"/>
                    <w:rPr>
                      <w:rFonts w:hint="default" w:ascii="Times New Roman" w:hAnsi="Times New Roman"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0.02</w:t>
                  </w:r>
                </w:p>
              </w:tc>
              <w:tc>
                <w:tcPr>
                  <w:tcW w:w="611" w:type="pct"/>
                  <w:noWrap w:val="0"/>
                  <w:vAlign w:val="center"/>
                </w:tcPr>
                <w:p w14:paraId="1DFA201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cs="Times New Roman"/>
                      <w:color w:val="auto"/>
                      <w:spacing w:val="-10"/>
                      <w:kern w:val="2"/>
                      <w:sz w:val="21"/>
                      <w:szCs w:val="21"/>
                      <w:highlight w:val="none"/>
                      <w:lang w:val="en-US" w:eastAsia="zh-CN" w:bidi="ar-SA"/>
                    </w:rPr>
                  </w:pPr>
                  <w:r>
                    <w:rPr>
                      <w:rFonts w:hint="default" w:ascii="Times New Roman" w:hAnsi="Times New Roman" w:cs="Times New Roman"/>
                      <w:b w:val="0"/>
                      <w:bCs/>
                      <w:color w:val="auto"/>
                      <w:sz w:val="21"/>
                      <w:szCs w:val="21"/>
                      <w:highlight w:val="none"/>
                      <w:lang w:val="en-US" w:eastAsia="zh-CN"/>
                    </w:rPr>
                    <w:t>20kg</w:t>
                  </w:r>
                  <w:r>
                    <w:rPr>
                      <w:rFonts w:hint="eastAsia" w:ascii="Times New Roman" w:hAnsi="Times New Roman" w:cs="Times New Roman"/>
                      <w:b w:val="0"/>
                      <w:bCs/>
                      <w:color w:val="auto"/>
                      <w:sz w:val="21"/>
                      <w:szCs w:val="21"/>
                      <w:highlight w:val="none"/>
                      <w:lang w:val="en-US" w:eastAsia="zh-CN"/>
                    </w:rPr>
                    <w:t>/</w:t>
                  </w:r>
                  <w:r>
                    <w:rPr>
                      <w:rFonts w:hint="default" w:ascii="Times New Roman" w:hAnsi="Times New Roman" w:cs="Times New Roman"/>
                      <w:b w:val="0"/>
                      <w:bCs/>
                      <w:color w:val="auto"/>
                      <w:sz w:val="21"/>
                      <w:szCs w:val="21"/>
                      <w:highlight w:val="none"/>
                      <w:lang w:val="en-US" w:eastAsia="zh-CN"/>
                    </w:rPr>
                    <w:t>桶</w:t>
                  </w:r>
                </w:p>
              </w:tc>
              <w:tc>
                <w:tcPr>
                  <w:tcW w:w="664" w:type="pct"/>
                  <w:noWrap w:val="0"/>
                  <w:vAlign w:val="center"/>
                </w:tcPr>
                <w:p w14:paraId="463F6E9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kern w:val="2"/>
                      <w:sz w:val="21"/>
                      <w:szCs w:val="21"/>
                      <w:highlight w:val="none"/>
                      <w:lang w:val="en-US" w:eastAsia="zh-CN" w:bidi="ar-SA"/>
                    </w:rPr>
                    <w:t>原料库</w:t>
                  </w:r>
                </w:p>
              </w:tc>
              <w:tc>
                <w:tcPr>
                  <w:tcW w:w="599" w:type="pct"/>
                  <w:noWrap w:val="0"/>
                  <w:vAlign w:val="center"/>
                </w:tcPr>
                <w:p w14:paraId="32ABDD45">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auto"/>
                    <w:rPr>
                      <w:rFonts w:hint="default"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设备维护使用</w:t>
                  </w:r>
                </w:p>
              </w:tc>
            </w:tr>
            <w:tr w14:paraId="00341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5000" w:type="pct"/>
                  <w:gridSpan w:val="9"/>
                  <w:shd w:val="clear" w:color="auto" w:fill="D7D7D7"/>
                  <w:noWrap w:val="0"/>
                  <w:vAlign w:val="center"/>
                </w:tcPr>
                <w:p w14:paraId="3A9B69D3">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right="0"/>
                    <w:jc w:val="center"/>
                    <w:textAlignment w:val="bottom"/>
                    <w:rPr>
                      <w:rFonts w:hint="eastAsia" w:ascii="Times New Roman" w:hAnsi="Times New Roman" w:eastAsia="宋体" w:cs="Times New Roman"/>
                      <w:color w:val="auto"/>
                      <w:spacing w:val="-10"/>
                      <w:sz w:val="21"/>
                      <w:szCs w:val="21"/>
                      <w:highlight w:val="none"/>
                      <w:lang w:eastAsia="zh-CN"/>
                    </w:rPr>
                  </w:pPr>
                  <w:r>
                    <w:rPr>
                      <w:rFonts w:hint="eastAsia" w:ascii="Times New Roman" w:hAnsi="Times New Roman" w:eastAsia="宋体" w:cs="Times New Roman"/>
                      <w:color w:val="auto"/>
                      <w:spacing w:val="-10"/>
                      <w:sz w:val="21"/>
                      <w:szCs w:val="21"/>
                      <w:highlight w:val="none"/>
                      <w:lang w:eastAsia="zh-CN"/>
                    </w:rPr>
                    <w:t>项目能源消耗情况</w:t>
                  </w:r>
                </w:p>
              </w:tc>
            </w:tr>
            <w:tr w14:paraId="16956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38D0D0D2">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eastAsia" w:ascii="Times New Roman" w:hAnsi="Times New Roman" w:eastAsia="宋体" w:cs="Times New Roman"/>
                      <w:color w:val="auto"/>
                      <w:spacing w:val="-10"/>
                      <w:sz w:val="21"/>
                      <w:szCs w:val="21"/>
                      <w:highlight w:val="none"/>
                      <w:lang w:val="en-US" w:eastAsia="zh-CN"/>
                    </w:rPr>
                  </w:pPr>
                  <w:r>
                    <w:rPr>
                      <w:rFonts w:hint="eastAsia" w:ascii="Times New Roman" w:hAnsi="Times New Roman" w:eastAsia="宋体" w:cs="Times New Roman"/>
                      <w:color w:val="auto"/>
                      <w:spacing w:val="-10"/>
                      <w:sz w:val="21"/>
                      <w:szCs w:val="21"/>
                      <w:highlight w:val="none"/>
                      <w:lang w:val="en-US" w:eastAsia="zh-CN"/>
                    </w:rPr>
                    <w:t>序号</w:t>
                  </w:r>
                </w:p>
              </w:tc>
              <w:tc>
                <w:tcPr>
                  <w:tcW w:w="855" w:type="pct"/>
                  <w:noWrap w:val="0"/>
                  <w:vAlign w:val="center"/>
                </w:tcPr>
                <w:p w14:paraId="2FB8C271">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名称</w:t>
                  </w:r>
                </w:p>
              </w:tc>
              <w:tc>
                <w:tcPr>
                  <w:tcW w:w="1448" w:type="pct"/>
                  <w:gridSpan w:val="3"/>
                  <w:noWrap w:val="0"/>
                  <w:vAlign w:val="center"/>
                </w:tcPr>
                <w:p w14:paraId="581A8E3F">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i w:val="0"/>
                      <w:iCs w:val="0"/>
                      <w:color w:val="auto"/>
                      <w:spacing w:val="-10"/>
                      <w:kern w:val="2"/>
                      <w:sz w:val="21"/>
                      <w:szCs w:val="21"/>
                      <w:highlight w:val="none"/>
                      <w:u w:val="none"/>
                      <w:lang w:val="en-US" w:eastAsia="zh-CN" w:bidi="ar"/>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单位</w:t>
                  </w:r>
                </w:p>
              </w:tc>
              <w:tc>
                <w:tcPr>
                  <w:tcW w:w="1826" w:type="pct"/>
                  <w:gridSpan w:val="3"/>
                  <w:noWrap w:val="0"/>
                  <w:vAlign w:val="center"/>
                </w:tcPr>
                <w:p w14:paraId="18A2AE3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color w:val="auto"/>
                      <w:sz w:val="21"/>
                      <w:szCs w:val="21"/>
                      <w:highlight w:val="none"/>
                      <w:lang w:eastAsia="zh-CN"/>
                    </w:rPr>
                  </w:pPr>
                  <w:r>
                    <w:rPr>
                      <w:rFonts w:hint="eastAsia" w:ascii="Times New Roman"/>
                      <w:color w:val="auto"/>
                      <w:sz w:val="21"/>
                      <w:szCs w:val="21"/>
                      <w:highlight w:val="none"/>
                      <w:lang w:eastAsia="zh-CN"/>
                    </w:rPr>
                    <w:t>年消耗量</w:t>
                  </w:r>
                </w:p>
              </w:tc>
              <w:tc>
                <w:tcPr>
                  <w:tcW w:w="599" w:type="pct"/>
                  <w:noWrap w:val="0"/>
                  <w:vAlign w:val="center"/>
                </w:tcPr>
                <w:p w14:paraId="0A26759B">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eastAsia="宋体"/>
                      <w:color w:val="auto"/>
                      <w:sz w:val="21"/>
                      <w:szCs w:val="21"/>
                      <w:highlight w:val="none"/>
                      <w:lang w:eastAsia="zh-CN"/>
                    </w:rPr>
                  </w:pPr>
                  <w:r>
                    <w:rPr>
                      <w:rFonts w:hint="eastAsia" w:ascii="Times New Roman"/>
                      <w:color w:val="auto"/>
                      <w:sz w:val="21"/>
                      <w:szCs w:val="21"/>
                      <w:highlight w:val="none"/>
                      <w:lang w:eastAsia="zh-CN"/>
                    </w:rPr>
                    <w:t>备注</w:t>
                  </w:r>
                </w:p>
              </w:tc>
            </w:tr>
            <w:tr w14:paraId="326CC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13AED9AC">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ascii="Times New Roman" w:hAnsi="Times New Roman" w:eastAsia="宋体" w:cs="Times New Roman"/>
                      <w:color w:val="auto"/>
                      <w:spacing w:val="-10"/>
                      <w:sz w:val="21"/>
                      <w:szCs w:val="21"/>
                      <w:highlight w:val="none"/>
                      <w:lang w:val="en-US" w:eastAsia="zh-CN"/>
                    </w:rPr>
                    <w:t>1</w:t>
                  </w:r>
                </w:p>
              </w:tc>
              <w:tc>
                <w:tcPr>
                  <w:tcW w:w="855" w:type="pct"/>
                  <w:noWrap w:val="0"/>
                  <w:vAlign w:val="center"/>
                </w:tcPr>
                <w:p w14:paraId="036BB647">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水</w:t>
                  </w:r>
                </w:p>
              </w:tc>
              <w:tc>
                <w:tcPr>
                  <w:tcW w:w="1448" w:type="pct"/>
                  <w:gridSpan w:val="3"/>
                  <w:noWrap w:val="0"/>
                  <w:vAlign w:val="center"/>
                </w:tcPr>
                <w:p w14:paraId="3B42809A">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color w:val="auto"/>
                      <w:sz w:val="21"/>
                      <w:szCs w:val="21"/>
                      <w:highlight w:val="none"/>
                      <w:lang w:val="en-US" w:eastAsia="zh-CN"/>
                    </w:rPr>
                  </w:pPr>
                  <w:r>
                    <w:rPr>
                      <w:rFonts w:hint="eastAsia" w:ascii="Times New Roman"/>
                      <w:color w:val="auto"/>
                      <w:sz w:val="21"/>
                      <w:szCs w:val="21"/>
                      <w:highlight w:val="none"/>
                      <w:lang w:val="en-US" w:eastAsia="zh-CN"/>
                    </w:rPr>
                    <w:t>t</w:t>
                  </w:r>
                </w:p>
              </w:tc>
              <w:tc>
                <w:tcPr>
                  <w:tcW w:w="1826" w:type="pct"/>
                  <w:gridSpan w:val="3"/>
                  <w:noWrap w:val="0"/>
                  <w:vAlign w:val="center"/>
                </w:tcPr>
                <w:p w14:paraId="424F1DB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cs="Times New Roman"/>
                      <w:b w:val="0"/>
                      <w:bCs/>
                      <w:color w:val="0000FF"/>
                      <w:kern w:val="2"/>
                      <w:sz w:val="21"/>
                      <w:szCs w:val="21"/>
                      <w:highlight w:val="none"/>
                      <w:lang w:val="en-US" w:eastAsia="zh-CN" w:bidi="ar-SA"/>
                    </w:rPr>
                    <w:t>5031</w:t>
                  </w:r>
                </w:p>
              </w:tc>
              <w:tc>
                <w:tcPr>
                  <w:tcW w:w="599" w:type="pct"/>
                  <w:noWrap w:val="0"/>
                  <w:vAlign w:val="center"/>
                </w:tcPr>
                <w:p w14:paraId="7048DB4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color w:val="auto"/>
                      <w:sz w:val="21"/>
                      <w:szCs w:val="21"/>
                      <w:highlight w:val="none"/>
                    </w:rPr>
                  </w:pPr>
                  <w:r>
                    <w:rPr>
                      <w:rFonts w:hint="eastAsia" w:cs="Times New Roman"/>
                      <w:color w:val="auto"/>
                      <w:spacing w:val="-10"/>
                      <w:kern w:val="2"/>
                      <w:sz w:val="21"/>
                      <w:szCs w:val="21"/>
                      <w:highlight w:val="none"/>
                      <w:lang w:val="en-US" w:eastAsia="zh-CN" w:bidi="ar-SA"/>
                    </w:rPr>
                    <w:t>/</w:t>
                  </w:r>
                </w:p>
              </w:tc>
            </w:tr>
            <w:tr w14:paraId="793FE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42CAD617">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ascii="Times New Roman" w:hAnsi="Times New Roman" w:eastAsia="宋体" w:cs="Times New Roman"/>
                      <w:color w:val="auto"/>
                      <w:spacing w:val="-10"/>
                      <w:sz w:val="21"/>
                      <w:szCs w:val="21"/>
                      <w:highlight w:val="none"/>
                      <w:lang w:val="en-US" w:eastAsia="zh-CN"/>
                    </w:rPr>
                    <w:t>2</w:t>
                  </w:r>
                </w:p>
              </w:tc>
              <w:tc>
                <w:tcPr>
                  <w:tcW w:w="855" w:type="pct"/>
                  <w:noWrap w:val="0"/>
                  <w:vAlign w:val="center"/>
                </w:tcPr>
                <w:p w14:paraId="76BAC8C0">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电</w:t>
                  </w:r>
                </w:p>
              </w:tc>
              <w:tc>
                <w:tcPr>
                  <w:tcW w:w="1448" w:type="pct"/>
                  <w:gridSpan w:val="3"/>
                  <w:noWrap w:val="0"/>
                  <w:vAlign w:val="center"/>
                </w:tcPr>
                <w:p w14:paraId="010ACE45">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color w:val="auto"/>
                      <w:sz w:val="21"/>
                      <w:szCs w:val="21"/>
                      <w:highlight w:val="none"/>
                      <w:lang w:val="en-US" w:eastAsia="zh-CN"/>
                    </w:rPr>
                  </w:pPr>
                  <w:r>
                    <w:rPr>
                      <w:rFonts w:hint="eastAsia" w:ascii="Times New Roman"/>
                      <w:color w:val="auto"/>
                      <w:sz w:val="21"/>
                      <w:szCs w:val="21"/>
                      <w:highlight w:val="none"/>
                      <w:lang w:val="en-US" w:eastAsia="zh-CN"/>
                    </w:rPr>
                    <w:t>万kWh</w:t>
                  </w:r>
                </w:p>
              </w:tc>
              <w:tc>
                <w:tcPr>
                  <w:tcW w:w="1826" w:type="pct"/>
                  <w:gridSpan w:val="3"/>
                  <w:noWrap w:val="0"/>
                  <w:vAlign w:val="center"/>
                </w:tcPr>
                <w:p w14:paraId="3EE4CBD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140.6</w:t>
                  </w:r>
                </w:p>
              </w:tc>
              <w:tc>
                <w:tcPr>
                  <w:tcW w:w="599" w:type="pct"/>
                  <w:noWrap w:val="0"/>
                  <w:vAlign w:val="center"/>
                </w:tcPr>
                <w:p w14:paraId="33DBFAD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color w:val="auto"/>
                      <w:sz w:val="21"/>
                      <w:szCs w:val="21"/>
                      <w:highlight w:val="none"/>
                    </w:rPr>
                  </w:pPr>
                  <w:r>
                    <w:rPr>
                      <w:rFonts w:hint="eastAsia" w:cs="Times New Roman"/>
                      <w:color w:val="auto"/>
                      <w:spacing w:val="-10"/>
                      <w:kern w:val="2"/>
                      <w:sz w:val="21"/>
                      <w:szCs w:val="21"/>
                      <w:highlight w:val="none"/>
                      <w:lang w:val="en-US" w:eastAsia="zh-CN" w:bidi="ar-SA"/>
                    </w:rPr>
                    <w:t>/</w:t>
                  </w:r>
                </w:p>
              </w:tc>
            </w:tr>
            <w:tr w14:paraId="53C65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31BD3DE7">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ascii="Times New Roman" w:hAnsi="Times New Roman" w:eastAsia="宋体" w:cs="Times New Roman"/>
                      <w:color w:val="auto"/>
                      <w:spacing w:val="-10"/>
                      <w:sz w:val="21"/>
                      <w:szCs w:val="21"/>
                      <w:highlight w:val="none"/>
                      <w:lang w:val="en-US" w:eastAsia="zh-CN"/>
                    </w:rPr>
                    <w:t>3</w:t>
                  </w:r>
                </w:p>
              </w:tc>
              <w:tc>
                <w:tcPr>
                  <w:tcW w:w="855" w:type="pct"/>
                  <w:noWrap w:val="0"/>
                  <w:vAlign w:val="center"/>
                </w:tcPr>
                <w:p w14:paraId="79763C06">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蒸汽</w:t>
                  </w:r>
                </w:p>
              </w:tc>
              <w:tc>
                <w:tcPr>
                  <w:tcW w:w="1448" w:type="pct"/>
                  <w:gridSpan w:val="3"/>
                  <w:noWrap w:val="0"/>
                  <w:vAlign w:val="center"/>
                </w:tcPr>
                <w:p w14:paraId="16E54A0C">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color w:val="auto"/>
                      <w:sz w:val="21"/>
                      <w:szCs w:val="21"/>
                      <w:highlight w:val="none"/>
                      <w:lang w:val="en-US" w:eastAsia="zh-CN"/>
                    </w:rPr>
                  </w:pPr>
                  <w:r>
                    <w:rPr>
                      <w:rFonts w:hint="eastAsia" w:ascii="Times New Roman"/>
                      <w:color w:val="auto"/>
                      <w:sz w:val="21"/>
                      <w:szCs w:val="21"/>
                      <w:highlight w:val="none"/>
                      <w:lang w:val="en-US" w:eastAsia="zh-CN"/>
                    </w:rPr>
                    <w:t>t</w:t>
                  </w:r>
                </w:p>
              </w:tc>
              <w:tc>
                <w:tcPr>
                  <w:tcW w:w="1826" w:type="pct"/>
                  <w:gridSpan w:val="3"/>
                  <w:noWrap w:val="0"/>
                  <w:vAlign w:val="center"/>
                </w:tcPr>
                <w:p w14:paraId="74BD4C0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2543</w:t>
                  </w:r>
                </w:p>
              </w:tc>
              <w:tc>
                <w:tcPr>
                  <w:tcW w:w="599" w:type="pct"/>
                  <w:noWrap w:val="0"/>
                  <w:vAlign w:val="center"/>
                </w:tcPr>
                <w:p w14:paraId="3067A5D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color w:val="auto"/>
                      <w:sz w:val="21"/>
                      <w:szCs w:val="21"/>
                      <w:highlight w:val="none"/>
                    </w:rPr>
                  </w:pPr>
                  <w:r>
                    <w:rPr>
                      <w:rFonts w:hint="eastAsia" w:cs="Times New Roman"/>
                      <w:color w:val="auto"/>
                      <w:spacing w:val="-10"/>
                      <w:kern w:val="2"/>
                      <w:sz w:val="21"/>
                      <w:szCs w:val="21"/>
                      <w:highlight w:val="none"/>
                      <w:lang w:val="en-US" w:eastAsia="zh-CN" w:bidi="ar-SA"/>
                    </w:rPr>
                    <w:t>/</w:t>
                  </w:r>
                </w:p>
              </w:tc>
            </w:tr>
            <w:tr w14:paraId="357D1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4853ABA9">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4</w:t>
                  </w:r>
                </w:p>
              </w:tc>
              <w:tc>
                <w:tcPr>
                  <w:tcW w:w="855" w:type="pct"/>
                  <w:noWrap w:val="0"/>
                  <w:vAlign w:val="center"/>
                </w:tcPr>
                <w:p w14:paraId="6D4E3C45">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宋体" w:hAnsi="宋体" w:eastAsia="宋体" w:cs="宋体"/>
                      <w:color w:val="auto"/>
                      <w:sz w:val="21"/>
                      <w:szCs w:val="21"/>
                      <w:highlight w:val="none"/>
                      <w:lang w:val="en-US" w:eastAsia="zh-CN"/>
                    </w:rPr>
                  </w:pPr>
                  <w:r>
                    <w:rPr>
                      <w:rFonts w:hint="eastAsia" w:cs="宋体"/>
                      <w:color w:val="auto"/>
                      <w:sz w:val="21"/>
                      <w:szCs w:val="21"/>
                      <w:highlight w:val="none"/>
                      <w:lang w:val="en-US" w:eastAsia="zh-CN"/>
                    </w:rPr>
                    <w:t>压缩空气</w:t>
                  </w:r>
                </w:p>
              </w:tc>
              <w:tc>
                <w:tcPr>
                  <w:tcW w:w="1448" w:type="pct"/>
                  <w:gridSpan w:val="3"/>
                  <w:noWrap w:val="0"/>
                  <w:vAlign w:val="center"/>
                </w:tcPr>
                <w:p w14:paraId="6F5D17B5">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Nm³/a</w:t>
                  </w:r>
                </w:p>
              </w:tc>
              <w:tc>
                <w:tcPr>
                  <w:tcW w:w="1826" w:type="pct"/>
                  <w:gridSpan w:val="3"/>
                  <w:noWrap w:val="0"/>
                  <w:vAlign w:val="center"/>
                </w:tcPr>
                <w:p w14:paraId="3236D9D8">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color w:val="auto"/>
                      <w:sz w:val="21"/>
                      <w:szCs w:val="21"/>
                      <w:highlight w:val="none"/>
                      <w:lang w:val="en-US" w:eastAsia="zh-CN"/>
                    </w:rPr>
                  </w:pPr>
                  <w:r>
                    <w:rPr>
                      <w:rFonts w:hint="default" w:ascii="Times New Roman"/>
                      <w:color w:val="auto"/>
                      <w:sz w:val="21"/>
                      <w:szCs w:val="21"/>
                      <w:highlight w:val="none"/>
                      <w:lang w:val="en-US" w:eastAsia="zh-CN"/>
                    </w:rPr>
                    <w:t>950400</w:t>
                  </w:r>
                </w:p>
              </w:tc>
              <w:tc>
                <w:tcPr>
                  <w:tcW w:w="599" w:type="pct"/>
                  <w:noWrap w:val="0"/>
                  <w:vAlign w:val="center"/>
                </w:tcPr>
                <w:p w14:paraId="0D03130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color w:val="auto"/>
                      <w:sz w:val="21"/>
                      <w:szCs w:val="21"/>
                      <w:highlight w:val="none"/>
                    </w:rPr>
                  </w:pPr>
                  <w:r>
                    <w:rPr>
                      <w:rFonts w:hint="eastAsia" w:cs="Times New Roman"/>
                      <w:color w:val="auto"/>
                      <w:spacing w:val="-10"/>
                      <w:kern w:val="2"/>
                      <w:sz w:val="21"/>
                      <w:szCs w:val="21"/>
                      <w:highlight w:val="none"/>
                      <w:lang w:val="en-US" w:eastAsia="zh-CN" w:bidi="ar-SA"/>
                    </w:rPr>
                    <w:t>/</w:t>
                  </w:r>
                </w:p>
              </w:tc>
            </w:tr>
            <w:tr w14:paraId="25AEC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270" w:type="pct"/>
                  <w:noWrap w:val="0"/>
                  <w:vAlign w:val="center"/>
                </w:tcPr>
                <w:p w14:paraId="39CC5E0F">
                  <w:pPr>
                    <w:keepNext w:val="0"/>
                    <w:keepLines w:val="0"/>
                    <w:pageBreakBefore w:val="0"/>
                    <w:widowControl w:val="0"/>
                    <w:suppressLineNumbers w:val="0"/>
                    <w:kinsoku/>
                    <w:wordWrap/>
                    <w:overflowPunct/>
                    <w:topLinePunct w:val="0"/>
                    <w:autoSpaceDE/>
                    <w:autoSpaceDN/>
                    <w:bidi w:val="0"/>
                    <w:adjustRightInd/>
                    <w:snapToGrid/>
                    <w:spacing w:beforeAutospacing="0" w:after="0" w:afterAutospacing="0" w:line="240" w:lineRule="auto"/>
                    <w:ind w:left="0" w:leftChars="0" w:right="0" w:rightChars="0"/>
                    <w:jc w:val="center"/>
                    <w:textAlignment w:val="bottom"/>
                    <w:rPr>
                      <w:rFonts w:hint="eastAsia" w:cs="Times New Roman"/>
                      <w:color w:val="auto"/>
                      <w:spacing w:val="-10"/>
                      <w:sz w:val="21"/>
                      <w:szCs w:val="21"/>
                      <w:highlight w:val="none"/>
                      <w:lang w:val="en-US" w:eastAsia="zh-CN"/>
                    </w:rPr>
                  </w:pPr>
                </w:p>
              </w:tc>
              <w:tc>
                <w:tcPr>
                  <w:tcW w:w="855" w:type="pct"/>
                  <w:noWrap w:val="0"/>
                  <w:vAlign w:val="center"/>
                </w:tcPr>
                <w:p w14:paraId="562E630F">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新布袋</w:t>
                  </w:r>
                </w:p>
              </w:tc>
              <w:tc>
                <w:tcPr>
                  <w:tcW w:w="1448" w:type="pct"/>
                  <w:gridSpan w:val="3"/>
                  <w:noWrap w:val="0"/>
                  <w:vAlign w:val="center"/>
                </w:tcPr>
                <w:p w14:paraId="77FF9B8C">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个</w:t>
                  </w:r>
                </w:p>
              </w:tc>
              <w:tc>
                <w:tcPr>
                  <w:tcW w:w="1826" w:type="pct"/>
                  <w:gridSpan w:val="3"/>
                  <w:noWrap w:val="0"/>
                  <w:vAlign w:val="center"/>
                </w:tcPr>
                <w:p w14:paraId="39658452">
                  <w:pPr>
                    <w:pStyle w:val="40"/>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color w:val="auto"/>
                      <w:sz w:val="21"/>
                      <w:szCs w:val="21"/>
                      <w:highlight w:val="none"/>
                      <w:lang w:val="en-US" w:eastAsia="zh-CN"/>
                    </w:rPr>
                  </w:pPr>
                  <w:r>
                    <w:rPr>
                      <w:rFonts w:hint="eastAsia" w:ascii="Times New Roman"/>
                      <w:color w:val="auto"/>
                      <w:sz w:val="21"/>
                      <w:szCs w:val="21"/>
                      <w:highlight w:val="none"/>
                      <w:lang w:val="en-US" w:eastAsia="zh-CN"/>
                    </w:rPr>
                    <w:t>1</w:t>
                  </w:r>
                </w:p>
              </w:tc>
              <w:tc>
                <w:tcPr>
                  <w:tcW w:w="599" w:type="pct"/>
                  <w:noWrap w:val="0"/>
                  <w:vAlign w:val="center"/>
                </w:tcPr>
                <w:p w14:paraId="66811E9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color w:val="auto"/>
                      <w:sz w:val="21"/>
                      <w:szCs w:val="21"/>
                      <w:highlight w:val="none"/>
                    </w:rPr>
                  </w:pPr>
                  <w:r>
                    <w:rPr>
                      <w:rFonts w:hint="eastAsia" w:cs="Times New Roman"/>
                      <w:color w:val="auto"/>
                      <w:spacing w:val="-10"/>
                      <w:kern w:val="2"/>
                      <w:sz w:val="21"/>
                      <w:szCs w:val="21"/>
                      <w:highlight w:val="none"/>
                      <w:lang w:val="en-US" w:eastAsia="zh-CN" w:bidi="ar-SA"/>
                    </w:rPr>
                    <w:t>/</w:t>
                  </w:r>
                </w:p>
              </w:tc>
            </w:tr>
          </w:tbl>
          <w:p w14:paraId="4BB29CE9">
            <w:pPr>
              <w:keepNext w:val="0"/>
              <w:keepLines w:val="0"/>
              <w:pageBreakBefore w:val="0"/>
              <w:widowControl w:val="0"/>
              <w:kinsoku/>
              <w:wordWrap/>
              <w:overflowPunct/>
              <w:topLinePunct w:val="0"/>
              <w:autoSpaceDE/>
              <w:autoSpaceDN/>
              <w:bidi w:val="0"/>
              <w:adjustRightInd/>
              <w:snapToGrid/>
              <w:spacing w:before="157" w:beforeLines="50" w:beforeAutospacing="0" w:afterLines="0" w:afterAutospacing="0" w:line="360" w:lineRule="auto"/>
              <w:ind w:firstLine="0" w:firstLineChars="0"/>
              <w:jc w:val="center"/>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 2-</w:t>
            </w:r>
            <w:r>
              <w:rPr>
                <w:rFonts w:hint="eastAsia" w:ascii="Times New Roman" w:hAnsi="Times New Roman" w:eastAsia="宋体" w:cs="Times New Roman"/>
                <w:b/>
                <w:bCs w:val="0"/>
                <w:color w:val="auto"/>
                <w:kern w:val="2"/>
                <w:sz w:val="21"/>
                <w:szCs w:val="21"/>
                <w:highlight w:val="none"/>
                <w:lang w:val="en-US" w:eastAsia="zh-CN" w:bidi="ar-SA"/>
              </w:rPr>
              <w:t>6</w:t>
            </w:r>
            <w:r>
              <w:rPr>
                <w:rFonts w:hint="default" w:ascii="Times New Roman" w:hAnsi="Times New Roman" w:eastAsia="宋体" w:cs="Times New Roman"/>
                <w:b/>
                <w:bCs w:val="0"/>
                <w:color w:val="auto"/>
                <w:kern w:val="2"/>
                <w:sz w:val="21"/>
                <w:szCs w:val="21"/>
                <w:highlight w:val="none"/>
                <w:lang w:val="en-US" w:eastAsia="zh-CN" w:bidi="ar-SA"/>
              </w:rPr>
              <w:t xml:space="preserve"> </w:t>
            </w:r>
            <w:r>
              <w:rPr>
                <w:rFonts w:hint="eastAsia" w:ascii="Times New Roman" w:hAnsi="Times New Roman" w:eastAsia="宋体" w:cs="Times New Roman"/>
                <w:b/>
                <w:bCs w:val="0"/>
                <w:color w:val="auto"/>
                <w:kern w:val="2"/>
                <w:sz w:val="21"/>
                <w:szCs w:val="21"/>
                <w:highlight w:val="none"/>
                <w:lang w:val="en-US" w:eastAsia="zh-CN" w:bidi="ar-SA"/>
              </w:rPr>
              <w:t>产品及</w:t>
            </w:r>
            <w:r>
              <w:rPr>
                <w:rFonts w:hint="default" w:ascii="Times New Roman" w:hAnsi="Times New Roman" w:eastAsia="宋体" w:cs="Times New Roman"/>
                <w:b/>
                <w:bCs w:val="0"/>
                <w:color w:val="auto"/>
                <w:kern w:val="2"/>
                <w:sz w:val="21"/>
                <w:szCs w:val="21"/>
                <w:highlight w:val="none"/>
                <w:lang w:val="en-US" w:eastAsia="zh-CN" w:bidi="ar-SA"/>
              </w:rPr>
              <w:t>主要原辅材料理化性质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2"/>
              <w:gridCol w:w="1108"/>
              <w:gridCol w:w="6205"/>
            </w:tblGrid>
            <w:tr w14:paraId="4A9F5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2" w:type="dxa"/>
                  <w:noWrap w:val="0"/>
                  <w:vAlign w:val="center"/>
                </w:tcPr>
                <w:p w14:paraId="484667DE">
                  <w:pPr>
                    <w:keepNext w:val="0"/>
                    <w:keepLines w:val="0"/>
                    <w:widowControl/>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序号</w:t>
                  </w:r>
                </w:p>
              </w:tc>
              <w:tc>
                <w:tcPr>
                  <w:tcW w:w="1108" w:type="dxa"/>
                  <w:noWrap w:val="0"/>
                  <w:vAlign w:val="center"/>
                </w:tcPr>
                <w:p w14:paraId="3DCAA73A">
                  <w:pPr>
                    <w:keepNext w:val="0"/>
                    <w:keepLines w:val="0"/>
                    <w:widowControl/>
                    <w:suppressLineNumbers w:val="0"/>
                    <w:spacing w:line="240" w:lineRule="auto"/>
                    <w:jc w:val="center"/>
                    <w:textAlignment w:val="bottom"/>
                    <w:rPr>
                      <w:rFonts w:hint="eastAsia" w:ascii="Times New Roman" w:hAnsi="Times New Roman" w:eastAsia="宋体" w:cs="Times New Roman"/>
                      <w:i w:val="0"/>
                      <w:iCs w:val="0"/>
                      <w:color w:val="auto"/>
                      <w:spacing w:val="-10"/>
                      <w:kern w:val="2"/>
                      <w:sz w:val="21"/>
                      <w:szCs w:val="21"/>
                      <w:highlight w:val="none"/>
                      <w:u w:val="none"/>
                      <w:lang w:val="en-US" w:eastAsia="zh-CN" w:bidi="ar"/>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名称</w:t>
                  </w:r>
                </w:p>
              </w:tc>
              <w:tc>
                <w:tcPr>
                  <w:tcW w:w="6205" w:type="dxa"/>
                  <w:noWrap w:val="0"/>
                  <w:vAlign w:val="center"/>
                </w:tcPr>
                <w:p w14:paraId="72C4C379">
                  <w:pPr>
                    <w:widowControl/>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default" w:ascii="Times New Roman" w:hAnsi="Times New Roman" w:eastAsia="宋体" w:cs="Times New Roman"/>
                      <w:b w:val="0"/>
                      <w:bCs w:val="0"/>
                      <w:color w:val="auto"/>
                      <w:spacing w:val="-10"/>
                      <w:sz w:val="21"/>
                      <w:szCs w:val="21"/>
                      <w:highlight w:val="none"/>
                      <w:vertAlign w:val="baseline"/>
                      <w:lang w:val="en-US" w:eastAsia="zh-CN" w:bidi="ar"/>
                    </w:rPr>
                    <w:t>理化性质</w:t>
                  </w:r>
                </w:p>
              </w:tc>
            </w:tr>
            <w:tr w14:paraId="1D284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2" w:type="dxa"/>
                  <w:noWrap w:val="0"/>
                  <w:vAlign w:val="center"/>
                </w:tcPr>
                <w:p w14:paraId="301451D3">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1</w:t>
                  </w:r>
                </w:p>
              </w:tc>
              <w:tc>
                <w:tcPr>
                  <w:tcW w:w="1108" w:type="dxa"/>
                  <w:noWrap w:val="0"/>
                  <w:vAlign w:val="center"/>
                </w:tcPr>
                <w:p w14:paraId="3000772D">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ascii="宋体" w:hAnsi="宋体" w:eastAsia="宋体" w:cs="宋体"/>
                      <w:color w:val="auto"/>
                      <w:sz w:val="21"/>
                      <w:szCs w:val="21"/>
                      <w:highlight w:val="none"/>
                    </w:rPr>
                    <w:t>甘氨酸</w:t>
                  </w:r>
                </w:p>
              </w:tc>
              <w:tc>
                <w:tcPr>
                  <w:tcW w:w="6205" w:type="dxa"/>
                  <w:noWrap w:val="0"/>
                  <w:vAlign w:val="center"/>
                </w:tcPr>
                <w:p w14:paraId="305BF6CB">
                  <w:pPr>
                    <w:widowControl w:val="0"/>
                    <w:spacing w:line="240" w:lineRule="auto"/>
                    <w:jc w:val="both"/>
                    <w:textAlignment w:val="bottom"/>
                    <w:rPr>
                      <w:rFonts w:hint="default" w:ascii="Times New Roman" w:hAnsi="Times New Roman" w:eastAsia="宋体" w:cs="Times New Roman"/>
                      <w:b w:val="0"/>
                      <w:bCs w:val="0"/>
                      <w:color w:val="auto"/>
                      <w:spacing w:val="0"/>
                      <w:sz w:val="21"/>
                      <w:szCs w:val="21"/>
                      <w:highlight w:val="none"/>
                      <w:vertAlign w:val="baseline"/>
                      <w:lang w:val="en-US" w:eastAsia="zh-CN" w:bidi="ar"/>
                    </w:rPr>
                  </w:pPr>
                  <w:r>
                    <w:rPr>
                      <w:rFonts w:hint="eastAsia" w:ascii="宋体" w:hAnsi="宋体" w:cs="宋体"/>
                      <w:color w:val="auto"/>
                      <w:spacing w:val="0"/>
                      <w:sz w:val="21"/>
                      <w:szCs w:val="21"/>
                      <w:highlight w:val="none"/>
                      <w:lang w:eastAsia="zh-CN"/>
                    </w:rPr>
                    <w:t>又名氨基乙酸，</w:t>
                  </w:r>
                  <w:r>
                    <w:rPr>
                      <w:rFonts w:ascii="宋体" w:hAnsi="宋体" w:eastAsia="宋体" w:cs="宋体"/>
                      <w:color w:val="auto"/>
                      <w:spacing w:val="0"/>
                      <w:sz w:val="21"/>
                      <w:szCs w:val="21"/>
                      <w:highlight w:val="none"/>
                    </w:rPr>
                    <w:t>白色结晶性颗粒或粉末</w:t>
                  </w:r>
                  <w:r>
                    <w:rPr>
                      <w:rFonts w:ascii="Arial" w:hAnsi="Arial" w:eastAsia="宋体" w:cs="Arial"/>
                      <w:i w:val="0"/>
                      <w:iCs w:val="0"/>
                      <w:caps w:val="0"/>
                      <w:color w:val="auto"/>
                      <w:spacing w:val="0"/>
                      <w:sz w:val="21"/>
                      <w:szCs w:val="21"/>
                      <w:highlight w:val="none"/>
                      <w:shd w:val="clear" w:color="auto" w:fill="FFFFFF"/>
                    </w:rPr>
                    <w:t>。</w:t>
                  </w:r>
                  <w:r>
                    <w:rPr>
                      <w:rFonts w:hint="default" w:ascii="Times New Roman" w:hAnsi="Times New Roman" w:eastAsia="宋体" w:cs="Times New Roman"/>
                      <w:b w:val="0"/>
                      <w:bCs w:val="0"/>
                      <w:color w:val="auto"/>
                      <w:spacing w:val="0"/>
                      <w:sz w:val="21"/>
                      <w:szCs w:val="21"/>
                      <w:highlight w:val="none"/>
                      <w:vertAlign w:val="baseline"/>
                      <w:lang w:val="en-US" w:eastAsia="zh-CN" w:bidi="ar"/>
                    </w:rPr>
                    <w:t>分子式为</w:t>
                  </w:r>
                  <w:r>
                    <w:rPr>
                      <w:rFonts w:ascii="Times New Roman" w:hAnsi="Times New Roman" w:eastAsia="Times New Roman" w:cs="Times New Roman"/>
                      <w:color w:val="auto"/>
                      <w:spacing w:val="0"/>
                      <w:sz w:val="21"/>
                      <w:szCs w:val="21"/>
                      <w:highlight w:val="none"/>
                    </w:rPr>
                    <w:t>C</w:t>
                  </w:r>
                  <w:r>
                    <w:rPr>
                      <w:rFonts w:ascii="Times New Roman" w:hAnsi="Times New Roman" w:eastAsia="Times New Roman" w:cs="Times New Roman"/>
                      <w:color w:val="auto"/>
                      <w:spacing w:val="0"/>
                      <w:sz w:val="21"/>
                      <w:szCs w:val="21"/>
                      <w:highlight w:val="none"/>
                      <w:vertAlign w:val="subscript"/>
                    </w:rPr>
                    <w:t>2</w:t>
                  </w:r>
                  <w:r>
                    <w:rPr>
                      <w:rFonts w:ascii="Times New Roman" w:hAnsi="Times New Roman" w:eastAsia="Times New Roman" w:cs="Times New Roman"/>
                      <w:color w:val="auto"/>
                      <w:spacing w:val="0"/>
                      <w:sz w:val="21"/>
                      <w:szCs w:val="21"/>
                      <w:highlight w:val="none"/>
                    </w:rPr>
                    <w:t>H</w:t>
                  </w:r>
                  <w:r>
                    <w:rPr>
                      <w:rFonts w:ascii="Times New Roman" w:hAnsi="Times New Roman" w:eastAsia="Times New Roman" w:cs="Times New Roman"/>
                      <w:color w:val="auto"/>
                      <w:spacing w:val="0"/>
                      <w:sz w:val="21"/>
                      <w:szCs w:val="21"/>
                      <w:highlight w:val="none"/>
                      <w:vertAlign w:val="subscript"/>
                    </w:rPr>
                    <w:t>5</w:t>
                  </w:r>
                  <w:r>
                    <w:rPr>
                      <w:rFonts w:ascii="Times New Roman" w:hAnsi="Times New Roman" w:eastAsia="Times New Roman" w:cs="Times New Roman"/>
                      <w:color w:val="auto"/>
                      <w:spacing w:val="0"/>
                      <w:sz w:val="21"/>
                      <w:szCs w:val="21"/>
                      <w:highlight w:val="none"/>
                    </w:rPr>
                    <w:t>NO</w:t>
                  </w:r>
                  <w:r>
                    <w:rPr>
                      <w:rFonts w:ascii="Times New Roman" w:hAnsi="Times New Roman" w:eastAsia="Times New Roman" w:cs="Times New Roman"/>
                      <w:color w:val="auto"/>
                      <w:spacing w:val="0"/>
                      <w:sz w:val="21"/>
                      <w:szCs w:val="21"/>
                      <w:highlight w:val="none"/>
                      <w:vertAlign w:val="subscript"/>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，分子量</w:t>
                  </w:r>
                  <w:r>
                    <w:rPr>
                      <w:rFonts w:ascii="Times New Roman" w:hAnsi="Times New Roman" w:eastAsia="Times New Roman" w:cs="Times New Roman"/>
                      <w:color w:val="auto"/>
                      <w:spacing w:val="0"/>
                      <w:sz w:val="21"/>
                      <w:szCs w:val="21"/>
                      <w:highlight w:val="none"/>
                    </w:rPr>
                    <w:t>75.05</w:t>
                  </w:r>
                  <w:r>
                    <w:rPr>
                      <w:rFonts w:hint="eastAsia" w:ascii="Times New Roman" w:hAnsi="Times New Roman" w:cs="Times New Roman"/>
                      <w:color w:val="auto"/>
                      <w:spacing w:val="0"/>
                      <w:sz w:val="21"/>
                      <w:szCs w:val="21"/>
                      <w:highlight w:val="none"/>
                      <w:lang w:eastAsia="zh-CN"/>
                    </w:rPr>
                    <w:t>，</w:t>
                  </w:r>
                  <w:r>
                    <w:rPr>
                      <w:rFonts w:hint="default" w:ascii="Times New Roman" w:hAnsi="Times New Roman" w:eastAsia="宋体" w:cs="Times New Roman"/>
                      <w:b w:val="0"/>
                      <w:bCs w:val="0"/>
                      <w:color w:val="auto"/>
                      <w:spacing w:val="0"/>
                      <w:sz w:val="21"/>
                      <w:szCs w:val="21"/>
                      <w:highlight w:val="none"/>
                      <w:vertAlign w:val="baseline"/>
                      <w:lang w:val="en-US" w:eastAsia="zh-CN" w:bidi="ar"/>
                    </w:rPr>
                    <w:t>熔点</w:t>
                  </w:r>
                  <w:r>
                    <w:rPr>
                      <w:rFonts w:hint="eastAsia" w:ascii="Times New Roman" w:hAnsi="Times New Roman" w:eastAsia="宋体" w:cs="Times New Roman"/>
                      <w:b w:val="0"/>
                      <w:bCs w:val="0"/>
                      <w:color w:val="auto"/>
                      <w:spacing w:val="0"/>
                      <w:sz w:val="21"/>
                      <w:szCs w:val="21"/>
                      <w:highlight w:val="none"/>
                      <w:vertAlign w:val="baseline"/>
                      <w:lang w:val="en-US" w:eastAsia="zh-CN" w:bidi="ar"/>
                    </w:rPr>
                    <w:t>232</w:t>
                  </w:r>
                  <w:r>
                    <w:rPr>
                      <w:rFonts w:hint="default" w:ascii="Times New Roman" w:hAnsi="Times New Roman" w:eastAsia="宋体" w:cs="Times New Roman"/>
                      <w:b w:val="0"/>
                      <w:bCs w:val="0"/>
                      <w:color w:val="auto"/>
                      <w:spacing w:val="0"/>
                      <w:sz w:val="21"/>
                      <w:szCs w:val="21"/>
                      <w:highlight w:val="none"/>
                      <w:vertAlign w:val="baseline"/>
                      <w:lang w:val="en-US" w:eastAsia="zh-CN" w:bidi="ar"/>
                    </w:rPr>
                    <w:t>℃</w:t>
                  </w:r>
                  <w:r>
                    <w:rPr>
                      <w:rFonts w:hint="eastAsia" w:ascii="Times New Roman" w:hAnsi="Times New Roman" w:eastAsia="宋体" w:cs="Times New Roman"/>
                      <w:b w:val="0"/>
                      <w:bCs w:val="0"/>
                      <w:color w:val="auto"/>
                      <w:spacing w:val="0"/>
                      <w:sz w:val="21"/>
                      <w:szCs w:val="21"/>
                      <w:highlight w:val="none"/>
                      <w:vertAlign w:val="baseline"/>
                      <w:lang w:val="en-US" w:eastAsia="zh-CN" w:bidi="ar"/>
                    </w:rPr>
                    <w:t>-236</w:t>
                  </w:r>
                  <w:r>
                    <w:rPr>
                      <w:rFonts w:hint="default" w:ascii="Times New Roman" w:hAnsi="Times New Roman" w:eastAsia="宋体" w:cs="Times New Roman"/>
                      <w:b w:val="0"/>
                      <w:bCs w:val="0"/>
                      <w:color w:val="auto"/>
                      <w:spacing w:val="0"/>
                      <w:sz w:val="21"/>
                      <w:szCs w:val="21"/>
                      <w:highlight w:val="none"/>
                      <w:vertAlign w:val="baseline"/>
                      <w:lang w:val="en-US" w:eastAsia="zh-CN" w:bidi="ar"/>
                    </w:rPr>
                    <w:t>℃，</w:t>
                  </w:r>
                  <w:r>
                    <w:rPr>
                      <w:rFonts w:hint="eastAsia" w:ascii="Times New Roman" w:hAnsi="Times New Roman" w:eastAsia="宋体" w:cs="Times New Roman"/>
                      <w:b w:val="0"/>
                      <w:bCs/>
                      <w:color w:val="auto"/>
                      <w:spacing w:val="0"/>
                      <w:sz w:val="21"/>
                      <w:szCs w:val="21"/>
                      <w:highlight w:val="none"/>
                      <w:lang w:val="en-US" w:eastAsia="zh-CN"/>
                    </w:rPr>
                    <w:t>易溶于水</w:t>
                  </w:r>
                  <w:r>
                    <w:rPr>
                      <w:rFonts w:hint="eastAsia" w:cs="Times New Roman"/>
                      <w:b w:val="0"/>
                      <w:bCs/>
                      <w:color w:val="auto"/>
                      <w:spacing w:val="0"/>
                      <w:sz w:val="21"/>
                      <w:szCs w:val="21"/>
                      <w:highlight w:val="none"/>
                      <w:lang w:val="en-US" w:eastAsia="zh-CN"/>
                    </w:rPr>
                    <w:t>（甘氨酸1:0.65水）</w:t>
                  </w:r>
                  <w:r>
                    <w:rPr>
                      <w:rFonts w:hint="eastAsia" w:ascii="Times New Roman" w:hAnsi="Times New Roman" w:eastAsia="宋体" w:cs="Times New Roman"/>
                      <w:b w:val="0"/>
                      <w:bCs/>
                      <w:color w:val="auto"/>
                      <w:spacing w:val="0"/>
                      <w:sz w:val="21"/>
                      <w:szCs w:val="21"/>
                      <w:highlight w:val="none"/>
                      <w:lang w:val="en-US" w:eastAsia="zh-CN"/>
                    </w:rPr>
                    <w:t>，微溶于甲醇，无臭，有特殊甜味</w:t>
                  </w:r>
                  <w:r>
                    <w:rPr>
                      <w:rFonts w:hint="default" w:ascii="Times New Roman" w:hAnsi="Times New Roman" w:eastAsia="宋体" w:cs="Times New Roman"/>
                      <w:b w:val="0"/>
                      <w:bCs/>
                      <w:color w:val="auto"/>
                      <w:spacing w:val="0"/>
                      <w:sz w:val="21"/>
                      <w:szCs w:val="21"/>
                      <w:highlight w:val="none"/>
                      <w:lang w:val="en-US" w:eastAsia="zh-CN"/>
                    </w:rPr>
                    <w:t>，</w:t>
                  </w:r>
                  <w:r>
                    <w:rPr>
                      <w:rFonts w:hint="eastAsia" w:ascii="Times New Roman" w:hAnsi="Times New Roman" w:eastAsia="宋体" w:cs="Times New Roman"/>
                      <w:b w:val="0"/>
                      <w:bCs/>
                      <w:color w:val="auto"/>
                      <w:spacing w:val="0"/>
                      <w:sz w:val="21"/>
                      <w:szCs w:val="21"/>
                      <w:highlight w:val="none"/>
                      <w:lang w:val="en-US" w:eastAsia="zh-CN"/>
                    </w:rPr>
                    <w:t>能缓和酸、碱味，掩盖食品中添加糖精的苦味并增强甜味</w:t>
                  </w:r>
                  <w:r>
                    <w:rPr>
                      <w:rFonts w:ascii="Arial" w:hAnsi="Arial" w:eastAsia="宋体" w:cs="Arial"/>
                      <w:i w:val="0"/>
                      <w:iCs w:val="0"/>
                      <w:caps w:val="0"/>
                      <w:color w:val="auto"/>
                      <w:spacing w:val="0"/>
                      <w:sz w:val="21"/>
                      <w:szCs w:val="21"/>
                      <w:highlight w:val="none"/>
                      <w:shd w:val="clear" w:color="auto" w:fill="FFFFFF"/>
                    </w:rPr>
                    <w:t>。</w:t>
                  </w:r>
                  <w:r>
                    <w:rPr>
                      <w:rFonts w:hint="eastAsia" w:ascii="Arial" w:hAnsi="Arial" w:cs="Arial"/>
                      <w:i w:val="0"/>
                      <w:iCs w:val="0"/>
                      <w:caps w:val="0"/>
                      <w:color w:val="auto"/>
                      <w:spacing w:val="0"/>
                      <w:sz w:val="21"/>
                      <w:szCs w:val="21"/>
                      <w:highlight w:val="none"/>
                      <w:shd w:val="clear" w:color="auto" w:fill="FFFFFF"/>
                      <w:lang w:val="en-US" w:eastAsia="zh-CN"/>
                    </w:rPr>
                    <w:t>本项目主要原料，螯合配体。</w:t>
                  </w:r>
                </w:p>
              </w:tc>
            </w:tr>
            <w:tr w14:paraId="3A8D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2" w:type="dxa"/>
                  <w:noWrap w:val="0"/>
                  <w:vAlign w:val="center"/>
                </w:tcPr>
                <w:p w14:paraId="13DC6B05">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2</w:t>
                  </w:r>
                </w:p>
              </w:tc>
              <w:tc>
                <w:tcPr>
                  <w:tcW w:w="1108" w:type="dxa"/>
                  <w:noWrap w:val="0"/>
                  <w:vAlign w:val="center"/>
                </w:tcPr>
                <w:p w14:paraId="631912FB">
                  <w:pPr>
                    <w:keepNext w:val="0"/>
                    <w:keepLines w:val="0"/>
                    <w:widowControl w:val="0"/>
                    <w:suppressLineNumbers w:val="0"/>
                    <w:spacing w:line="240" w:lineRule="auto"/>
                    <w:jc w:val="center"/>
                    <w:textAlignment w:val="bottom"/>
                    <w:rPr>
                      <w:rFonts w:hint="default" w:ascii="宋体" w:hAnsi="宋体" w:eastAsia="宋体" w:cs="宋体"/>
                      <w:color w:val="auto"/>
                      <w:sz w:val="21"/>
                      <w:szCs w:val="21"/>
                      <w:highlight w:val="none"/>
                      <w:lang w:val="en-US" w:eastAsia="zh-CN"/>
                    </w:rPr>
                  </w:pPr>
                  <w:r>
                    <w:rPr>
                      <w:rFonts w:hint="default" w:ascii="宋体" w:hAnsi="宋体" w:eastAsia="宋体" w:cs="宋体"/>
                      <w:color w:val="auto"/>
                      <w:sz w:val="21"/>
                      <w:szCs w:val="21"/>
                      <w:highlight w:val="none"/>
                    </w:rPr>
                    <w:t>柠檬酸</w:t>
                  </w:r>
                </w:p>
              </w:tc>
              <w:tc>
                <w:tcPr>
                  <w:tcW w:w="6205" w:type="dxa"/>
                  <w:noWrap w:val="0"/>
                  <w:vAlign w:val="center"/>
                </w:tcPr>
                <w:p w14:paraId="0A7E2DA7">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val="0"/>
                      <w:bCs w:val="0"/>
                      <w:color w:val="auto"/>
                      <w:spacing w:val="0"/>
                      <w:sz w:val="21"/>
                      <w:szCs w:val="21"/>
                      <w:highlight w:val="none"/>
                      <w:vertAlign w:val="baseline"/>
                      <w:lang w:val="en-US" w:eastAsia="zh-CN" w:bidi="ar"/>
                    </w:rPr>
                  </w:pPr>
                  <w:r>
                    <w:rPr>
                      <w:rFonts w:hint="default" w:ascii="Times New Roman" w:hAnsi="Times New Roman" w:eastAsia="宋体" w:cs="Times New Roman"/>
                      <w:b w:val="0"/>
                      <w:bCs w:val="0"/>
                      <w:color w:val="auto"/>
                      <w:spacing w:val="0"/>
                      <w:sz w:val="21"/>
                      <w:szCs w:val="21"/>
                      <w:highlight w:val="none"/>
                      <w:vertAlign w:val="baseline"/>
                      <w:lang w:val="en-US" w:eastAsia="zh-CN" w:bidi="ar"/>
                    </w:rPr>
                    <w:t>又名枸橼酸，分子式为C₆H₈O₇，</w:t>
                  </w:r>
                  <w:r>
                    <w:rPr>
                      <w:rFonts w:hint="default" w:ascii="Times New Roman" w:hAnsi="Times New Roman" w:eastAsia="Helvetica" w:cs="Times New Roman"/>
                      <w:i w:val="0"/>
                      <w:iCs w:val="0"/>
                      <w:caps w:val="0"/>
                      <w:color w:val="auto"/>
                      <w:spacing w:val="0"/>
                      <w:sz w:val="21"/>
                      <w:szCs w:val="21"/>
                      <w:highlight w:val="none"/>
                      <w:shd w:val="clear" w:fill="FFFFFF"/>
                    </w:rPr>
                    <w:t>分子量为</w:t>
                  </w:r>
                  <w:r>
                    <w:rPr>
                      <w:rFonts w:hint="eastAsia" w:ascii="Times New Roman" w:hAnsi="Times New Roman" w:eastAsia="宋体" w:cs="Times New Roman"/>
                      <w:i w:val="0"/>
                      <w:iCs w:val="0"/>
                      <w:caps w:val="0"/>
                      <w:color w:val="auto"/>
                      <w:spacing w:val="0"/>
                      <w:sz w:val="21"/>
                      <w:szCs w:val="21"/>
                      <w:highlight w:val="none"/>
                      <w:shd w:val="clear" w:fill="FFFFFF"/>
                      <w:lang w:val="en-US" w:eastAsia="zh-CN"/>
                    </w:rPr>
                    <w:t>192.12</w:t>
                  </w:r>
                  <w:r>
                    <w:rPr>
                      <w:rFonts w:ascii="Arial" w:hAnsi="Arial" w:eastAsia="宋体" w:cs="Arial"/>
                      <w:i w:val="0"/>
                      <w:iCs w:val="0"/>
                      <w:caps w:val="0"/>
                      <w:color w:val="auto"/>
                      <w:spacing w:val="0"/>
                      <w:sz w:val="21"/>
                      <w:szCs w:val="21"/>
                      <w:highlight w:val="none"/>
                      <w:shd w:val="clear" w:color="auto" w:fill="FFFFFF"/>
                    </w:rPr>
                    <w:t>。</w:t>
                  </w:r>
                  <w:r>
                    <w:rPr>
                      <w:rFonts w:hint="default" w:ascii="Times New Roman" w:hAnsi="Times New Roman" w:eastAsia="宋体" w:cs="Times New Roman"/>
                      <w:b w:val="0"/>
                      <w:bCs w:val="0"/>
                      <w:color w:val="auto"/>
                      <w:spacing w:val="0"/>
                      <w:sz w:val="21"/>
                      <w:szCs w:val="21"/>
                      <w:highlight w:val="none"/>
                      <w:vertAlign w:val="baseline"/>
                      <w:lang w:val="en-US" w:eastAsia="zh-CN" w:bidi="ar"/>
                    </w:rPr>
                    <w:t>是一种重要的有机弱酸，为无色晶体，无臭，易溶于水，溶液显酸性。在生物化学中，它是柠檬酸循环（三羧酸循环）的中间体，柠檬酸循环发生在所有需氧生物的新陈代谢中。柠檬酸被广泛用作酸度调节剂（GB2760—20</w:t>
                  </w:r>
                  <w:r>
                    <w:rPr>
                      <w:rFonts w:hint="eastAsia" w:cs="Times New Roman"/>
                      <w:b w:val="0"/>
                      <w:bCs w:val="0"/>
                      <w:color w:val="auto"/>
                      <w:spacing w:val="0"/>
                      <w:sz w:val="21"/>
                      <w:szCs w:val="21"/>
                      <w:highlight w:val="none"/>
                      <w:vertAlign w:val="baseline"/>
                      <w:lang w:val="en-US" w:eastAsia="zh-CN" w:bidi="ar"/>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4）、调味剂和螯合剂。</w:t>
                  </w:r>
                  <w:r>
                    <w:rPr>
                      <w:rFonts w:hint="eastAsia" w:ascii="Times New Roman" w:hAnsi="Times New Roman" w:eastAsia="宋体" w:cs="Times New Roman"/>
                      <w:b w:val="0"/>
                      <w:bCs w:val="0"/>
                      <w:color w:val="auto"/>
                      <w:spacing w:val="0"/>
                      <w:sz w:val="21"/>
                      <w:szCs w:val="21"/>
                      <w:highlight w:val="none"/>
                      <w:vertAlign w:val="baseline"/>
                      <w:lang w:val="en-US" w:eastAsia="zh-CN" w:bidi="ar"/>
                    </w:rPr>
                    <w:t>本项目添加柠檬酸</w:t>
                  </w:r>
                  <w:r>
                    <w:rPr>
                      <w:rFonts w:hint="eastAsia" w:cs="Times New Roman"/>
                      <w:b w:val="0"/>
                      <w:bCs w:val="0"/>
                      <w:color w:val="auto"/>
                      <w:spacing w:val="0"/>
                      <w:sz w:val="21"/>
                      <w:szCs w:val="21"/>
                      <w:highlight w:val="none"/>
                      <w:vertAlign w:val="baseline"/>
                      <w:lang w:val="en-US" w:eastAsia="zh-CN" w:bidi="ar"/>
                    </w:rPr>
                    <w:t>作用：</w:t>
                  </w:r>
                  <w:r>
                    <w:rPr>
                      <w:rFonts w:hint="eastAsia" w:ascii="Times New Roman" w:hAnsi="Times New Roman" w:eastAsia="宋体" w:cs="Times New Roman"/>
                      <w:b w:val="0"/>
                      <w:bCs w:val="0"/>
                      <w:color w:val="auto"/>
                      <w:spacing w:val="0"/>
                      <w:sz w:val="21"/>
                      <w:szCs w:val="21"/>
                      <w:highlight w:val="none"/>
                      <w:vertAlign w:val="baseline"/>
                      <w:lang w:val="en-US" w:eastAsia="zh-CN" w:bidi="ar"/>
                    </w:rPr>
                    <w:t>调节反应液 pH=5.0～6.0（甘氨酸螯合最优 pH 区间），促进铁粉溶解、提升螯合转化率；少量络合游离铁，抑制Fe</w:t>
                  </w:r>
                  <w:r>
                    <w:rPr>
                      <w:rFonts w:hint="eastAsia" w:ascii="Times New Roman" w:hAnsi="Times New Roman" w:eastAsia="宋体" w:cs="Times New Roman"/>
                      <w:b w:val="0"/>
                      <w:bCs w:val="0"/>
                      <w:color w:val="auto"/>
                      <w:spacing w:val="0"/>
                      <w:sz w:val="21"/>
                      <w:szCs w:val="21"/>
                      <w:highlight w:val="none"/>
                      <w:vertAlign w:val="superscript"/>
                      <w:lang w:val="en-US" w:eastAsia="zh-CN" w:bidi="ar"/>
                    </w:rPr>
                    <w:t>2+</w:t>
                  </w:r>
                  <w:r>
                    <w:rPr>
                      <w:rFonts w:hint="eastAsia" w:ascii="Times New Roman" w:hAnsi="Times New Roman" w:eastAsia="宋体" w:cs="Times New Roman"/>
                      <w:b w:val="0"/>
                      <w:bCs w:val="0"/>
                      <w:color w:val="auto"/>
                      <w:spacing w:val="0"/>
                      <w:sz w:val="21"/>
                      <w:szCs w:val="21"/>
                      <w:highlight w:val="none"/>
                      <w:vertAlign w:val="baseline"/>
                      <w:lang w:val="en-US" w:eastAsia="zh-CN" w:bidi="ar"/>
                    </w:rPr>
                    <w:t>水解沉淀</w:t>
                  </w:r>
                  <w:r>
                    <w:rPr>
                      <w:rFonts w:hint="eastAsia" w:eastAsia="宋体" w:cs="Times New Roman"/>
                      <w:i w:val="0"/>
                      <w:iCs w:val="0"/>
                      <w:caps w:val="0"/>
                      <w:color w:val="auto"/>
                      <w:spacing w:val="0"/>
                      <w:sz w:val="21"/>
                      <w:szCs w:val="21"/>
                      <w:highlight w:val="none"/>
                      <w:shd w:val="clear" w:fill="FFFFFF"/>
                      <w:lang w:eastAsia="zh-CN"/>
                    </w:rPr>
                    <w:t>。</w:t>
                  </w:r>
                </w:p>
              </w:tc>
            </w:tr>
            <w:tr w14:paraId="11C04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2" w:type="dxa"/>
                  <w:noWrap w:val="0"/>
                  <w:vAlign w:val="center"/>
                </w:tcPr>
                <w:p w14:paraId="1BE60366">
                  <w:pPr>
                    <w:keepNext w:val="0"/>
                    <w:keepLines w:val="0"/>
                    <w:widowControl w:val="0"/>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3</w:t>
                  </w:r>
                </w:p>
              </w:tc>
              <w:tc>
                <w:tcPr>
                  <w:tcW w:w="1108" w:type="dxa"/>
                  <w:noWrap w:val="0"/>
                  <w:vAlign w:val="center"/>
                </w:tcPr>
                <w:p w14:paraId="01D9261B">
                  <w:pPr>
                    <w:keepNext w:val="0"/>
                    <w:keepLines w:val="0"/>
                    <w:widowControl w:val="0"/>
                    <w:suppressLineNumbers w:val="0"/>
                    <w:spacing w:line="240" w:lineRule="auto"/>
                    <w:jc w:val="center"/>
                    <w:textAlignment w:val="bottom"/>
                    <w:rPr>
                      <w:rFonts w:ascii="宋体" w:hAnsi="宋体" w:eastAsia="宋体" w:cs="宋体"/>
                      <w:color w:val="auto"/>
                      <w:sz w:val="21"/>
                      <w:szCs w:val="21"/>
                      <w:highlight w:val="none"/>
                    </w:rPr>
                  </w:pPr>
                  <w:r>
                    <w:rPr>
                      <w:rFonts w:hint="default" w:ascii="宋体" w:hAnsi="宋体" w:eastAsia="宋体" w:cs="宋体"/>
                      <w:color w:val="auto"/>
                      <w:sz w:val="21"/>
                      <w:szCs w:val="21"/>
                      <w:highlight w:val="none"/>
                    </w:rPr>
                    <w:t>维生素C</w:t>
                  </w:r>
                </w:p>
              </w:tc>
              <w:tc>
                <w:tcPr>
                  <w:tcW w:w="6205" w:type="dxa"/>
                  <w:noWrap w:val="0"/>
                  <w:vAlign w:val="center"/>
                </w:tcPr>
                <w:p w14:paraId="2F620B2E">
                  <w:pPr>
                    <w:widowControl w:val="0"/>
                    <w:spacing w:line="240" w:lineRule="auto"/>
                    <w:jc w:val="both"/>
                    <w:textAlignment w:val="bottom"/>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Helvetica" w:cs="Times New Roman"/>
                      <w:i w:val="0"/>
                      <w:iCs w:val="0"/>
                      <w:caps w:val="0"/>
                      <w:color w:val="auto"/>
                      <w:spacing w:val="0"/>
                      <w:sz w:val="21"/>
                      <w:szCs w:val="21"/>
                      <w:highlight w:val="none"/>
                      <w:shd w:val="clear" w:fill="FFFFFF"/>
                    </w:rPr>
                    <w:t>维生素C是一种</w:t>
                  </w:r>
                  <w:r>
                    <w:rPr>
                      <w:rFonts w:hint="default" w:ascii="Times New Roman" w:hAnsi="Times New Roman" w:eastAsia="Helvetica" w:cs="Times New Roman"/>
                      <w:i w:val="0"/>
                      <w:iCs w:val="0"/>
                      <w:caps w:val="0"/>
                      <w:color w:val="auto"/>
                      <w:spacing w:val="0"/>
                      <w:sz w:val="21"/>
                      <w:szCs w:val="21"/>
                      <w:highlight w:val="none"/>
                      <w:u w:val="none"/>
                      <w:shd w:val="clear" w:fill="FFFFFF"/>
                    </w:rPr>
                    <w:fldChar w:fldCharType="begin"/>
                  </w:r>
                  <w:r>
                    <w:rPr>
                      <w:rFonts w:hint="default" w:ascii="Times New Roman" w:hAnsi="Times New Roman" w:eastAsia="Helvetica" w:cs="Times New Roman"/>
                      <w:i w:val="0"/>
                      <w:iCs w:val="0"/>
                      <w:caps w:val="0"/>
                      <w:color w:val="auto"/>
                      <w:spacing w:val="0"/>
                      <w:sz w:val="21"/>
                      <w:szCs w:val="21"/>
                      <w:highlight w:val="none"/>
                      <w:u w:val="none"/>
                      <w:shd w:val="clear" w:fill="FFFFFF"/>
                    </w:rPr>
                    <w:instrText xml:space="preserve"> HYPERLINK "https://baike.baidu.com/item/%E6%B0%B4%E6%BA%B6%E6%80%A7%E7%BB%B4%E7%94%9F%E7%B4%A0/1483452?fromModule=lemma_inlink" \t "https://baike.baidu.com/item/%E7%BB%B4%E7%94%9F%E7%B4%A0C/_blank" </w:instrText>
                  </w:r>
                  <w:r>
                    <w:rPr>
                      <w:rFonts w:hint="default" w:ascii="Times New Roman" w:hAnsi="Times New Roman" w:eastAsia="Helvetica" w:cs="Times New Roman"/>
                      <w:i w:val="0"/>
                      <w:iCs w:val="0"/>
                      <w:caps w:val="0"/>
                      <w:color w:val="auto"/>
                      <w:spacing w:val="0"/>
                      <w:sz w:val="21"/>
                      <w:szCs w:val="21"/>
                      <w:highlight w:val="none"/>
                      <w:u w:val="none"/>
                      <w:shd w:val="clear" w:fill="FFFFFF"/>
                    </w:rPr>
                    <w:fldChar w:fldCharType="separate"/>
                  </w:r>
                  <w:r>
                    <w:rPr>
                      <w:rStyle w:val="30"/>
                      <w:rFonts w:hint="default" w:ascii="Times New Roman" w:hAnsi="Times New Roman" w:eastAsia="Helvetica" w:cs="Times New Roman"/>
                      <w:i w:val="0"/>
                      <w:iCs w:val="0"/>
                      <w:caps w:val="0"/>
                      <w:color w:val="auto"/>
                      <w:spacing w:val="0"/>
                      <w:sz w:val="21"/>
                      <w:szCs w:val="21"/>
                      <w:highlight w:val="none"/>
                      <w:u w:val="none"/>
                      <w:shd w:val="clear" w:fill="FFFFFF"/>
                    </w:rPr>
                    <w:t>水溶性维生素</w:t>
                  </w:r>
                  <w:r>
                    <w:rPr>
                      <w:rFonts w:hint="default" w:ascii="Times New Roman" w:hAnsi="Times New Roman" w:eastAsia="Helvetica" w:cs="Times New Roman"/>
                      <w:i w:val="0"/>
                      <w:iCs w:val="0"/>
                      <w:caps w:val="0"/>
                      <w:color w:val="auto"/>
                      <w:spacing w:val="0"/>
                      <w:sz w:val="21"/>
                      <w:szCs w:val="21"/>
                      <w:highlight w:val="none"/>
                      <w:u w:val="none"/>
                      <w:shd w:val="clear" w:fill="FFFFFF"/>
                    </w:rPr>
                    <w:fldChar w:fldCharType="end"/>
                  </w:r>
                  <w:r>
                    <w:rPr>
                      <w:rFonts w:hint="default" w:ascii="Times New Roman" w:hAnsi="Times New Roman" w:eastAsia="Helvetica" w:cs="Times New Roman"/>
                      <w:i w:val="0"/>
                      <w:iCs w:val="0"/>
                      <w:caps w:val="0"/>
                      <w:color w:val="auto"/>
                      <w:spacing w:val="0"/>
                      <w:sz w:val="21"/>
                      <w:szCs w:val="21"/>
                      <w:highlight w:val="none"/>
                      <w:shd w:val="clear" w:fill="FFFFFF"/>
                    </w:rPr>
                    <w:t>，化学命名为L-(+)-苏阿糖型2,3,4,5,6-五羟基-2-己烯酸-4-内酯，又名L-抗坏血酸，分子式为C</w:t>
                  </w:r>
                  <w:r>
                    <w:rPr>
                      <w:rFonts w:hint="default" w:ascii="Times New Roman" w:hAnsi="Times New Roman" w:eastAsia="Helvetica" w:cs="Times New Roman"/>
                      <w:i w:val="0"/>
                      <w:iCs w:val="0"/>
                      <w:caps w:val="0"/>
                      <w:color w:val="auto"/>
                      <w:spacing w:val="0"/>
                      <w:sz w:val="21"/>
                      <w:szCs w:val="21"/>
                      <w:highlight w:val="none"/>
                      <w:shd w:val="clear" w:fill="FFFFFF"/>
                      <w:vertAlign w:val="subscript"/>
                    </w:rPr>
                    <w:t>6</w:t>
                  </w:r>
                  <w:r>
                    <w:rPr>
                      <w:rFonts w:hint="default" w:ascii="Times New Roman" w:hAnsi="Times New Roman" w:eastAsia="Helvetica" w:cs="Times New Roman"/>
                      <w:i w:val="0"/>
                      <w:iCs w:val="0"/>
                      <w:caps w:val="0"/>
                      <w:color w:val="auto"/>
                      <w:spacing w:val="0"/>
                      <w:sz w:val="21"/>
                      <w:szCs w:val="21"/>
                      <w:highlight w:val="none"/>
                      <w:shd w:val="clear" w:fill="FFFFFF"/>
                    </w:rPr>
                    <w:t>H</w:t>
                  </w:r>
                  <w:r>
                    <w:rPr>
                      <w:rFonts w:hint="default" w:ascii="Times New Roman" w:hAnsi="Times New Roman" w:eastAsia="Helvetica" w:cs="Times New Roman"/>
                      <w:i w:val="0"/>
                      <w:iCs w:val="0"/>
                      <w:caps w:val="0"/>
                      <w:color w:val="auto"/>
                      <w:spacing w:val="0"/>
                      <w:sz w:val="21"/>
                      <w:szCs w:val="21"/>
                      <w:highlight w:val="none"/>
                      <w:shd w:val="clear" w:fill="FFFFFF"/>
                      <w:vertAlign w:val="subscript"/>
                    </w:rPr>
                    <w:t>8</w:t>
                  </w:r>
                  <w:r>
                    <w:rPr>
                      <w:rFonts w:hint="default" w:ascii="Times New Roman" w:hAnsi="Times New Roman" w:eastAsia="Helvetica" w:cs="Times New Roman"/>
                      <w:i w:val="0"/>
                      <w:iCs w:val="0"/>
                      <w:caps w:val="0"/>
                      <w:color w:val="auto"/>
                      <w:spacing w:val="0"/>
                      <w:sz w:val="21"/>
                      <w:szCs w:val="21"/>
                      <w:highlight w:val="none"/>
                      <w:shd w:val="clear" w:fill="FFFFFF"/>
                    </w:rPr>
                    <w:t>O</w:t>
                  </w:r>
                  <w:r>
                    <w:rPr>
                      <w:rFonts w:hint="default" w:ascii="Times New Roman" w:hAnsi="Times New Roman" w:eastAsia="Helvetica" w:cs="Times New Roman"/>
                      <w:i w:val="0"/>
                      <w:iCs w:val="0"/>
                      <w:caps w:val="0"/>
                      <w:color w:val="auto"/>
                      <w:spacing w:val="0"/>
                      <w:sz w:val="21"/>
                      <w:szCs w:val="21"/>
                      <w:highlight w:val="none"/>
                      <w:shd w:val="clear" w:fill="FFFFFF"/>
                      <w:vertAlign w:val="subscript"/>
                    </w:rPr>
                    <w:t>6</w:t>
                  </w:r>
                  <w:r>
                    <w:rPr>
                      <w:rFonts w:hint="default" w:ascii="Times New Roman" w:hAnsi="Times New Roman" w:eastAsia="Helvetica" w:cs="Times New Roman"/>
                      <w:i w:val="0"/>
                      <w:iCs w:val="0"/>
                      <w:caps w:val="0"/>
                      <w:color w:val="auto"/>
                      <w:spacing w:val="0"/>
                      <w:sz w:val="21"/>
                      <w:szCs w:val="21"/>
                      <w:highlight w:val="none"/>
                      <w:shd w:val="clear" w:fill="FFFFFF"/>
                    </w:rPr>
                    <w:t>，分子量为176.12。维生素C为通常是片状，有时是针状的单斜晶体，无臭，味酸，易溶于水，具有很强的还原性。参与机体复杂的代谢过程，能促进生长和增强对疾病的抵抗力，可用作营养增补剂、抗氧化剂，也可用作小麦粉改良剂。维生素C在实验室用作分析试剂，如作还原剂、掩蔽剂等。</w:t>
                  </w:r>
                  <w:r>
                    <w:rPr>
                      <w:rFonts w:hint="eastAsia" w:ascii="Times New Roman" w:hAnsi="Times New Roman" w:eastAsia="Helvetica" w:cs="Times New Roman"/>
                      <w:i w:val="0"/>
                      <w:iCs w:val="0"/>
                      <w:caps w:val="0"/>
                      <w:color w:val="auto"/>
                      <w:spacing w:val="0"/>
                      <w:sz w:val="21"/>
                      <w:szCs w:val="21"/>
                      <w:highlight w:val="none"/>
                      <w:shd w:val="clear" w:fill="FFFFFF"/>
                      <w:lang w:val="en-US" w:eastAsia="zh-CN"/>
                    </w:rPr>
                    <w:t>本项目添加</w:t>
                  </w:r>
                  <w:r>
                    <w:rPr>
                      <w:rFonts w:hint="default" w:ascii="Times New Roman" w:hAnsi="Times New Roman" w:eastAsia="Helvetica" w:cs="Times New Roman"/>
                      <w:i w:val="0"/>
                      <w:iCs w:val="0"/>
                      <w:caps w:val="0"/>
                      <w:color w:val="auto"/>
                      <w:spacing w:val="0"/>
                      <w:sz w:val="21"/>
                      <w:szCs w:val="21"/>
                      <w:highlight w:val="none"/>
                      <w:shd w:val="clear" w:fill="FFFFFF"/>
                    </w:rPr>
                    <w:t>维生素C</w:t>
                  </w:r>
                  <w:r>
                    <w:rPr>
                      <w:rFonts w:hint="eastAsia" w:eastAsia="Helvetica" w:cs="Times New Roman"/>
                      <w:i w:val="0"/>
                      <w:iCs w:val="0"/>
                      <w:caps w:val="0"/>
                      <w:color w:val="auto"/>
                      <w:spacing w:val="0"/>
                      <w:sz w:val="21"/>
                      <w:szCs w:val="21"/>
                      <w:highlight w:val="none"/>
                      <w:shd w:val="clear" w:fill="FFFFFF"/>
                      <w:lang w:val="en-US" w:eastAsia="zh-CN"/>
                    </w:rPr>
                    <w:t>作用：</w:t>
                  </w:r>
                  <w:r>
                    <w:rPr>
                      <w:rFonts w:hint="default" w:ascii="Times New Roman" w:hAnsi="Times New Roman" w:eastAsia="Helvetica" w:cs="Times New Roman"/>
                      <w:i w:val="0"/>
                      <w:iCs w:val="0"/>
                      <w:caps w:val="0"/>
                      <w:color w:val="auto"/>
                      <w:spacing w:val="0"/>
                      <w:sz w:val="21"/>
                      <w:szCs w:val="21"/>
                      <w:highlight w:val="none"/>
                      <w:shd w:val="clear" w:fill="FFFFFF"/>
                    </w:rPr>
                    <w:t>还原剂，防止 Fe²⁺氧化为 Fe³⁺</w:t>
                  </w:r>
                  <w:r>
                    <w:rPr>
                      <w:rFonts w:hint="eastAsia" w:eastAsia="宋体" w:cs="Times New Roman"/>
                      <w:i w:val="0"/>
                      <w:iCs w:val="0"/>
                      <w:caps w:val="0"/>
                      <w:color w:val="auto"/>
                      <w:spacing w:val="0"/>
                      <w:sz w:val="21"/>
                      <w:szCs w:val="21"/>
                      <w:highlight w:val="none"/>
                      <w:shd w:val="clear" w:fill="FFFFFF"/>
                      <w:lang w:eastAsia="zh-CN"/>
                    </w:rPr>
                    <w:t>。</w:t>
                  </w:r>
                </w:p>
              </w:tc>
            </w:tr>
            <w:tr w14:paraId="3E2B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2" w:type="dxa"/>
                  <w:noWrap w:val="0"/>
                  <w:vAlign w:val="center"/>
                </w:tcPr>
                <w:p w14:paraId="7FA01601">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color w:val="auto"/>
                      <w:spacing w:val="-10"/>
                      <w:kern w:val="2"/>
                      <w:sz w:val="21"/>
                      <w:szCs w:val="21"/>
                      <w:highlight w:val="none"/>
                      <w:lang w:val="en-US" w:eastAsia="zh-CN" w:bidi="ar-SA"/>
                    </w:rPr>
                    <w:t>4</w:t>
                  </w:r>
                </w:p>
              </w:tc>
              <w:tc>
                <w:tcPr>
                  <w:tcW w:w="1108" w:type="dxa"/>
                  <w:noWrap w:val="0"/>
                  <w:vAlign w:val="center"/>
                </w:tcPr>
                <w:p w14:paraId="098AB0EE">
                  <w:pPr>
                    <w:keepNext w:val="0"/>
                    <w:keepLines w:val="0"/>
                    <w:widowControl w:val="0"/>
                    <w:suppressLineNumbers w:val="0"/>
                    <w:spacing w:line="240" w:lineRule="auto"/>
                    <w:jc w:val="center"/>
                    <w:textAlignment w:val="bottom"/>
                    <w:rPr>
                      <w:rFonts w:hint="default" w:ascii="宋体" w:hAnsi="宋体" w:eastAsia="宋体" w:cs="宋体"/>
                      <w:color w:val="auto"/>
                      <w:sz w:val="21"/>
                      <w:szCs w:val="21"/>
                      <w:highlight w:val="none"/>
                      <w:lang w:val="en-US" w:eastAsia="zh-CN"/>
                    </w:rPr>
                  </w:pPr>
                  <w:r>
                    <w:rPr>
                      <w:rFonts w:hint="default" w:ascii="宋体" w:hAnsi="宋体" w:eastAsia="宋体" w:cs="宋体"/>
                      <w:color w:val="auto"/>
                      <w:sz w:val="21"/>
                      <w:szCs w:val="21"/>
                      <w:highlight w:val="none"/>
                    </w:rPr>
                    <w:t>还原铁粉</w:t>
                  </w:r>
                </w:p>
              </w:tc>
              <w:tc>
                <w:tcPr>
                  <w:tcW w:w="6205" w:type="dxa"/>
                  <w:noWrap w:val="0"/>
                  <w:vAlign w:val="center"/>
                </w:tcPr>
                <w:p w14:paraId="033391D1">
                  <w:pPr>
                    <w:spacing w:line="240" w:lineRule="auto"/>
                    <w:jc w:val="both"/>
                    <w:textAlignment w:val="bottom"/>
                    <w:rPr>
                      <w:rFonts w:hint="default" w:ascii="Times New Roman" w:hAnsi="Times New Roman" w:eastAsia="宋体" w:cs="Times New Roman"/>
                      <w:color w:val="auto"/>
                      <w:spacing w:val="-10"/>
                      <w:kern w:val="2"/>
                      <w:sz w:val="21"/>
                      <w:szCs w:val="21"/>
                      <w:highlight w:val="none"/>
                      <w:lang w:val="en-US" w:eastAsia="zh-CN" w:bidi="ar"/>
                    </w:rPr>
                  </w:pPr>
                  <w:r>
                    <w:rPr>
                      <w:rFonts w:hint="default" w:ascii="Times New Roman" w:hAnsi="Times New Roman" w:eastAsia="宋体" w:cs="Times New Roman"/>
                      <w:b w:val="0"/>
                      <w:bCs w:val="0"/>
                      <w:color w:val="auto"/>
                      <w:spacing w:val="0"/>
                      <w:sz w:val="21"/>
                      <w:szCs w:val="21"/>
                      <w:highlight w:val="none"/>
                      <w:vertAlign w:val="baseline"/>
                      <w:lang w:val="en-US" w:eastAsia="zh-CN" w:bidi="ar"/>
                    </w:rPr>
                    <w:t>还原铁粉是一种主要含单质铁的灰色或黑色粉末，又称“双吸剂”，一般由四氧化三铁在高热条件下在氢气流或一氧化碳气流中还原生成。由于还原铁粉本身已为粉末状，再加之其微观结构又十分疏松，故其表面积极大，能够吸收空气中的水分和氧气，常用于食品保鲜，在化工生产及实验室作业中常用作优质还原剂。</w:t>
                  </w:r>
                  <w:r>
                    <w:rPr>
                      <w:rFonts w:hint="eastAsia" w:cs="Times New Roman"/>
                      <w:b w:val="0"/>
                      <w:bCs w:val="0"/>
                      <w:color w:val="auto"/>
                      <w:spacing w:val="0"/>
                      <w:sz w:val="21"/>
                      <w:szCs w:val="21"/>
                      <w:highlight w:val="none"/>
                      <w:vertAlign w:val="baseline"/>
                      <w:lang w:val="en-US" w:eastAsia="zh-CN" w:bidi="ar"/>
                    </w:rPr>
                    <w:t>本项目铁粉为主要原料，反应铁源。</w:t>
                  </w:r>
                </w:p>
              </w:tc>
            </w:tr>
            <w:tr w14:paraId="6AB93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22" w:type="dxa"/>
                  <w:noWrap w:val="0"/>
                  <w:vAlign w:val="center"/>
                </w:tcPr>
                <w:p w14:paraId="1911E370">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color w:val="auto"/>
                      <w:spacing w:val="-10"/>
                      <w:kern w:val="2"/>
                      <w:sz w:val="21"/>
                      <w:szCs w:val="21"/>
                      <w:highlight w:val="none"/>
                      <w:lang w:val="en-US" w:eastAsia="zh-CN" w:bidi="ar-SA"/>
                    </w:rPr>
                    <w:t>5</w:t>
                  </w:r>
                </w:p>
              </w:tc>
              <w:tc>
                <w:tcPr>
                  <w:tcW w:w="1108" w:type="dxa"/>
                  <w:noWrap w:val="0"/>
                  <w:vAlign w:val="center"/>
                </w:tcPr>
                <w:p w14:paraId="02DB7189">
                  <w:pPr>
                    <w:keepNext w:val="0"/>
                    <w:keepLines w:val="0"/>
                    <w:widowControl w:val="0"/>
                    <w:suppressLineNumbers w:val="0"/>
                    <w:spacing w:line="240" w:lineRule="auto"/>
                    <w:jc w:val="center"/>
                    <w:textAlignment w:val="bottom"/>
                    <w:rPr>
                      <w:rFonts w:hint="eastAsia" w:ascii="宋体" w:hAnsi="宋体" w:eastAsia="宋体" w:cs="宋体"/>
                      <w:color w:val="auto"/>
                      <w:sz w:val="21"/>
                      <w:szCs w:val="21"/>
                      <w:highlight w:val="none"/>
                      <w:lang w:val="en-US" w:eastAsia="zh-CN"/>
                    </w:rPr>
                  </w:pPr>
                  <w:bookmarkStart w:id="21" w:name="OLE_LINK3"/>
                  <w:r>
                    <w:rPr>
                      <w:rFonts w:ascii="宋体" w:hAnsi="宋体" w:eastAsia="宋体" w:cs="宋体"/>
                      <w:color w:val="auto"/>
                      <w:sz w:val="21"/>
                      <w:szCs w:val="21"/>
                      <w:highlight w:val="none"/>
                    </w:rPr>
                    <w:t>甘氨酸</w:t>
                  </w:r>
                  <w:r>
                    <w:rPr>
                      <w:rFonts w:hint="eastAsia" w:ascii="宋体" w:hAnsi="宋体" w:eastAsia="宋体" w:cs="宋体"/>
                      <w:color w:val="auto"/>
                      <w:sz w:val="21"/>
                      <w:szCs w:val="21"/>
                      <w:highlight w:val="none"/>
                      <w:lang w:val="en-US" w:eastAsia="zh-CN"/>
                    </w:rPr>
                    <w:t>亚铁</w:t>
                  </w:r>
                  <w:bookmarkEnd w:id="21"/>
                </w:p>
              </w:tc>
              <w:tc>
                <w:tcPr>
                  <w:tcW w:w="6205" w:type="dxa"/>
                  <w:noWrap w:val="0"/>
                  <w:vAlign w:val="center"/>
                </w:tcPr>
                <w:p w14:paraId="2BE39B3A">
                  <w:pPr>
                    <w:widowControl w:val="0"/>
                    <w:spacing w:line="240" w:lineRule="auto"/>
                    <w:jc w:val="both"/>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default" w:ascii="Times New Roman" w:hAnsi="Times New Roman" w:eastAsia="宋体" w:cs="Times New Roman"/>
                      <w:b w:val="0"/>
                      <w:bCs w:val="0"/>
                      <w:color w:val="auto"/>
                      <w:spacing w:val="0"/>
                      <w:sz w:val="21"/>
                      <w:szCs w:val="21"/>
                      <w:highlight w:val="none"/>
                      <w:vertAlign w:val="baseline"/>
                      <w:lang w:val="en-US" w:eastAsia="zh-CN" w:bidi="ar"/>
                    </w:rPr>
                    <w:t>甘氨酸亚铁，别名</w:t>
                  </w:r>
                  <w:bookmarkStart w:id="22" w:name="OLE_LINK5"/>
                  <w:r>
                    <w:rPr>
                      <w:rFonts w:hint="default" w:ascii="Times New Roman" w:hAnsi="Times New Roman" w:eastAsia="宋体" w:cs="Times New Roman"/>
                      <w:b w:val="0"/>
                      <w:bCs w:val="0"/>
                      <w:color w:val="auto"/>
                      <w:spacing w:val="0"/>
                      <w:sz w:val="21"/>
                      <w:szCs w:val="21"/>
                      <w:highlight w:val="none"/>
                      <w:vertAlign w:val="baseline"/>
                      <w:lang w:val="en-US" w:eastAsia="zh-CN" w:bidi="ar"/>
                    </w:rPr>
                    <w:t>甘氨酸亚铁（二水）</w:t>
                  </w:r>
                  <w:bookmarkEnd w:id="22"/>
                  <w:r>
                    <w:rPr>
                      <w:rFonts w:hint="default" w:ascii="Times New Roman" w:hAnsi="Times New Roman" w:eastAsia="宋体" w:cs="Times New Roman"/>
                      <w:b w:val="0"/>
                      <w:bCs w:val="0"/>
                      <w:color w:val="auto"/>
                      <w:spacing w:val="0"/>
                      <w:sz w:val="21"/>
                      <w:szCs w:val="21"/>
                      <w:highlight w:val="none"/>
                      <w:vertAlign w:val="baseline"/>
                      <w:lang w:val="en-US" w:eastAsia="zh-CN" w:bidi="ar"/>
                    </w:rPr>
                    <w:t>，是一种有机铁化合物，分子式为Fe(OOCCH</w:t>
                  </w:r>
                  <w:r>
                    <w:rPr>
                      <w:rFonts w:hint="default" w:ascii="Times New Roman" w:hAnsi="Times New Roman" w:eastAsia="宋体" w:cs="Times New Roman"/>
                      <w:b w:val="0"/>
                      <w:bCs w:val="0"/>
                      <w:color w:val="auto"/>
                      <w:spacing w:val="0"/>
                      <w:sz w:val="21"/>
                      <w:szCs w:val="21"/>
                      <w:highlight w:val="none"/>
                      <w:vertAlign w:val="subscript"/>
                      <w:lang w:val="en-US" w:eastAsia="zh-CN" w:bidi="ar"/>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NH</w:t>
                  </w:r>
                  <w:r>
                    <w:rPr>
                      <w:rFonts w:hint="default" w:ascii="Times New Roman" w:hAnsi="Times New Roman" w:eastAsia="宋体" w:cs="Times New Roman"/>
                      <w:b w:val="0"/>
                      <w:bCs w:val="0"/>
                      <w:color w:val="auto"/>
                      <w:spacing w:val="0"/>
                      <w:sz w:val="21"/>
                      <w:szCs w:val="21"/>
                      <w:highlight w:val="none"/>
                      <w:vertAlign w:val="subscript"/>
                      <w:lang w:val="en-US" w:eastAsia="zh-CN" w:bidi="ar"/>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w:t>
                  </w:r>
                  <w:r>
                    <w:rPr>
                      <w:rFonts w:hint="default" w:ascii="Times New Roman" w:hAnsi="Times New Roman" w:eastAsia="宋体" w:cs="Times New Roman"/>
                      <w:b w:val="0"/>
                      <w:bCs w:val="0"/>
                      <w:color w:val="auto"/>
                      <w:spacing w:val="0"/>
                      <w:sz w:val="21"/>
                      <w:szCs w:val="21"/>
                      <w:highlight w:val="none"/>
                      <w:vertAlign w:val="subscript"/>
                      <w:lang w:val="en-US" w:eastAsia="zh-CN" w:bidi="ar"/>
                    </w:rPr>
                    <w:t xml:space="preserve">2 </w:t>
                  </w:r>
                  <w:r>
                    <w:rPr>
                      <w:rFonts w:hint="default" w:ascii="Times New Roman" w:hAnsi="Times New Roman" w:eastAsia="宋体" w:cs="Times New Roman"/>
                      <w:b w:val="0"/>
                      <w:bCs w:val="0"/>
                      <w:color w:val="auto"/>
                      <w:spacing w:val="0"/>
                      <w:sz w:val="21"/>
                      <w:szCs w:val="21"/>
                      <w:highlight w:val="none"/>
                      <w:vertAlign w:val="baseline"/>
                      <w:lang w:val="en-US" w:eastAsia="zh-CN" w:bidi="ar"/>
                    </w:rPr>
                    <w:t>2H</w:t>
                  </w:r>
                  <w:r>
                    <w:rPr>
                      <w:rFonts w:hint="default" w:ascii="Times New Roman" w:hAnsi="Times New Roman" w:eastAsia="宋体" w:cs="Times New Roman"/>
                      <w:b w:val="0"/>
                      <w:bCs w:val="0"/>
                      <w:color w:val="auto"/>
                      <w:spacing w:val="0"/>
                      <w:sz w:val="21"/>
                      <w:szCs w:val="21"/>
                      <w:highlight w:val="none"/>
                      <w:vertAlign w:val="subscript"/>
                      <w:lang w:val="en-US" w:eastAsia="zh-CN" w:bidi="ar"/>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O，分子量为</w:t>
                  </w:r>
                  <w:r>
                    <w:rPr>
                      <w:color w:val="auto"/>
                      <w:sz w:val="21"/>
                      <w:szCs w:val="21"/>
                      <w:highlight w:val="none"/>
                    </w:rPr>
                    <w:t>239.99</w:t>
                  </w:r>
                  <w:r>
                    <w:rPr>
                      <w:rFonts w:hint="default" w:ascii="Times New Roman" w:hAnsi="Times New Roman" w:eastAsia="宋体" w:cs="Times New Roman"/>
                      <w:b w:val="0"/>
                      <w:bCs w:val="0"/>
                      <w:color w:val="auto"/>
                      <w:spacing w:val="0"/>
                      <w:sz w:val="21"/>
                      <w:szCs w:val="21"/>
                      <w:highlight w:val="none"/>
                      <w:vertAlign w:val="baseline"/>
                      <w:lang w:val="en-US" w:eastAsia="zh-CN" w:bidi="ar"/>
                    </w:rPr>
                    <w:t>，CAS号为20150-34-9。其外观为</w:t>
                  </w:r>
                  <w:r>
                    <w:rPr>
                      <w:rFonts w:hint="eastAsia" w:cs="Times New Roman"/>
                      <w:b w:val="0"/>
                      <w:bCs w:val="0"/>
                      <w:color w:val="auto"/>
                      <w:spacing w:val="0"/>
                      <w:sz w:val="21"/>
                      <w:szCs w:val="21"/>
                      <w:highlight w:val="none"/>
                      <w:vertAlign w:val="baseline"/>
                      <w:lang w:val="en-US" w:eastAsia="zh-CN" w:bidi="ar"/>
                    </w:rPr>
                    <w:t>黑</w:t>
                  </w:r>
                  <w:r>
                    <w:rPr>
                      <w:rFonts w:hint="default" w:ascii="Times New Roman" w:hAnsi="Times New Roman" w:eastAsia="宋体" w:cs="Times New Roman"/>
                      <w:b w:val="0"/>
                      <w:bCs w:val="0"/>
                      <w:color w:val="auto"/>
                      <w:spacing w:val="0"/>
                      <w:sz w:val="21"/>
                      <w:szCs w:val="21"/>
                      <w:highlight w:val="none"/>
                      <w:vertAlign w:val="baseline"/>
                      <w:lang w:val="en-US" w:eastAsia="zh-CN" w:bidi="ar"/>
                    </w:rPr>
                    <w:t>褐色或灰绿色结晶性粉末，性稳定，保质期二年，无一般铁剂的铁腥味，易溶于水。其吸收率约为硫酸亚铁的3-5倍，尚可促进钙、锌、硒等多种元素的吸收，不会导致食物变色或变味。生理功能主要为改善缺铁性贫血。</w:t>
                  </w:r>
                </w:p>
              </w:tc>
            </w:tr>
          </w:tbl>
          <w:p w14:paraId="3C8F63E1">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ascii="Times New Roman" w:hAnsi="Times New Roman" w:eastAsia="宋体" w:cs="Times New Roman"/>
                <w:b/>
                <w:bCs/>
                <w:color w:val="auto"/>
                <w:sz w:val="21"/>
                <w:szCs w:val="21"/>
                <w:highlight w:val="none"/>
                <w:lang w:val="en-US" w:eastAsia="zh-CN"/>
              </w:rPr>
            </w:pPr>
            <w:r>
              <w:rPr>
                <w:rFonts w:hint="eastAsia" w:cs="Times New Roman"/>
                <w:b w:val="0"/>
                <w:bCs w:val="0"/>
                <w:color w:val="auto"/>
                <w:sz w:val="21"/>
                <w:szCs w:val="21"/>
                <w:highlight w:val="none"/>
                <w:lang w:val="en-US" w:eastAsia="zh-CN"/>
              </w:rPr>
              <w:t>（2）物料平衡</w:t>
            </w:r>
          </w:p>
          <w:p w14:paraId="1DBC9E2A">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甘氨酸亚铁生产12h/批次，每天生产2批次，1t/d，年生产时间300d，年生产量300t。</w:t>
            </w:r>
          </w:p>
          <w:p w14:paraId="7F4CDFB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物料平衡表见表2-7。物料平衡图见图2-1。</w:t>
            </w:r>
          </w:p>
          <w:p w14:paraId="2B5EF0D9">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color w:val="auto"/>
                <w:highlight w:val="none"/>
                <w:lang w:val="en-US" w:eastAsia="zh-CN"/>
              </w:rPr>
            </w:pPr>
            <w:r>
              <w:rPr>
                <w:rFonts w:hint="default" w:ascii="Times New Roman" w:hAnsi="Times New Roman" w:eastAsia="宋体" w:cs="Times New Roman"/>
                <w:b/>
                <w:bCs/>
                <w:color w:val="auto"/>
                <w:sz w:val="21"/>
                <w:szCs w:val="21"/>
                <w:highlight w:val="none"/>
                <w:lang w:val="en-US" w:eastAsia="zh-CN"/>
              </w:rPr>
              <w:t>表</w:t>
            </w:r>
            <w:r>
              <w:rPr>
                <w:rFonts w:hint="eastAsia" w:cs="Times New Roman"/>
                <w:b/>
                <w:bCs/>
                <w:color w:val="auto"/>
                <w:sz w:val="21"/>
                <w:szCs w:val="21"/>
                <w:highlight w:val="none"/>
                <w:lang w:val="en-US" w:eastAsia="zh-CN"/>
              </w:rPr>
              <w:t xml:space="preserve"> </w:t>
            </w:r>
            <w:r>
              <w:rPr>
                <w:rFonts w:hint="default" w:ascii="Times New Roman" w:hAnsi="Times New Roman" w:eastAsia="宋体" w:cs="Times New Roman"/>
                <w:b/>
                <w:bCs/>
                <w:color w:val="auto"/>
                <w:sz w:val="21"/>
                <w:szCs w:val="21"/>
                <w:highlight w:val="none"/>
                <w:lang w:val="en-US" w:eastAsia="zh-CN"/>
              </w:rPr>
              <w:t>2-</w:t>
            </w:r>
            <w:r>
              <w:rPr>
                <w:rFonts w:hint="eastAsia" w:cs="Times New Roman"/>
                <w:b/>
                <w:bCs/>
                <w:color w:val="auto"/>
                <w:sz w:val="21"/>
                <w:szCs w:val="21"/>
                <w:highlight w:val="none"/>
                <w:lang w:val="en-US" w:eastAsia="zh-CN"/>
              </w:rPr>
              <w:t>7</w:t>
            </w:r>
            <w:r>
              <w:rPr>
                <w:rFonts w:hint="default" w:ascii="Times New Roman" w:hAnsi="Times New Roman" w:eastAsia="宋体" w:cs="Times New Roman"/>
                <w:b/>
                <w:bCs/>
                <w:color w:val="auto"/>
                <w:sz w:val="21"/>
                <w:szCs w:val="21"/>
                <w:highlight w:val="none"/>
                <w:lang w:val="en-US" w:eastAsia="zh-CN"/>
              </w:rPr>
              <w:t xml:space="preserve"> 甘氨酸</w:t>
            </w:r>
            <w:r>
              <w:rPr>
                <w:rFonts w:hint="eastAsia" w:cs="Times New Roman"/>
                <w:b/>
                <w:bCs/>
                <w:color w:val="auto"/>
                <w:sz w:val="21"/>
                <w:szCs w:val="21"/>
                <w:highlight w:val="none"/>
                <w:lang w:val="en-US" w:eastAsia="zh-CN"/>
              </w:rPr>
              <w:t>亚铁</w:t>
            </w:r>
            <w:r>
              <w:rPr>
                <w:rFonts w:hint="default" w:ascii="Times New Roman" w:hAnsi="Times New Roman" w:eastAsia="宋体" w:cs="Times New Roman"/>
                <w:b/>
                <w:bCs/>
                <w:color w:val="auto"/>
                <w:sz w:val="21"/>
                <w:szCs w:val="21"/>
                <w:highlight w:val="none"/>
                <w:lang w:val="en-US" w:eastAsia="zh-CN"/>
              </w:rPr>
              <w:t>产品</w:t>
            </w:r>
            <w:r>
              <w:rPr>
                <w:rFonts w:hint="eastAsia" w:ascii="Times New Roman" w:hAnsi="Times New Roman" w:eastAsia="宋体" w:cs="Times New Roman"/>
                <w:b/>
                <w:bCs/>
                <w:color w:val="auto"/>
                <w:sz w:val="21"/>
                <w:szCs w:val="21"/>
                <w:highlight w:val="none"/>
                <w:lang w:val="en-US" w:eastAsia="zh-CN"/>
              </w:rPr>
              <w:t>（</w:t>
            </w:r>
            <w:r>
              <w:rPr>
                <w:rFonts w:hint="eastAsia" w:cs="Times New Roman"/>
                <w:b/>
                <w:bCs/>
                <w:color w:val="auto"/>
                <w:sz w:val="21"/>
                <w:szCs w:val="21"/>
                <w:highlight w:val="none"/>
                <w:lang w:val="en-US" w:eastAsia="zh-CN"/>
              </w:rPr>
              <w:t>30</w:t>
            </w:r>
            <w:r>
              <w:rPr>
                <w:rFonts w:hint="eastAsia" w:ascii="Times New Roman" w:hAnsi="Times New Roman" w:eastAsia="宋体" w:cs="Times New Roman"/>
                <w:b/>
                <w:bCs/>
                <w:color w:val="auto"/>
                <w:sz w:val="21"/>
                <w:szCs w:val="21"/>
                <w:highlight w:val="none"/>
                <w:lang w:val="en-US" w:eastAsia="zh-CN"/>
              </w:rPr>
              <w:t>0t/a）</w:t>
            </w:r>
            <w:r>
              <w:rPr>
                <w:rFonts w:hint="eastAsia" w:cs="Times New Roman"/>
                <w:b/>
                <w:bCs/>
                <w:color w:val="auto"/>
                <w:sz w:val="21"/>
                <w:szCs w:val="21"/>
                <w:highlight w:val="none"/>
                <w:lang w:val="en-US" w:eastAsia="zh-CN"/>
              </w:rPr>
              <w:t>物料平衡表</w:t>
            </w:r>
          </w:p>
          <w:tbl>
            <w:tblPr>
              <w:tblStyle w:val="25"/>
              <w:tblW w:w="4993"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3"/>
              <w:gridCol w:w="2140"/>
              <w:gridCol w:w="1341"/>
              <w:gridCol w:w="921"/>
              <w:gridCol w:w="2010"/>
              <w:gridCol w:w="1040"/>
            </w:tblGrid>
            <w:tr w14:paraId="13627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2494" w:type="pct"/>
                  <w:gridSpan w:val="3"/>
                  <w:noWrap/>
                  <w:vAlign w:val="center"/>
                </w:tcPr>
                <w:p w14:paraId="55AFE2CC">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投入</w:t>
                  </w:r>
                </w:p>
              </w:tc>
              <w:tc>
                <w:tcPr>
                  <w:tcW w:w="2505" w:type="pct"/>
                  <w:gridSpan w:val="3"/>
                  <w:noWrap/>
                  <w:vAlign w:val="center"/>
                </w:tcPr>
                <w:p w14:paraId="03712F91">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产出</w:t>
                  </w:r>
                </w:p>
              </w:tc>
            </w:tr>
            <w:tr w14:paraId="739A7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298" w:type="pct"/>
                  <w:noWrap/>
                  <w:vAlign w:val="center"/>
                </w:tcPr>
                <w:p w14:paraId="029764A1">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1350" w:type="pct"/>
                  <w:noWrap/>
                  <w:vAlign w:val="center"/>
                </w:tcPr>
                <w:p w14:paraId="65F249A6">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产品名称</w:t>
                  </w:r>
                </w:p>
              </w:tc>
              <w:tc>
                <w:tcPr>
                  <w:tcW w:w="846" w:type="pct"/>
                  <w:noWrap/>
                  <w:vAlign w:val="center"/>
                </w:tcPr>
                <w:p w14:paraId="56728918">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年用量(t)</w:t>
                  </w:r>
                </w:p>
              </w:tc>
              <w:tc>
                <w:tcPr>
                  <w:tcW w:w="1849" w:type="pct"/>
                  <w:gridSpan w:val="2"/>
                  <w:noWrap/>
                  <w:vAlign w:val="center"/>
                </w:tcPr>
                <w:p w14:paraId="6830E440">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产品名称</w:t>
                  </w:r>
                </w:p>
              </w:tc>
              <w:tc>
                <w:tcPr>
                  <w:tcW w:w="656" w:type="pct"/>
                  <w:noWrap/>
                  <w:vAlign w:val="center"/>
                </w:tcPr>
                <w:p w14:paraId="3481400B">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年产量(t)</w:t>
                  </w:r>
                </w:p>
              </w:tc>
            </w:tr>
            <w:tr w14:paraId="129B2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trPr>
              <w:tc>
                <w:tcPr>
                  <w:tcW w:w="298" w:type="pct"/>
                  <w:noWrap/>
                  <w:vAlign w:val="center"/>
                </w:tcPr>
                <w:p w14:paraId="7A28ABCA">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w:t>
                  </w:r>
                </w:p>
              </w:tc>
              <w:tc>
                <w:tcPr>
                  <w:tcW w:w="1350" w:type="pct"/>
                  <w:noWrap/>
                  <w:vAlign w:val="center"/>
                </w:tcPr>
                <w:p w14:paraId="7D210124">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食品添加剂甘氨酸</w:t>
                  </w:r>
                </w:p>
              </w:tc>
              <w:tc>
                <w:tcPr>
                  <w:tcW w:w="846" w:type="pct"/>
                  <w:noWrap/>
                  <w:vAlign w:val="center"/>
                </w:tcPr>
                <w:p w14:paraId="118C7DED">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189.3</w:t>
                  </w:r>
                </w:p>
              </w:tc>
              <w:tc>
                <w:tcPr>
                  <w:tcW w:w="1849" w:type="pct"/>
                  <w:gridSpan w:val="2"/>
                  <w:noWrap/>
                  <w:vAlign w:val="center"/>
                </w:tcPr>
                <w:p w14:paraId="28866956">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甘氨酸亚铁（产品）</w:t>
                  </w:r>
                </w:p>
              </w:tc>
              <w:tc>
                <w:tcPr>
                  <w:tcW w:w="656" w:type="pct"/>
                  <w:noWrap/>
                  <w:vAlign w:val="bottom"/>
                </w:tcPr>
                <w:p w14:paraId="1CB3F438">
                  <w:pPr>
                    <w:keepNext w:val="0"/>
                    <w:keepLines w:val="0"/>
                    <w:widowControl/>
                    <w:suppressLineNumbers w:val="0"/>
                    <w:jc w:val="center"/>
                    <w:textAlignment w:val="bottom"/>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i w:val="0"/>
                      <w:iCs w:val="0"/>
                      <w:color w:val="auto"/>
                      <w:kern w:val="0"/>
                      <w:sz w:val="21"/>
                      <w:szCs w:val="21"/>
                      <w:highlight w:val="none"/>
                      <w:u w:val="none"/>
                      <w:lang w:val="en-US" w:eastAsia="zh-CN" w:bidi="ar"/>
                    </w:rPr>
                    <w:t>300</w:t>
                  </w:r>
                </w:p>
              </w:tc>
            </w:tr>
            <w:tr w14:paraId="3D4A7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 w:hRule="atLeast"/>
              </w:trPr>
              <w:tc>
                <w:tcPr>
                  <w:tcW w:w="298" w:type="pct"/>
                  <w:noWrap/>
                  <w:vAlign w:val="center"/>
                </w:tcPr>
                <w:p w14:paraId="322A741F">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2</w:t>
                  </w:r>
                </w:p>
              </w:tc>
              <w:tc>
                <w:tcPr>
                  <w:tcW w:w="1350" w:type="pct"/>
                  <w:noWrap/>
                  <w:vAlign w:val="center"/>
                </w:tcPr>
                <w:p w14:paraId="57C81C54">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食品添加剂柠檬酸</w:t>
                  </w:r>
                </w:p>
              </w:tc>
              <w:tc>
                <w:tcPr>
                  <w:tcW w:w="846" w:type="pct"/>
                  <w:noWrap/>
                  <w:vAlign w:val="center"/>
                </w:tcPr>
                <w:p w14:paraId="4E2B654A">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16</w:t>
                  </w:r>
                </w:p>
              </w:tc>
              <w:tc>
                <w:tcPr>
                  <w:tcW w:w="581" w:type="pct"/>
                  <w:vMerge w:val="restart"/>
                  <w:noWrap/>
                  <w:vAlign w:val="center"/>
                </w:tcPr>
                <w:p w14:paraId="3181B78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w:t>
                  </w:r>
                </w:p>
                <w:p w14:paraId="4E4B02BF">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p>
              </w:tc>
              <w:tc>
                <w:tcPr>
                  <w:tcW w:w="1268" w:type="pct"/>
                  <w:noWrap/>
                  <w:vAlign w:val="center"/>
                </w:tcPr>
                <w:p w14:paraId="16BAB1AA">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氢气</w:t>
                  </w:r>
                </w:p>
              </w:tc>
              <w:tc>
                <w:tcPr>
                  <w:tcW w:w="656" w:type="pct"/>
                  <w:noWrap/>
                  <w:vAlign w:val="bottom"/>
                </w:tcPr>
                <w:p w14:paraId="55ED3368">
                  <w:pPr>
                    <w:keepNext w:val="0"/>
                    <w:keepLines w:val="0"/>
                    <w:widowControl/>
                    <w:suppressLineNumbers w:val="0"/>
                    <w:jc w:val="center"/>
                    <w:textAlignment w:val="bottom"/>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i w:val="0"/>
                      <w:iCs w:val="0"/>
                      <w:color w:val="auto"/>
                      <w:kern w:val="0"/>
                      <w:sz w:val="21"/>
                      <w:szCs w:val="21"/>
                      <w:highlight w:val="none"/>
                      <w:u w:val="none"/>
                      <w:lang w:val="en-US" w:eastAsia="zh-CN" w:bidi="ar"/>
                    </w:rPr>
                    <w:t>2.5</w:t>
                  </w:r>
                </w:p>
              </w:tc>
            </w:tr>
            <w:tr w14:paraId="42BCF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trPr>
              <w:tc>
                <w:tcPr>
                  <w:tcW w:w="298" w:type="pct"/>
                  <w:noWrap/>
                  <w:vAlign w:val="center"/>
                </w:tcPr>
                <w:p w14:paraId="58740485">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3</w:t>
                  </w:r>
                </w:p>
              </w:tc>
              <w:tc>
                <w:tcPr>
                  <w:tcW w:w="1350" w:type="pct"/>
                  <w:noWrap/>
                  <w:vAlign w:val="center"/>
                </w:tcPr>
                <w:p w14:paraId="4CCB5948">
                  <w:pPr>
                    <w:spacing w:line="240" w:lineRule="auto"/>
                    <w:ind w:firstLine="0" w:firstLineChars="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食品添加剂维生素C</w:t>
                  </w:r>
                </w:p>
              </w:tc>
              <w:tc>
                <w:tcPr>
                  <w:tcW w:w="846" w:type="pct"/>
                  <w:noWrap/>
                  <w:vAlign w:val="center"/>
                </w:tcPr>
                <w:p w14:paraId="359C497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8.6</w:t>
                  </w:r>
                </w:p>
              </w:tc>
              <w:tc>
                <w:tcPr>
                  <w:tcW w:w="581" w:type="pct"/>
                  <w:vMerge w:val="continue"/>
                  <w:noWrap/>
                  <w:vAlign w:val="center"/>
                </w:tcPr>
                <w:p w14:paraId="48B5BF9F">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p>
              </w:tc>
              <w:tc>
                <w:tcPr>
                  <w:tcW w:w="1268" w:type="pct"/>
                  <w:noWrap/>
                  <w:vAlign w:val="center"/>
                </w:tcPr>
                <w:p w14:paraId="2CC8467C">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颗粒物</w:t>
                  </w:r>
                </w:p>
              </w:tc>
              <w:tc>
                <w:tcPr>
                  <w:tcW w:w="656" w:type="pct"/>
                  <w:noWrap/>
                  <w:vAlign w:val="bottom"/>
                </w:tcPr>
                <w:p w14:paraId="20AA245F">
                  <w:pPr>
                    <w:keepNext w:val="0"/>
                    <w:keepLines w:val="0"/>
                    <w:widowControl/>
                    <w:suppressLineNumbers w:val="0"/>
                    <w:jc w:val="center"/>
                    <w:textAlignment w:val="bottom"/>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25</w:t>
                  </w:r>
                </w:p>
              </w:tc>
            </w:tr>
            <w:tr w14:paraId="5E32C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8" w:type="pct"/>
                  <w:noWrap/>
                  <w:vAlign w:val="center"/>
                </w:tcPr>
                <w:p w14:paraId="36F30895">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4</w:t>
                  </w:r>
                </w:p>
              </w:tc>
              <w:tc>
                <w:tcPr>
                  <w:tcW w:w="1350" w:type="pct"/>
                  <w:noWrap/>
                  <w:vAlign w:val="center"/>
                </w:tcPr>
                <w:p w14:paraId="6494B030">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还原铁粉</w:t>
                  </w:r>
                </w:p>
              </w:tc>
              <w:tc>
                <w:tcPr>
                  <w:tcW w:w="846" w:type="pct"/>
                  <w:noWrap/>
                  <w:vAlign w:val="center"/>
                </w:tcPr>
                <w:p w14:paraId="79FA0AF6">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70.6</w:t>
                  </w:r>
                </w:p>
              </w:tc>
              <w:tc>
                <w:tcPr>
                  <w:tcW w:w="581" w:type="pct"/>
                  <w:vMerge w:val="continue"/>
                  <w:noWrap/>
                  <w:vAlign w:val="center"/>
                </w:tcPr>
                <w:p w14:paraId="54AC57DE">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p>
              </w:tc>
              <w:tc>
                <w:tcPr>
                  <w:tcW w:w="1268" w:type="pct"/>
                  <w:noWrap/>
                  <w:vAlign w:val="center"/>
                </w:tcPr>
                <w:p w14:paraId="18028A69">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水蒸气</w:t>
                  </w:r>
                </w:p>
              </w:tc>
              <w:tc>
                <w:tcPr>
                  <w:tcW w:w="656" w:type="pct"/>
                  <w:noWrap/>
                  <w:vAlign w:val="bottom"/>
                </w:tcPr>
                <w:p w14:paraId="530BEE70">
                  <w:pPr>
                    <w:keepNext w:val="0"/>
                    <w:keepLines w:val="0"/>
                    <w:widowControl/>
                    <w:suppressLineNumbers w:val="0"/>
                    <w:jc w:val="center"/>
                    <w:textAlignment w:val="bottom"/>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1157</w:t>
                  </w:r>
                </w:p>
              </w:tc>
            </w:tr>
            <w:tr w14:paraId="389F6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298" w:type="pct"/>
                  <w:noWrap/>
                  <w:vAlign w:val="center"/>
                </w:tcPr>
                <w:p w14:paraId="776595F7">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5</w:t>
                  </w:r>
                </w:p>
              </w:tc>
              <w:tc>
                <w:tcPr>
                  <w:tcW w:w="1350" w:type="pct"/>
                  <w:noWrap/>
                  <w:vAlign w:val="center"/>
                </w:tcPr>
                <w:p w14:paraId="6EFF708F">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去离子水</w:t>
                  </w:r>
                </w:p>
              </w:tc>
              <w:tc>
                <w:tcPr>
                  <w:tcW w:w="846" w:type="pct"/>
                  <w:noWrap/>
                  <w:vAlign w:val="center"/>
                </w:tcPr>
                <w:p w14:paraId="5113AF20">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1200</w:t>
                  </w:r>
                </w:p>
              </w:tc>
              <w:tc>
                <w:tcPr>
                  <w:tcW w:w="1849" w:type="pct"/>
                  <w:gridSpan w:val="2"/>
                  <w:noWrap/>
                  <w:vAlign w:val="center"/>
                </w:tcPr>
                <w:p w14:paraId="6E983E94">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56" w:type="pct"/>
                  <w:noWrap/>
                  <w:vAlign w:val="bottom"/>
                </w:tcPr>
                <w:p w14:paraId="6AE5CD0B">
                  <w:pPr>
                    <w:keepNext w:val="0"/>
                    <w:keepLines w:val="0"/>
                    <w:widowControl/>
                    <w:suppressLineNumbers w:val="0"/>
                    <w:jc w:val="center"/>
                    <w:textAlignment w:val="bottom"/>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r>
            <w:tr w14:paraId="76706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298" w:type="pct"/>
                  <w:noWrap/>
                  <w:vAlign w:val="center"/>
                </w:tcPr>
                <w:p w14:paraId="38023F77">
                  <w:pPr>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6</w:t>
                  </w:r>
                </w:p>
              </w:tc>
              <w:tc>
                <w:tcPr>
                  <w:tcW w:w="1350" w:type="pct"/>
                  <w:noWrap/>
                  <w:vAlign w:val="center"/>
                </w:tcPr>
                <w:p w14:paraId="31706484">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未反应铁粉（回用）</w:t>
                  </w:r>
                </w:p>
              </w:tc>
              <w:tc>
                <w:tcPr>
                  <w:tcW w:w="846" w:type="pct"/>
                  <w:noWrap/>
                  <w:vAlign w:val="center"/>
                </w:tcPr>
                <w:p w14:paraId="4A400B9B">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32</w:t>
                  </w:r>
                </w:p>
              </w:tc>
              <w:tc>
                <w:tcPr>
                  <w:tcW w:w="1849" w:type="pct"/>
                  <w:gridSpan w:val="2"/>
                  <w:noWrap/>
                  <w:vAlign w:val="center"/>
                </w:tcPr>
                <w:p w14:paraId="40BCE1A0">
                  <w:pPr>
                    <w:keepNext w:val="0"/>
                    <w:keepLines w:val="0"/>
                    <w:widowControl/>
                    <w:suppressLineNumbers w:val="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未反应铁粉（回用）</w:t>
                  </w:r>
                </w:p>
              </w:tc>
              <w:tc>
                <w:tcPr>
                  <w:tcW w:w="656" w:type="pct"/>
                  <w:noWrap/>
                  <w:vAlign w:val="center"/>
                </w:tcPr>
                <w:p w14:paraId="2225E245">
                  <w:pPr>
                    <w:keepNext w:val="0"/>
                    <w:keepLines w:val="0"/>
                    <w:widowControl/>
                    <w:suppressLineNumbers w:val="0"/>
                    <w:jc w:val="center"/>
                    <w:textAlignment w:val="bottom"/>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32</w:t>
                  </w:r>
                </w:p>
              </w:tc>
            </w:tr>
            <w:tr w14:paraId="4819B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298" w:type="pct"/>
                  <w:noWrap/>
                  <w:vAlign w:val="center"/>
                </w:tcPr>
                <w:p w14:paraId="3E76EA7E">
                  <w:pPr>
                    <w:spacing w:line="240" w:lineRule="auto"/>
                    <w:ind w:firstLine="0" w:firstLineChars="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7</w:t>
                  </w:r>
                </w:p>
              </w:tc>
              <w:tc>
                <w:tcPr>
                  <w:tcW w:w="1350" w:type="pct"/>
                  <w:noWrap/>
                  <w:vAlign w:val="center"/>
                </w:tcPr>
                <w:p w14:paraId="6E8687F7">
                  <w:pPr>
                    <w:spacing w:line="240" w:lineRule="auto"/>
                    <w:ind w:firstLine="0" w:firstLineChars="0"/>
                    <w:jc w:val="center"/>
                    <w:rPr>
                      <w:rFonts w:hint="default" w:ascii="Times New Roman" w:hAnsi="Times New Roman" w:eastAsia="宋体" w:cs="Times New Roman"/>
                      <w:color w:val="0000FF"/>
                      <w:sz w:val="21"/>
                      <w:szCs w:val="21"/>
                      <w:highlight w:val="none"/>
                      <w:lang w:val="en-US" w:eastAsia="zh-CN"/>
                    </w:rPr>
                  </w:pPr>
                  <w:r>
                    <w:rPr>
                      <w:rFonts w:hint="eastAsia" w:cs="Times New Roman"/>
                      <w:color w:val="0000FF"/>
                      <w:sz w:val="21"/>
                      <w:szCs w:val="21"/>
                      <w:highlight w:val="none"/>
                      <w:lang w:val="en-US" w:eastAsia="zh-CN"/>
                    </w:rPr>
                    <w:t>收集粉尘（回用）</w:t>
                  </w:r>
                </w:p>
              </w:tc>
              <w:tc>
                <w:tcPr>
                  <w:tcW w:w="846" w:type="pct"/>
                  <w:noWrap/>
                  <w:vAlign w:val="center"/>
                </w:tcPr>
                <w:p w14:paraId="4E161DDC">
                  <w:pPr>
                    <w:spacing w:line="240" w:lineRule="auto"/>
                    <w:ind w:firstLine="0" w:firstLineChars="0"/>
                    <w:jc w:val="center"/>
                    <w:rPr>
                      <w:rFonts w:hint="default" w:ascii="Times New Roman" w:hAnsi="Times New Roman" w:eastAsia="宋体" w:cs="Times New Roman"/>
                      <w:color w:val="0000FF"/>
                      <w:sz w:val="21"/>
                      <w:szCs w:val="21"/>
                      <w:highlight w:val="none"/>
                      <w:lang w:val="en-US" w:eastAsia="zh-CN"/>
                    </w:rPr>
                  </w:pPr>
                  <w:r>
                    <w:rPr>
                      <w:rFonts w:hint="eastAsia" w:cs="Times New Roman"/>
                      <w:color w:val="0000FF"/>
                      <w:sz w:val="21"/>
                      <w:szCs w:val="21"/>
                      <w:highlight w:val="none"/>
                      <w:lang w:val="en-US" w:eastAsia="zh-CN"/>
                    </w:rPr>
                    <w:t>1.51</w:t>
                  </w:r>
                </w:p>
              </w:tc>
              <w:tc>
                <w:tcPr>
                  <w:tcW w:w="1849" w:type="pct"/>
                  <w:gridSpan w:val="2"/>
                  <w:noWrap/>
                  <w:vAlign w:val="center"/>
                </w:tcPr>
                <w:p w14:paraId="4438FC34">
                  <w:pPr>
                    <w:spacing w:line="240" w:lineRule="auto"/>
                    <w:ind w:firstLine="0" w:firstLineChars="0"/>
                    <w:jc w:val="center"/>
                    <w:rPr>
                      <w:rFonts w:hint="default" w:ascii="Times New Roman" w:hAnsi="Times New Roman" w:eastAsia="宋体" w:cs="Times New Roman"/>
                      <w:color w:val="0000FF"/>
                      <w:sz w:val="21"/>
                      <w:szCs w:val="21"/>
                      <w:highlight w:val="none"/>
                    </w:rPr>
                  </w:pPr>
                  <w:r>
                    <w:rPr>
                      <w:rFonts w:hint="eastAsia" w:cs="Times New Roman"/>
                      <w:color w:val="0000FF"/>
                      <w:sz w:val="21"/>
                      <w:szCs w:val="21"/>
                      <w:highlight w:val="none"/>
                      <w:lang w:val="en-US" w:eastAsia="zh-CN"/>
                    </w:rPr>
                    <w:t>收集粉尘（回用）</w:t>
                  </w:r>
                </w:p>
              </w:tc>
              <w:tc>
                <w:tcPr>
                  <w:tcW w:w="656" w:type="pct"/>
                  <w:noWrap/>
                  <w:vAlign w:val="bottom"/>
                </w:tcPr>
                <w:p w14:paraId="390F8888">
                  <w:pPr>
                    <w:keepNext w:val="0"/>
                    <w:keepLines w:val="0"/>
                    <w:widowControl/>
                    <w:suppressLineNumbers w:val="0"/>
                    <w:jc w:val="center"/>
                    <w:textAlignment w:val="bottom"/>
                    <w:rPr>
                      <w:rFonts w:hint="default" w:ascii="Times New Roman" w:hAnsi="Times New Roman" w:eastAsia="宋体" w:cs="Times New Roman"/>
                      <w:color w:val="0000FF"/>
                      <w:sz w:val="21"/>
                      <w:szCs w:val="21"/>
                      <w:highlight w:val="none"/>
                      <w:lang w:val="en-US" w:eastAsia="zh-CN"/>
                    </w:rPr>
                  </w:pPr>
                  <w:r>
                    <w:rPr>
                      <w:rFonts w:hint="eastAsia" w:cs="Times New Roman"/>
                      <w:color w:val="0000FF"/>
                      <w:sz w:val="21"/>
                      <w:szCs w:val="21"/>
                      <w:highlight w:val="none"/>
                      <w:lang w:val="en-US" w:eastAsia="zh-CN"/>
                    </w:rPr>
                    <w:t>1.51</w:t>
                  </w:r>
                </w:p>
              </w:tc>
            </w:tr>
            <w:tr w14:paraId="1A5F8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298" w:type="pct"/>
                  <w:noWrap/>
                  <w:vAlign w:val="center"/>
                </w:tcPr>
                <w:p w14:paraId="090E191B">
                  <w:pPr>
                    <w:spacing w:line="240" w:lineRule="auto"/>
                    <w:ind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8</w:t>
                  </w:r>
                </w:p>
              </w:tc>
              <w:tc>
                <w:tcPr>
                  <w:tcW w:w="1350" w:type="pct"/>
                  <w:noWrap/>
                  <w:vAlign w:val="center"/>
                </w:tcPr>
                <w:p w14:paraId="25829B60">
                  <w:pPr>
                    <w:spacing w:line="240" w:lineRule="auto"/>
                    <w:ind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合计</w:t>
                  </w:r>
                </w:p>
              </w:tc>
              <w:tc>
                <w:tcPr>
                  <w:tcW w:w="846" w:type="pct"/>
                  <w:noWrap/>
                  <w:vAlign w:val="center"/>
                </w:tcPr>
                <w:p w14:paraId="505FEF6A">
                  <w:pPr>
                    <w:spacing w:line="240" w:lineRule="auto"/>
                    <w:ind w:firstLine="0" w:firstLineChars="0"/>
                    <w:jc w:val="center"/>
                    <w:rPr>
                      <w:rFonts w:hint="eastAsia" w:cs="Times New Roman"/>
                      <w:color w:val="0000FF"/>
                      <w:sz w:val="21"/>
                      <w:szCs w:val="21"/>
                      <w:highlight w:val="none"/>
                      <w:lang w:val="en-US" w:eastAsia="zh-CN"/>
                    </w:rPr>
                  </w:pPr>
                  <w:r>
                    <w:rPr>
                      <w:rFonts w:hint="default" w:cs="Times New Roman"/>
                      <w:color w:val="0000FF"/>
                      <w:sz w:val="21"/>
                      <w:szCs w:val="21"/>
                      <w:highlight w:val="none"/>
                      <w:lang w:val="en-US" w:eastAsia="zh-CN"/>
                    </w:rPr>
                    <w:t>1518.01</w:t>
                  </w:r>
                </w:p>
              </w:tc>
              <w:tc>
                <w:tcPr>
                  <w:tcW w:w="1849" w:type="pct"/>
                  <w:gridSpan w:val="2"/>
                  <w:noWrap/>
                  <w:vAlign w:val="center"/>
                </w:tcPr>
                <w:p w14:paraId="5751B2E8">
                  <w:pPr>
                    <w:spacing w:line="240" w:lineRule="auto"/>
                    <w:ind w:firstLine="0" w:firstLineChars="0"/>
                    <w:jc w:val="center"/>
                    <w:rPr>
                      <w:rFonts w:hint="default" w:cs="Times New Roman"/>
                      <w:color w:val="0000FF"/>
                      <w:sz w:val="21"/>
                      <w:szCs w:val="21"/>
                      <w:highlight w:val="none"/>
                      <w:lang w:val="en-US" w:eastAsia="zh-CN"/>
                    </w:rPr>
                  </w:pPr>
                  <w:r>
                    <w:rPr>
                      <w:rFonts w:hint="default" w:ascii="Times New Roman" w:hAnsi="Times New Roman" w:eastAsia="宋体" w:cs="Times New Roman"/>
                      <w:color w:val="auto"/>
                      <w:sz w:val="21"/>
                      <w:szCs w:val="21"/>
                      <w:highlight w:val="none"/>
                    </w:rPr>
                    <w:t>合计</w:t>
                  </w:r>
                </w:p>
              </w:tc>
              <w:tc>
                <w:tcPr>
                  <w:tcW w:w="656" w:type="pct"/>
                  <w:noWrap/>
                  <w:vAlign w:val="bottom"/>
                </w:tcPr>
                <w:p w14:paraId="128900A1">
                  <w:pPr>
                    <w:keepNext w:val="0"/>
                    <w:keepLines w:val="0"/>
                    <w:widowControl/>
                    <w:suppressLineNumbers w:val="0"/>
                    <w:jc w:val="center"/>
                    <w:textAlignment w:val="bottom"/>
                    <w:rPr>
                      <w:rFonts w:hint="eastAsia" w:cs="Times New Roman"/>
                      <w:i w:val="0"/>
                      <w:iCs w:val="0"/>
                      <w:color w:val="0000FF"/>
                      <w:kern w:val="0"/>
                      <w:sz w:val="21"/>
                      <w:szCs w:val="21"/>
                      <w:highlight w:val="none"/>
                      <w:u w:val="none"/>
                      <w:lang w:val="en-US" w:eastAsia="zh-CN" w:bidi="ar"/>
                    </w:rPr>
                  </w:pPr>
                  <w:r>
                    <w:rPr>
                      <w:rFonts w:hint="default" w:cs="Times New Roman"/>
                      <w:color w:val="0000FF"/>
                      <w:sz w:val="21"/>
                      <w:szCs w:val="21"/>
                      <w:highlight w:val="none"/>
                      <w:lang w:val="en-US" w:eastAsia="zh-CN"/>
                    </w:rPr>
                    <w:t>1518.01</w:t>
                  </w:r>
                </w:p>
              </w:tc>
            </w:tr>
          </w:tbl>
          <w:p w14:paraId="619EDFF3">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48BAB240">
            <w:pPr>
              <w:pStyle w:val="10"/>
              <w:rPr>
                <w:rFonts w:hint="eastAsia"/>
                <w:lang w:val="en-US" w:eastAsia="zh-CN"/>
              </w:rPr>
            </w:pPr>
          </w:p>
          <w:p w14:paraId="2F8B4AB4">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522FA572">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sz w:val="21"/>
              </w:rPr>
              <mc:AlternateContent>
                <mc:Choice Requires="wpg">
                  <w:drawing>
                    <wp:anchor distT="0" distB="0" distL="114300" distR="114300" simplePos="0" relativeHeight="251672576" behindDoc="0" locked="0" layoutInCell="1" allowOverlap="1">
                      <wp:simplePos x="0" y="0"/>
                      <wp:positionH relativeFrom="column">
                        <wp:posOffset>459740</wp:posOffset>
                      </wp:positionH>
                      <wp:positionV relativeFrom="paragraph">
                        <wp:posOffset>20320</wp:posOffset>
                      </wp:positionV>
                      <wp:extent cx="4556125" cy="4159250"/>
                      <wp:effectExtent l="0" t="0" r="0" b="11430"/>
                      <wp:wrapNone/>
                      <wp:docPr id="101" name="组合 101"/>
                      <wp:cNvGraphicFramePr/>
                      <a:graphic xmlns:a="http://schemas.openxmlformats.org/drawingml/2006/main">
                        <a:graphicData uri="http://schemas.microsoft.com/office/word/2010/wordprocessingGroup">
                          <wpg:wgp>
                            <wpg:cNvGrpSpPr/>
                            <wpg:grpSpPr>
                              <a:xfrm>
                                <a:off x="0" y="0"/>
                                <a:ext cx="4556125" cy="4158983"/>
                                <a:chOff x="3399" y="635875"/>
                                <a:chExt cx="7175" cy="6550"/>
                              </a:xfrm>
                            </wpg:grpSpPr>
                            <wpg:grpSp>
                              <wpg:cNvPr id="100" name="组合 100"/>
                              <wpg:cNvGrpSpPr/>
                              <wpg:grpSpPr>
                                <a:xfrm>
                                  <a:off x="3399" y="635875"/>
                                  <a:ext cx="7175" cy="6550"/>
                                  <a:chOff x="3399" y="635875"/>
                                  <a:chExt cx="7175" cy="6550"/>
                                </a:xfrm>
                              </wpg:grpSpPr>
                              <wpg:grpSp>
                                <wpg:cNvPr id="99" name="组合 99"/>
                                <wpg:cNvGrpSpPr/>
                                <wpg:grpSpPr>
                                  <a:xfrm>
                                    <a:off x="3399" y="635875"/>
                                    <a:ext cx="7175" cy="6550"/>
                                    <a:chOff x="3399" y="635875"/>
                                    <a:chExt cx="7175" cy="6550"/>
                                  </a:xfrm>
                                </wpg:grpSpPr>
                                <wps:wsp>
                                  <wps:cNvPr id="72" name="直接连接符 72"/>
                                  <wps:cNvCnPr/>
                                  <wps:spPr>
                                    <a:xfrm flipH="1">
                                      <a:off x="6896" y="637062"/>
                                      <a:ext cx="1404" cy="3"/>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cNvPr id="98" name="组合 98"/>
                                  <wpg:cNvGrpSpPr/>
                                  <wpg:grpSpPr>
                                    <a:xfrm>
                                      <a:off x="3399" y="635875"/>
                                      <a:ext cx="7175" cy="6550"/>
                                      <a:chOff x="3399" y="635875"/>
                                      <a:chExt cx="7175" cy="6550"/>
                                    </a:xfrm>
                                  </wpg:grpSpPr>
                                  <wpg:grpSp>
                                    <wpg:cNvPr id="14" name="组合 14"/>
                                    <wpg:cNvGrpSpPr/>
                                    <wpg:grpSpPr>
                                      <a:xfrm>
                                        <a:off x="3399" y="635875"/>
                                        <a:ext cx="7175" cy="6550"/>
                                        <a:chOff x="3399" y="653358"/>
                                        <a:chExt cx="7175" cy="6550"/>
                                      </a:xfrm>
                                    </wpg:grpSpPr>
                                    <wps:wsp>
                                      <wps:cNvPr id="8" name="直接连接符 256"/>
                                      <wps:cNvCnPr/>
                                      <wps:spPr>
                                        <a:xfrm flipH="1" flipV="1">
                                          <a:off x="4664" y="657366"/>
                                          <a:ext cx="1302" cy="4"/>
                                        </a:xfrm>
                                        <a:prstGeom prst="line">
                                          <a:avLst/>
                                        </a:prstGeom>
                                        <a:ln w="12700" cap="flat" cmpd="sng">
                                          <a:solidFill>
                                            <a:srgbClr val="000000"/>
                                          </a:solidFill>
                                          <a:prstDash val="dashDot"/>
                                          <a:headEnd type="none" w="med" len="med"/>
                                          <a:tailEnd type="triangle" w="med" len="med"/>
                                        </a:ln>
                                      </wps:spPr>
                                      <wps:bodyPr upright="1"/>
                                    </wps:wsp>
                                    <wps:wsp>
                                      <wps:cNvPr id="15" name="矩形 255"/>
                                      <wps:cNvSpPr/>
                                      <wps:spPr>
                                        <a:xfrm>
                                          <a:off x="3399" y="657014"/>
                                          <a:ext cx="1287" cy="1056"/>
                                        </a:xfrm>
                                        <a:prstGeom prst="rect">
                                          <a:avLst/>
                                        </a:prstGeom>
                                        <a:noFill/>
                                        <a:ln>
                                          <a:noFill/>
                                        </a:ln>
                                      </wps:spPr>
                                      <wps:txbx>
                                        <w:txbxContent>
                                          <w:p w14:paraId="12729C6C">
                                            <w:pPr>
                                              <w:keepNext w:val="0"/>
                                              <w:keepLines w:val="0"/>
                                              <w:pageBreakBefore w:val="0"/>
                                              <w:widowControl w:val="0"/>
                                              <w:kinsoku/>
                                              <w:wordWrap/>
                                              <w:overflowPunct/>
                                              <w:topLinePunct w:val="0"/>
                                              <w:autoSpaceDE/>
                                              <w:autoSpaceDN/>
                                              <w:bidi w:val="0"/>
                                              <w:adjustRightInd/>
                                              <w:snapToGrid/>
                                              <w:spacing w:line="240" w:lineRule="auto"/>
                                              <w:ind w:firstLine="0"/>
                                              <w:jc w:val="both"/>
                                              <w:textAlignment w:val="auto"/>
                                              <w:rPr>
                                                <w:rFonts w:hint="default" w:cs="Times New Roman"/>
                                                <w:sz w:val="18"/>
                                                <w:szCs w:val="18"/>
                                                <w:lang w:val="en-US" w:eastAsia="zh-CN"/>
                                              </w:rPr>
                                            </w:pPr>
                                            <w:r>
                                              <w:rPr>
                                                <w:rFonts w:hint="default" w:ascii="Times New Roman" w:hAnsi="Times New Roman" w:eastAsia="宋体" w:cs="Times New Roman"/>
                                                <w:sz w:val="18"/>
                                                <w:szCs w:val="18"/>
                                                <w:lang w:val="en-US" w:eastAsia="zh-CN"/>
                                              </w:rPr>
                                              <w:t>颗粒物：</w:t>
                                            </w:r>
                                            <w:r>
                                              <w:rPr>
                                                <w:rFonts w:hint="eastAsia" w:cs="Times New Roman"/>
                                                <w:sz w:val="18"/>
                                                <w:szCs w:val="18"/>
                                                <w:lang w:val="en-US" w:eastAsia="zh-CN"/>
                                              </w:rPr>
                                              <w:t>24.832</w:t>
                                            </w:r>
                                          </w:p>
                                          <w:p w14:paraId="2849B804">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cs="Times New Roman"/>
                                                <w:sz w:val="18"/>
                                                <w:szCs w:val="18"/>
                                                <w:lang w:val="en-US" w:eastAsia="zh-CN"/>
                                              </w:rPr>
                                            </w:pPr>
                                            <w:r>
                                              <w:rPr>
                                                <w:rFonts w:hint="eastAsia" w:cs="Times New Roman"/>
                                                <w:sz w:val="18"/>
                                                <w:szCs w:val="18"/>
                                                <w:lang w:val="en-US" w:eastAsia="zh-CN"/>
                                              </w:rPr>
                                              <w:t>水蒸气</w:t>
                                            </w:r>
                                            <w:r>
                                              <w:rPr>
                                                <w:rFonts w:hint="eastAsia" w:cs="Times New Roman"/>
                                                <w:color w:val="auto"/>
                                                <w:sz w:val="18"/>
                                                <w:szCs w:val="18"/>
                                                <w:lang w:val="en-US" w:eastAsia="zh-CN"/>
                                              </w:rPr>
                                              <w:t>：1115</w:t>
                                            </w:r>
                                          </w:p>
                                        </w:txbxContent>
                                      </wps:txbx>
                                      <wps:bodyPr upright="1"/>
                                    </wps:wsp>
                                    <wpg:grpSp>
                                      <wpg:cNvPr id="93" name="组合 93"/>
                                      <wpg:cNvGrpSpPr/>
                                      <wpg:grpSpPr>
                                        <a:xfrm>
                                          <a:off x="5691" y="653358"/>
                                          <a:ext cx="4883" cy="6550"/>
                                          <a:chOff x="6740" y="636600"/>
                                          <a:chExt cx="4883" cy="6550"/>
                                        </a:xfrm>
                                      </wpg:grpSpPr>
                                      <wps:wsp>
                                        <wps:cNvPr id="44" name="直接连接符 44"/>
                                        <wps:cNvCnPr/>
                                        <wps:spPr>
                                          <a:xfrm>
                                            <a:off x="9361" y="638462"/>
                                            <a:ext cx="0" cy="813"/>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92" name="组合 92"/>
                                        <wpg:cNvGrpSpPr/>
                                        <wpg:grpSpPr>
                                          <a:xfrm>
                                            <a:off x="6740" y="636600"/>
                                            <a:ext cx="4883" cy="6550"/>
                                            <a:chOff x="6740" y="636600"/>
                                            <a:chExt cx="4883" cy="6550"/>
                                          </a:xfrm>
                                        </wpg:grpSpPr>
                                        <wpg:grpSp>
                                          <wpg:cNvPr id="4" name="组合 4"/>
                                          <wpg:cNvGrpSpPr/>
                                          <wpg:grpSpPr>
                                            <a:xfrm>
                                              <a:off x="6740" y="636600"/>
                                              <a:ext cx="4883" cy="6550"/>
                                              <a:chOff x="6740" y="636600"/>
                                              <a:chExt cx="4883" cy="6550"/>
                                            </a:xfrm>
                                          </wpg:grpSpPr>
                                          <wpg:grpSp>
                                            <wpg:cNvPr id="883" name="组合 883"/>
                                            <wpg:cNvGrpSpPr/>
                                            <wpg:grpSpPr>
                                              <a:xfrm>
                                                <a:off x="6740" y="636600"/>
                                                <a:ext cx="4883" cy="6550"/>
                                                <a:chOff x="12119" y="605201"/>
                                                <a:chExt cx="3766" cy="6577"/>
                                              </a:xfrm>
                                            </wpg:grpSpPr>
                                            <wps:wsp>
                                              <wps:cNvPr id="884" name="矩形 215"/>
                                              <wps:cNvSpPr/>
                                              <wps:spPr>
                                                <a:xfrm>
                                                  <a:off x="12348" y="606807"/>
                                                  <a:ext cx="1318" cy="44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736C98">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反应釜</w:t>
                                                    </w:r>
                                                  </w:p>
                                                </w:txbxContent>
                                              </wps:txbx>
                                              <wps:bodyPr upright="1"/>
                                            </wps:wsp>
                                            <wps:wsp>
                                              <wps:cNvPr id="885" name="矩形 216"/>
                                              <wps:cNvSpPr/>
                                              <wps:spPr>
                                                <a:xfrm>
                                                  <a:off x="12334" y="607876"/>
                                                  <a:ext cx="1304" cy="44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465E10">
                                                    <w:pPr>
                                                      <w:jc w:val="center"/>
                                                      <w:rPr>
                                                        <w:rFonts w:hint="default" w:ascii="Times New Roman" w:hAnsi="Times New Roman" w:eastAsia="宋体" w:cs="Times New Roman"/>
                                                        <w:sz w:val="21"/>
                                                        <w:szCs w:val="21"/>
                                                        <w:lang w:eastAsia="zh-CN"/>
                                                      </w:rPr>
                                                    </w:pPr>
                                                    <w:r>
                                                      <w:rPr>
                                                        <w:rFonts w:hint="eastAsia" w:cs="Times New Roman"/>
                                                        <w:sz w:val="21"/>
                                                        <w:szCs w:val="21"/>
                                                        <w:lang w:val="en-US" w:eastAsia="zh-CN"/>
                                                      </w:rPr>
                                                      <w:t>离心、</w:t>
                                                    </w:r>
                                                    <w:r>
                                                      <w:rPr>
                                                        <w:rFonts w:hint="default" w:ascii="Times New Roman" w:hAnsi="Times New Roman" w:eastAsia="宋体" w:cs="Times New Roman"/>
                                                        <w:sz w:val="21"/>
                                                        <w:szCs w:val="21"/>
                                                        <w:lang w:eastAsia="zh-CN"/>
                                                      </w:rPr>
                                                      <w:t>过滤</w:t>
                                                    </w:r>
                                                  </w:p>
                                                </w:txbxContent>
                                              </wps:txbx>
                                              <wps:bodyPr upright="1"/>
                                            </wps:wsp>
                                            <wps:wsp>
                                              <wps:cNvPr id="886" name="矩形 217"/>
                                              <wps:cNvSpPr/>
                                              <wps:spPr>
                                                <a:xfrm>
                                                  <a:off x="12326" y="609056"/>
                                                  <a:ext cx="1325" cy="44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053E3D">
                                                    <w:pPr>
                                                      <w:jc w:val="center"/>
                                                      <w:rPr>
                                                        <w:rFonts w:hint="default" w:ascii="Times New Roman" w:hAnsi="Times New Roman" w:eastAsia="宋体" w:cs="Times New Roman"/>
                                                        <w:sz w:val="21"/>
                                                        <w:szCs w:val="21"/>
                                                        <w:lang w:val="en-US" w:eastAsia="zh-CN"/>
                                                      </w:rPr>
                                                    </w:pPr>
                                                    <w:r>
                                                      <w:rPr>
                                                        <w:rFonts w:hint="eastAsia" w:cs="Times New Roman"/>
                                                        <w:sz w:val="21"/>
                                                        <w:szCs w:val="21"/>
                                                        <w:lang w:val="en-US" w:eastAsia="zh-CN"/>
                                                      </w:rPr>
                                                      <w:t>喷雾干燥</w:t>
                                                    </w:r>
                                                  </w:p>
                                                </w:txbxContent>
                                              </wps:txbx>
                                              <wps:bodyPr upright="1"/>
                                            </wps:wsp>
                                            <wps:wsp>
                                              <wps:cNvPr id="887" name="矩形 218"/>
                                              <wps:cNvSpPr/>
                                              <wps:spPr>
                                                <a:xfrm>
                                                  <a:off x="12348" y="609994"/>
                                                  <a:ext cx="1304" cy="44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C090F9">
                                                    <w:pPr>
                                                      <w:jc w:val="center"/>
                                                      <w:rPr>
                                                        <w:rFonts w:hint="default" w:ascii="Times New Roman" w:hAnsi="Times New Roman" w:eastAsia="宋体" w:cs="Times New Roman"/>
                                                        <w:sz w:val="21"/>
                                                        <w:szCs w:val="21"/>
                                                        <w:lang w:val="en-US" w:eastAsia="zh-CN"/>
                                                      </w:rPr>
                                                    </w:pPr>
                                                    <w:r>
                                                      <w:rPr>
                                                        <w:rFonts w:hint="eastAsia" w:cs="Times New Roman"/>
                                                        <w:sz w:val="21"/>
                                                        <w:szCs w:val="21"/>
                                                        <w:lang w:val="en-US" w:eastAsia="zh-CN"/>
                                                      </w:rPr>
                                                      <w:t>粉碎、灌装</w:t>
                                                    </w:r>
                                                  </w:p>
                                                </w:txbxContent>
                                              </wps:txbx>
                                              <wps:bodyPr upright="1"/>
                                            </wps:wsp>
                                            <wps:wsp>
                                              <wps:cNvPr id="889" name="矩形 220"/>
                                              <wps:cNvSpPr/>
                                              <wps:spPr>
                                                <a:xfrm>
                                                  <a:off x="12361" y="611120"/>
                                                  <a:ext cx="1562" cy="65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9D0E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甘氨酸亚铁成品300</w:t>
                                                    </w:r>
                                                  </w:p>
                                                </w:txbxContent>
                                              </wps:txbx>
                                              <wps:bodyPr upright="1"/>
                                            </wps:wsp>
                                            <wps:wsp>
                                              <wps:cNvPr id="891" name="直接连接符 223"/>
                                              <wps:cNvCnPr>
                                                <a:stCxn id="884" idx="2"/>
                                              </wps:cNvCnPr>
                                              <wps:spPr>
                                                <a:xfrm flipH="1">
                                                  <a:off x="12998" y="607248"/>
                                                  <a:ext cx="8" cy="601"/>
                                                </a:xfrm>
                                                <a:prstGeom prst="line">
                                                  <a:avLst/>
                                                </a:prstGeom>
                                                <a:ln w="12700" cap="flat" cmpd="sng">
                                                  <a:solidFill>
                                                    <a:srgbClr val="000000"/>
                                                  </a:solidFill>
                                                  <a:prstDash val="solid"/>
                                                  <a:headEnd type="none" w="med" len="med"/>
                                                  <a:tailEnd type="triangle" w="med" len="med"/>
                                                </a:ln>
                                              </wps:spPr>
                                              <wps:bodyPr upright="1"/>
                                            </wps:wsp>
                                            <wps:wsp>
                                              <wps:cNvPr id="892" name="直接连接符 224"/>
                                              <wps:cNvCnPr>
                                                <a:endCxn id="886" idx="0"/>
                                              </wps:cNvCnPr>
                                              <wps:spPr>
                                                <a:xfrm>
                                                  <a:off x="12978" y="608324"/>
                                                  <a:ext cx="10" cy="732"/>
                                                </a:xfrm>
                                                <a:prstGeom prst="line">
                                                  <a:avLst/>
                                                </a:prstGeom>
                                                <a:ln w="12700" cap="flat" cmpd="sng">
                                                  <a:solidFill>
                                                    <a:srgbClr val="000000"/>
                                                  </a:solidFill>
                                                  <a:prstDash val="solid"/>
                                                  <a:headEnd type="none" w="med" len="med"/>
                                                  <a:tailEnd type="triangle" w="med" len="med"/>
                                                </a:ln>
                                              </wps:spPr>
                                              <wps:bodyPr upright="1"/>
                                            </wps:wsp>
                                            <wps:wsp>
                                              <wps:cNvPr id="894" name="直接连接符 226"/>
                                              <wps:cNvCnPr/>
                                              <wps:spPr>
                                                <a:xfrm flipH="1">
                                                  <a:off x="13038" y="610474"/>
                                                  <a:ext cx="4" cy="621"/>
                                                </a:xfrm>
                                                <a:prstGeom prst="line">
                                                  <a:avLst/>
                                                </a:prstGeom>
                                                <a:ln w="12700" cap="flat" cmpd="sng">
                                                  <a:solidFill>
                                                    <a:srgbClr val="000000"/>
                                                  </a:solidFill>
                                                  <a:prstDash val="solid"/>
                                                  <a:headEnd type="none" w="med" len="med"/>
                                                  <a:tailEnd type="triangle" w="med" len="med"/>
                                                </a:ln>
                                              </wps:spPr>
                                              <wps:bodyPr upright="1"/>
                                            </wps:wsp>
                                            <wps:wsp>
                                              <wps:cNvPr id="895" name="直接连接符 227"/>
                                              <wps:cNvCnPr>
                                                <a:endCxn id="887" idx="0"/>
                                              </wps:cNvCnPr>
                                              <wps:spPr>
                                                <a:xfrm>
                                                  <a:off x="12999" y="609502"/>
                                                  <a:ext cx="1" cy="492"/>
                                                </a:xfrm>
                                                <a:prstGeom prst="line">
                                                  <a:avLst/>
                                                </a:prstGeom>
                                                <a:ln w="12700" cap="flat" cmpd="sng">
                                                  <a:solidFill>
                                                    <a:srgbClr val="000000"/>
                                                  </a:solidFill>
                                                  <a:prstDash val="solid"/>
                                                  <a:headEnd type="none" w="med" len="med"/>
                                                  <a:tailEnd type="triangle" w="med" len="med"/>
                                                </a:ln>
                                              </wps:spPr>
                                              <wps:bodyPr upright="1"/>
                                            </wps:wsp>
                                            <wps:wsp>
                                              <wps:cNvPr id="905" name="矩形 245"/>
                                              <wps:cNvSpPr/>
                                              <wps:spPr>
                                                <a:xfrm>
                                                  <a:off x="12119" y="605201"/>
                                                  <a:ext cx="1392" cy="1228"/>
                                                </a:xfrm>
                                                <a:prstGeom prst="rect">
                                                  <a:avLst/>
                                                </a:prstGeom>
                                                <a:noFill/>
                                                <a:ln>
                                                  <a:noFill/>
                                                </a:ln>
                                              </wps:spPr>
                                              <wps:txbx>
                                                <w:txbxContent>
                                                  <w:p w14:paraId="0B811672">
                                                    <w:pPr>
                                                      <w:pStyle w:val="10"/>
                                                      <w:keepNext w:val="0"/>
                                                      <w:keepLines w:val="0"/>
                                                      <w:pageBreakBefore w:val="0"/>
                                                      <w:widowControl w:val="0"/>
                                                      <w:kinsoku/>
                                                      <w:wordWrap/>
                                                      <w:overflowPunct/>
                                                      <w:topLinePunct w:val="0"/>
                                                      <w:autoSpaceDE/>
                                                      <w:autoSpaceDN/>
                                                      <w:bidi w:val="0"/>
                                                      <w:snapToGrid w:val="0"/>
                                                      <w:spacing w:line="240" w:lineRule="auto"/>
                                                      <w:ind w:firstLine="0"/>
                                                      <w:jc w:val="left"/>
                                                      <w:rPr>
                                                        <w:rFonts w:hint="default" w:ascii="Times New Roman" w:hAnsi="Times New Roman" w:eastAsia="宋体" w:cs="Times New Roman"/>
                                                        <w:b w:val="0"/>
                                                        <w:bCs w:val="0"/>
                                                        <w:sz w:val="18"/>
                                                        <w:szCs w:val="18"/>
                                                        <w:lang w:val="en-US" w:eastAsia="zh-CN"/>
                                                      </w:rPr>
                                                    </w:pPr>
                                                    <w:r>
                                                      <w:rPr>
                                                        <w:rFonts w:hint="default" w:ascii="Times New Roman" w:hAnsi="Times New Roman" w:eastAsia="宋体" w:cs="Times New Roman"/>
                                                        <w:b w:val="0"/>
                                                        <w:bCs w:val="0"/>
                                                        <w:sz w:val="18"/>
                                                        <w:szCs w:val="18"/>
                                                        <w:lang w:val="en-US" w:eastAsia="zh-CN"/>
                                                      </w:rPr>
                                                      <w:t>甘氨酸</w:t>
                                                    </w:r>
                                                    <w:r>
                                                      <w:rPr>
                                                        <w:rFonts w:hint="eastAsia" w:eastAsia="宋体" w:cs="Times New Roman"/>
                                                        <w:b w:val="0"/>
                                                        <w:bCs w:val="0"/>
                                                        <w:sz w:val="18"/>
                                                        <w:szCs w:val="18"/>
                                                        <w:lang w:val="en-US" w:eastAsia="zh-CN"/>
                                                      </w:rPr>
                                                      <w:t>189.3</w:t>
                                                    </w:r>
                                                  </w:p>
                                                  <w:p w14:paraId="7816E99E">
                                                    <w:pPr>
                                                      <w:pStyle w:val="6"/>
                                                      <w:keepNext w:val="0"/>
                                                      <w:keepLines w:val="0"/>
                                                      <w:pageBreakBefore w:val="0"/>
                                                      <w:widowControl w:val="0"/>
                                                      <w:numPr>
                                                        <w:ilvl w:val="3"/>
                                                        <w:numId w:val="0"/>
                                                      </w:numPr>
                                                      <w:kinsoku/>
                                                      <w:wordWrap/>
                                                      <w:overflowPunct/>
                                                      <w:topLinePunct w:val="0"/>
                                                      <w:autoSpaceDE/>
                                                      <w:autoSpaceDN/>
                                                      <w:bidi w:val="0"/>
                                                      <w:snapToGrid w:val="0"/>
                                                      <w:spacing w:line="240" w:lineRule="auto"/>
                                                      <w:ind w:leftChars="0"/>
                                                      <w:jc w:val="left"/>
                                                      <w:rPr>
                                                        <w:rFonts w:hint="default" w:cs="Times New Roman"/>
                                                        <w:b w:val="0"/>
                                                        <w:bCs w:val="0"/>
                                                        <w:sz w:val="18"/>
                                                        <w:szCs w:val="18"/>
                                                        <w:lang w:val="en-US" w:eastAsia="zh-CN"/>
                                                      </w:rPr>
                                                    </w:pPr>
                                                    <w:r>
                                                      <w:rPr>
                                                        <w:rFonts w:hint="eastAsia" w:cs="Times New Roman"/>
                                                        <w:b w:val="0"/>
                                                        <w:bCs w:val="0"/>
                                                        <w:sz w:val="18"/>
                                                        <w:szCs w:val="18"/>
                                                        <w:lang w:val="en-US" w:eastAsia="zh-CN"/>
                                                      </w:rPr>
                                                      <w:t>柠檬酸16</w:t>
                                                    </w:r>
                                                  </w:p>
                                                  <w:p w14:paraId="56B7CBC0">
                                                    <w:pPr>
                                                      <w:pStyle w:val="10"/>
                                                      <w:keepNext w:val="0"/>
                                                      <w:keepLines w:val="0"/>
                                                      <w:pageBreakBefore w:val="0"/>
                                                      <w:widowControl w:val="0"/>
                                                      <w:kinsoku/>
                                                      <w:wordWrap/>
                                                      <w:overflowPunct/>
                                                      <w:topLinePunct w:val="0"/>
                                                      <w:autoSpaceDE/>
                                                      <w:autoSpaceDN/>
                                                      <w:bidi w:val="0"/>
                                                      <w:snapToGrid w:val="0"/>
                                                      <w:spacing w:line="240" w:lineRule="auto"/>
                                                      <w:ind w:firstLine="0"/>
                                                      <w:jc w:val="left"/>
                                                      <w:rPr>
                                                        <w:rFonts w:hint="default" w:ascii="Times New Roman" w:hAnsi="Times New Roman" w:eastAsia="宋体" w:cs="Times New Roman"/>
                                                        <w:b w:val="0"/>
                                                        <w:bCs w:val="0"/>
                                                        <w:sz w:val="18"/>
                                                        <w:szCs w:val="18"/>
                                                        <w:lang w:val="en-US" w:eastAsia="zh-CN"/>
                                                      </w:rPr>
                                                    </w:pPr>
                                                    <w:r>
                                                      <w:rPr>
                                                        <w:rFonts w:hint="eastAsia" w:ascii="Times New Roman" w:hAnsi="Times New Roman" w:eastAsia="宋体" w:cs="Times New Roman"/>
                                                        <w:b w:val="0"/>
                                                        <w:bCs w:val="0"/>
                                                        <w:sz w:val="18"/>
                                                        <w:szCs w:val="18"/>
                                                        <w:lang w:val="en-US" w:eastAsia="zh-CN"/>
                                                      </w:rPr>
                                                      <w:t>维生素C</w:t>
                                                    </w:r>
                                                    <w:r>
                                                      <w:rPr>
                                                        <w:rFonts w:hint="eastAsia" w:eastAsia="宋体" w:cs="Times New Roman"/>
                                                        <w:b w:val="0"/>
                                                        <w:bCs w:val="0"/>
                                                        <w:sz w:val="18"/>
                                                        <w:szCs w:val="18"/>
                                                        <w:lang w:val="en-US" w:eastAsia="zh-CN"/>
                                                      </w:rPr>
                                                      <w:t xml:space="preserve"> 8.6</w:t>
                                                    </w:r>
                                                  </w:p>
                                                  <w:p w14:paraId="01793BF9">
                                                    <w:pPr>
                                                      <w:keepNext w:val="0"/>
                                                      <w:keepLines w:val="0"/>
                                                      <w:pageBreakBefore w:val="0"/>
                                                      <w:widowControl w:val="0"/>
                                                      <w:kinsoku/>
                                                      <w:wordWrap/>
                                                      <w:overflowPunct/>
                                                      <w:topLinePunct w:val="0"/>
                                                      <w:bidi w:val="0"/>
                                                      <w:adjustRightInd/>
                                                      <w:snapToGrid/>
                                                      <w:spacing w:line="240" w:lineRule="auto"/>
                                                      <w:ind w:firstLine="0"/>
                                                      <w:jc w:val="left"/>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还原铁粉</w:t>
                                                    </w:r>
                                                    <w:r>
                                                      <w:rPr>
                                                        <w:rFonts w:hint="eastAsia" w:cs="Times New Roman"/>
                                                        <w:color w:val="auto"/>
                                                        <w:sz w:val="18"/>
                                                        <w:szCs w:val="18"/>
                                                        <w:lang w:val="en-US" w:eastAsia="zh-CN"/>
                                                      </w:rPr>
                                                      <w:t>70.6</w:t>
                                                    </w:r>
                                                  </w:p>
                                                </w:txbxContent>
                                              </wps:txbx>
                                              <wps:bodyPr upright="1"/>
                                            </wps:wsp>
                                            <wps:wsp>
                                              <wps:cNvPr id="906" name="直接连接符 246"/>
                                              <wps:cNvCnPr/>
                                              <wps:spPr>
                                                <a:xfrm flipH="1">
                                                  <a:off x="12784" y="606313"/>
                                                  <a:ext cx="1" cy="496"/>
                                                </a:xfrm>
                                                <a:prstGeom prst="line">
                                                  <a:avLst/>
                                                </a:prstGeom>
                                                <a:ln w="12700" cap="flat" cmpd="sng">
                                                  <a:solidFill>
                                                    <a:srgbClr val="000000"/>
                                                  </a:solidFill>
                                                  <a:prstDash val="solid"/>
                                                  <a:headEnd type="none" w="med" len="med"/>
                                                  <a:tailEnd type="triangle" w="med" len="med"/>
                                                </a:ln>
                                              </wps:spPr>
                                              <wps:bodyPr upright="1"/>
                                            </wps:wsp>
                                            <wps:wsp>
                                              <wps:cNvPr id="907" name="直接连接符 251"/>
                                              <wps:cNvCnPr/>
                                              <wps:spPr>
                                                <a:xfrm flipV="1">
                                                  <a:off x="13693" y="606854"/>
                                                  <a:ext cx="673" cy="7"/>
                                                </a:xfrm>
                                                <a:prstGeom prst="line">
                                                  <a:avLst/>
                                                </a:prstGeom>
                                                <a:ln w="12700" cap="flat" cmpd="sng">
                                                  <a:solidFill>
                                                    <a:srgbClr val="000000"/>
                                                  </a:solidFill>
                                                  <a:prstDash val="dashDot"/>
                                                  <a:headEnd type="none" w="med" len="med"/>
                                                  <a:tailEnd type="triangle" w="med" len="med"/>
                                                </a:ln>
                                              </wps:spPr>
                                              <wps:bodyPr upright="1"/>
                                            </wps:wsp>
                                            <wps:wsp>
                                              <wps:cNvPr id="908" name="矩形 252"/>
                                              <wps:cNvSpPr/>
                                              <wps:spPr>
                                                <a:xfrm>
                                                  <a:off x="14029" y="606492"/>
                                                  <a:ext cx="1569" cy="768"/>
                                                </a:xfrm>
                                                <a:prstGeom prst="rect">
                                                  <a:avLst/>
                                                </a:prstGeom>
                                                <a:noFill/>
                                                <a:ln>
                                                  <a:noFill/>
                                                </a:ln>
                                              </wps:spPr>
                                              <wps:txbx>
                                                <w:txbxContent>
                                                  <w:p w14:paraId="637ED9DC">
                                                    <w:pPr>
                                                      <w:keepNext w:val="0"/>
                                                      <w:keepLines w:val="0"/>
                                                      <w:pageBreakBefore w:val="0"/>
                                                      <w:widowControl w:val="0"/>
                                                      <w:kinsoku/>
                                                      <w:wordWrap/>
                                                      <w:overflowPunct/>
                                                      <w:topLinePunct w:val="0"/>
                                                      <w:autoSpaceDE/>
                                                      <w:autoSpaceDN/>
                                                      <w:bidi w:val="0"/>
                                                      <w:adjustRightInd/>
                                                      <w:spacing w:line="240" w:lineRule="auto"/>
                                                      <w:jc w:val="center"/>
                                                      <w:textAlignment w:val="auto"/>
                                                      <w:rPr>
                                                        <w:rFonts w:hint="eastAsia" w:cs="Times New Roman"/>
                                                        <w:sz w:val="15"/>
                                                        <w:szCs w:val="15"/>
                                                        <w:lang w:val="en-US" w:eastAsia="zh-CN"/>
                                                      </w:rPr>
                                                    </w:pPr>
                                                    <w:r>
                                                      <w:rPr>
                                                        <w:rFonts w:hint="default" w:ascii="Times New Roman" w:hAnsi="Times New Roman" w:eastAsia="宋体" w:cs="Times New Roman"/>
                                                        <w:sz w:val="15"/>
                                                        <w:szCs w:val="15"/>
                                                        <w:lang w:val="en-US" w:eastAsia="zh-CN"/>
                                                      </w:rPr>
                                                      <w:t>颗粒物</w:t>
                                                    </w:r>
                                                    <w:r>
                                                      <w:rPr>
                                                        <w:rFonts w:hint="eastAsia" w:cs="Times New Roman"/>
                                                        <w:sz w:val="15"/>
                                                        <w:szCs w:val="15"/>
                                                        <w:lang w:val="en-US" w:eastAsia="zh-CN"/>
                                                      </w:rPr>
                                                      <w:t>：0.114</w:t>
                                                    </w:r>
                                                  </w:p>
                                                  <w:p w14:paraId="2EA2B1B9">
                                                    <w:pPr>
                                                      <w:pStyle w:val="6"/>
                                                      <w:keepNext w:val="0"/>
                                                      <w:keepLines w:val="0"/>
                                                      <w:pageBreakBefore w:val="0"/>
                                                      <w:widowControl w:val="0"/>
                                                      <w:numPr>
                                                        <w:ilvl w:val="3"/>
                                                        <w:numId w:val="0"/>
                                                      </w:numPr>
                                                      <w:kinsoku/>
                                                      <w:wordWrap/>
                                                      <w:overflowPunct/>
                                                      <w:topLinePunct w:val="0"/>
                                                      <w:autoSpaceDE/>
                                                      <w:autoSpaceDN/>
                                                      <w:bidi w:val="0"/>
                                                      <w:adjustRightInd/>
                                                      <w:spacing w:line="240" w:lineRule="auto"/>
                                                      <w:ind w:leftChars="0" w:firstLine="450" w:firstLineChars="300"/>
                                                      <w:jc w:val="both"/>
                                                      <w:textAlignment w:val="auto"/>
                                                      <w:rPr>
                                                        <w:rFonts w:hint="eastAsia" w:cs="Times New Roman"/>
                                                        <w:b w:val="0"/>
                                                        <w:bCs w:val="0"/>
                                                        <w:sz w:val="15"/>
                                                        <w:szCs w:val="15"/>
                                                        <w:lang w:val="en-US" w:eastAsia="zh-CN"/>
                                                      </w:rPr>
                                                    </w:pPr>
                                                    <w:r>
                                                      <w:rPr>
                                                        <w:rFonts w:hint="eastAsia" w:cs="Times New Roman"/>
                                                        <w:b w:val="0"/>
                                                        <w:bCs w:val="0"/>
                                                        <w:sz w:val="15"/>
                                                        <w:szCs w:val="15"/>
                                                        <w:lang w:val="en-US" w:eastAsia="zh-CN"/>
                                                      </w:rPr>
                                                      <w:t>氢气：2.5</w:t>
                                                    </w:r>
                                                  </w:p>
                                                  <w:p w14:paraId="0DF5A7B7">
                                                    <w:pPr>
                                                      <w:pStyle w:val="6"/>
                                                      <w:keepNext w:val="0"/>
                                                      <w:keepLines w:val="0"/>
                                                      <w:pageBreakBefore w:val="0"/>
                                                      <w:widowControl w:val="0"/>
                                                      <w:numPr>
                                                        <w:ilvl w:val="3"/>
                                                        <w:numId w:val="0"/>
                                                      </w:numPr>
                                                      <w:kinsoku/>
                                                      <w:wordWrap/>
                                                      <w:overflowPunct/>
                                                      <w:topLinePunct w:val="0"/>
                                                      <w:autoSpaceDE/>
                                                      <w:autoSpaceDN/>
                                                      <w:bidi w:val="0"/>
                                                      <w:adjustRightInd/>
                                                      <w:spacing w:line="240" w:lineRule="auto"/>
                                                      <w:ind w:leftChars="0" w:firstLine="450" w:firstLineChars="300"/>
                                                      <w:jc w:val="both"/>
                                                      <w:textAlignment w:val="auto"/>
                                                      <w:rPr>
                                                        <w:rFonts w:hint="default" w:ascii="Times New Roman" w:hAnsi="Times New Roman" w:eastAsia="宋体" w:cs="Times New Roman"/>
                                                        <w:b w:val="0"/>
                                                        <w:bCs w:val="0"/>
                                                        <w:color w:val="auto"/>
                                                        <w:sz w:val="15"/>
                                                        <w:szCs w:val="15"/>
                                                        <w:lang w:val="en-US" w:eastAsia="zh-CN"/>
                                                      </w:rPr>
                                                    </w:pPr>
                                                    <w:r>
                                                      <w:rPr>
                                                        <w:rFonts w:hint="eastAsia" w:cs="Times New Roman"/>
                                                        <w:b w:val="0"/>
                                                        <w:bCs w:val="0"/>
                                                        <w:color w:val="auto"/>
                                                        <w:sz w:val="15"/>
                                                        <w:szCs w:val="15"/>
                                                        <w:lang w:val="en-US" w:eastAsia="zh-CN"/>
                                                      </w:rPr>
                                                      <w:t>水蒸气：42</w:t>
                                                    </w:r>
                                                  </w:p>
                                                  <w:p w14:paraId="322606A8">
                                                    <w:pPr>
                                                      <w:pStyle w:val="10"/>
                                                      <w:rPr>
                                                        <w:rFonts w:hint="eastAsia"/>
                                                        <w:lang w:val="en-US" w:eastAsia="zh-CN"/>
                                                      </w:rPr>
                                                    </w:pPr>
                                                  </w:p>
                                                  <w:p w14:paraId="0AA1846C">
                                                    <w:pPr>
                                                      <w:pStyle w:val="10"/>
                                                      <w:rPr>
                                                        <w:rFonts w:hint="default"/>
                                                        <w:lang w:val="en-US" w:eastAsia="zh-CN"/>
                                                      </w:rPr>
                                                    </w:pPr>
                                                  </w:p>
                                                </w:txbxContent>
                                              </wps:txbx>
                                              <wps:bodyPr upright="1"/>
                                            </wps:wsp>
                                            <wps:wsp>
                                              <wps:cNvPr id="909" name="矩形 255"/>
                                              <wps:cNvSpPr/>
                                              <wps:spPr>
                                                <a:xfrm>
                                                  <a:off x="13981" y="609957"/>
                                                  <a:ext cx="1904" cy="434"/>
                                                </a:xfrm>
                                                <a:prstGeom prst="rect">
                                                  <a:avLst/>
                                                </a:prstGeom>
                                                <a:noFill/>
                                                <a:ln>
                                                  <a:noFill/>
                                                </a:ln>
                                              </wps:spPr>
                                              <wps:txbx>
                                                <w:txbxContent>
                                                  <w:p w14:paraId="714188FF">
                                                    <w:pPr>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颗粒物：</w:t>
                                                    </w:r>
                                                    <w:r>
                                                      <w:rPr>
                                                        <w:rFonts w:hint="eastAsia" w:cs="Times New Roman"/>
                                                        <w:sz w:val="18"/>
                                                        <w:szCs w:val="18"/>
                                                        <w:lang w:val="en-US" w:eastAsia="zh-CN"/>
                                                      </w:rPr>
                                                      <w:t>0.054</w:t>
                                                    </w:r>
                                                  </w:p>
                                                  <w:p w14:paraId="71030FC7">
                                                    <w:pPr>
                                                      <w:pStyle w:val="10"/>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p>
                                                </w:txbxContent>
                                              </wps:txbx>
                                              <wps:bodyPr upright="1"/>
                                            </wps:wsp>
                                            <wps:wsp>
                                              <wps:cNvPr id="910" name="直接连接符 256"/>
                                              <wps:cNvCnPr/>
                                              <wps:spPr>
                                                <a:xfrm>
                                                  <a:off x="13676" y="610236"/>
                                                  <a:ext cx="318" cy="7"/>
                                                </a:xfrm>
                                                <a:prstGeom prst="line">
                                                  <a:avLst/>
                                                </a:prstGeom>
                                                <a:ln w="12700" cap="flat" cmpd="sng">
                                                  <a:solidFill>
                                                    <a:srgbClr val="000000"/>
                                                  </a:solidFill>
                                                  <a:prstDash val="dashDot"/>
                                                  <a:headEnd type="none" w="med" len="med"/>
                                                  <a:tailEnd type="triangle" w="med" len="med"/>
                                                </a:ln>
                                              </wps:spPr>
                                              <wps:bodyPr upright="1"/>
                                            </wps:wsp>
                                            <wps:wsp>
                                              <wps:cNvPr id="918" name="矩形 245"/>
                                              <wps:cNvSpPr/>
                                              <wps:spPr>
                                                <a:xfrm>
                                                  <a:off x="12598" y="607310"/>
                                                  <a:ext cx="1322" cy="481"/>
                                                </a:xfrm>
                                                <a:prstGeom prst="rect">
                                                  <a:avLst/>
                                                </a:prstGeom>
                                                <a:noFill/>
                                                <a:ln>
                                                  <a:noFill/>
                                                </a:ln>
                                              </wps:spPr>
                                              <wps:txbx>
                                                <w:txbxContent>
                                                  <w:p w14:paraId="48B8A95B">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auto"/>
                                                        <w:sz w:val="18"/>
                                                        <w:szCs w:val="18"/>
                                                        <w:lang w:val="en-US" w:eastAsia="zh-CN"/>
                                                      </w:rPr>
                                                    </w:pPr>
                                                    <w:r>
                                                      <w:rPr>
                                                        <w:rFonts w:hint="default" w:ascii="Times New Roman" w:hAnsi="Times New Roman" w:eastAsia="宋体" w:cs="Times New Roman"/>
                                                        <w:b w:val="0"/>
                                                        <w:bCs w:val="0"/>
                                                        <w:color w:val="auto"/>
                                                        <w:sz w:val="18"/>
                                                        <w:szCs w:val="18"/>
                                                        <w:lang w:eastAsia="zh-CN"/>
                                                      </w:rPr>
                                                      <w:t>混合液</w:t>
                                                    </w:r>
                                                    <w:r>
                                                      <w:rPr>
                                                        <w:rFonts w:hint="eastAsia" w:cs="Times New Roman"/>
                                                        <w:b w:val="0"/>
                                                        <w:bCs w:val="0"/>
                                                        <w:color w:val="0000FF"/>
                                                        <w:sz w:val="18"/>
                                                        <w:szCs w:val="18"/>
                                                        <w:lang w:val="en-US" w:eastAsia="zh-CN"/>
                                                      </w:rPr>
                                                      <w:t>1472.372</w:t>
                                                    </w:r>
                                                  </w:p>
                                                </w:txbxContent>
                                              </wps:txbx>
                                              <wps:bodyPr upright="1"/>
                                            </wps:wsp>
                                            <wps:wsp>
                                              <wps:cNvPr id="919" name="矩形 245"/>
                                              <wps:cNvSpPr/>
                                              <wps:spPr>
                                                <a:xfrm>
                                                  <a:off x="12623" y="608480"/>
                                                  <a:ext cx="1301" cy="481"/>
                                                </a:xfrm>
                                                <a:prstGeom prst="rect">
                                                  <a:avLst/>
                                                </a:prstGeom>
                                                <a:noFill/>
                                                <a:ln>
                                                  <a:noFill/>
                                                </a:ln>
                                              </wps:spPr>
                                              <wps:txbx>
                                                <w:txbxContent>
                                                  <w:p w14:paraId="4780B521">
                                                    <w:pPr>
                                                      <w:pStyle w:val="10"/>
                                                      <w:keepNext w:val="0"/>
                                                      <w:keepLines w:val="0"/>
                                                      <w:pageBreakBefore w:val="0"/>
                                                      <w:widowControl w:val="0"/>
                                                      <w:kinsoku/>
                                                      <w:wordWrap/>
                                                      <w:overflowPunct/>
                                                      <w:topLinePunct w:val="0"/>
                                                      <w:bidi w:val="0"/>
                                                      <w:spacing w:line="240" w:lineRule="auto"/>
                                                      <w:ind w:firstLine="0"/>
                                                      <w:jc w:val="left"/>
                                                      <w:rPr>
                                                        <w:rFonts w:hint="default" w:ascii="Times New Roman" w:hAnsi="Times New Roman" w:eastAsia="宋体" w:cs="Times New Roman"/>
                                                        <w:b w:val="0"/>
                                                        <w:bCs w:val="0"/>
                                                        <w:color w:val="auto"/>
                                                        <w:sz w:val="18"/>
                                                        <w:szCs w:val="18"/>
                                                        <w:lang w:val="en-US" w:eastAsia="zh-CN"/>
                                                      </w:rPr>
                                                    </w:pPr>
                                                    <w:r>
                                                      <w:rPr>
                                                        <w:rFonts w:hint="eastAsia" w:ascii="Times New Roman" w:hAnsi="Times New Roman" w:eastAsia="宋体" w:cs="Times New Roman"/>
                                                        <w:color w:val="auto"/>
                                                        <w:sz w:val="18"/>
                                                        <w:szCs w:val="18"/>
                                                        <w:lang w:eastAsia="zh-CN"/>
                                                      </w:rPr>
                                                      <w:t>过滤</w:t>
                                                    </w:r>
                                                    <w:r>
                                                      <w:rPr>
                                                        <w:rFonts w:hint="default" w:ascii="Times New Roman" w:hAnsi="Times New Roman" w:eastAsia="宋体" w:cs="Times New Roman"/>
                                                        <w:color w:val="auto"/>
                                                        <w:sz w:val="18"/>
                                                        <w:szCs w:val="18"/>
                                                        <w:lang w:eastAsia="zh-CN"/>
                                                      </w:rPr>
                                                      <w:t>液</w:t>
                                                    </w:r>
                                                    <w:r>
                                                      <w:rPr>
                                                        <w:rFonts w:hint="eastAsia" w:eastAsia="宋体" w:cs="Times New Roman"/>
                                                        <w:color w:val="0000FF"/>
                                                        <w:sz w:val="18"/>
                                                        <w:szCs w:val="18"/>
                                                        <w:lang w:val="en-US" w:eastAsia="zh-CN"/>
                                                      </w:rPr>
                                                      <w:t>1440.372</w:t>
                                                    </w:r>
                                                  </w:p>
                                                </w:txbxContent>
                                              </wps:txbx>
                                              <wps:bodyPr upright="1"/>
                                            </wps:wsp>
                                            <wps:wsp>
                                              <wps:cNvPr id="920" name="矩形 245"/>
                                              <wps:cNvSpPr/>
                                              <wps:spPr>
                                                <a:xfrm>
                                                  <a:off x="12229" y="609568"/>
                                                  <a:ext cx="1819" cy="466"/>
                                                </a:xfrm>
                                                <a:prstGeom prst="rect">
                                                  <a:avLst/>
                                                </a:prstGeom>
                                                <a:noFill/>
                                                <a:ln>
                                                  <a:noFill/>
                                                </a:ln>
                                              </wps:spPr>
                                              <wps:txbx>
                                                <w:txbxContent>
                                                  <w:p w14:paraId="3FF86863">
                                                    <w:pPr>
                                                      <w:pStyle w:val="6"/>
                                                      <w:numPr>
                                                        <w:ilvl w:val="3"/>
                                                        <w:numId w:val="0"/>
                                                      </w:numPr>
                                                      <w:ind w:leftChars="0"/>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18"/>
                                                        <w:szCs w:val="18"/>
                                                        <w:lang w:val="en-US" w:eastAsia="zh-CN"/>
                                                      </w:rPr>
                                                      <w:t>甘氨酸亚铁颗粒</w:t>
                                                    </w:r>
                                                    <w:r>
                                                      <w:rPr>
                                                        <w:rFonts w:hint="default" w:ascii="Times New Roman" w:hAnsi="Times New Roman" w:eastAsia="宋体" w:cs="Times New Roman"/>
                                                        <w:b w:val="0"/>
                                                        <w:bCs w:val="0"/>
                                                        <w:sz w:val="18"/>
                                                        <w:szCs w:val="18"/>
                                                        <w:lang w:val="en-US" w:eastAsia="zh-CN"/>
                                                      </w:rPr>
                                                      <w:t>：</w:t>
                                                    </w:r>
                                                    <w:r>
                                                      <w:rPr>
                                                        <w:rFonts w:hint="eastAsia" w:cs="Times New Roman"/>
                                                        <w:b w:val="0"/>
                                                        <w:bCs w:val="0"/>
                                                        <w:color w:val="0000FF"/>
                                                        <w:sz w:val="18"/>
                                                        <w:szCs w:val="18"/>
                                                        <w:lang w:val="en-US" w:eastAsia="zh-CN"/>
                                                      </w:rPr>
                                                      <w:t>300.54</w:t>
                                                    </w:r>
                                                  </w:p>
                                                </w:txbxContent>
                                              </wps:txbx>
                                              <wps:bodyPr upright="1"/>
                                            </wps:wsp>
                                            <wps:wsp>
                                              <wps:cNvPr id="925" name="矩形 242"/>
                                              <wps:cNvSpPr/>
                                              <wps:spPr>
                                                <a:xfrm>
                                                  <a:off x="12272" y="610505"/>
                                                  <a:ext cx="1866" cy="415"/>
                                                </a:xfrm>
                                                <a:prstGeom prst="rect">
                                                  <a:avLst/>
                                                </a:prstGeom>
                                                <a:noFill/>
                                                <a:ln>
                                                  <a:noFill/>
                                                </a:ln>
                                              </wps:spPr>
                                              <wps:txbx>
                                                <w:txbxContent>
                                                  <w:p w14:paraId="34F89748">
                                                    <w:pPr>
                                                      <w:jc w:val="center"/>
                                                      <w:rPr>
                                                        <w:rFonts w:hint="default" w:ascii="Times New Roman" w:hAnsi="Times New Roman" w:eastAsia="宋体" w:cs="Times New Roman"/>
                                                        <w:sz w:val="18"/>
                                                        <w:szCs w:val="18"/>
                                                        <w:lang w:val="en-US" w:eastAsia="zh-CN"/>
                                                      </w:rPr>
                                                    </w:pPr>
                                                    <w:r>
                                                      <w:rPr>
                                                        <w:rFonts w:hint="eastAsia" w:cs="Times New Roman"/>
                                                        <w:sz w:val="18"/>
                                                        <w:szCs w:val="18"/>
                                                        <w:lang w:val="en-US" w:eastAsia="zh-CN"/>
                                                      </w:rPr>
                                                      <w:t>粉碎包装</w:t>
                                                    </w:r>
                                                    <w:r>
                                                      <w:rPr>
                                                        <w:rFonts w:hint="eastAsia" w:ascii="Times New Roman" w:hAnsi="Times New Roman" w:eastAsia="宋体" w:cs="Times New Roman"/>
                                                        <w:sz w:val="18"/>
                                                        <w:szCs w:val="18"/>
                                                        <w:lang w:val="en-US" w:eastAsia="zh-CN"/>
                                                      </w:rPr>
                                                      <w:t>后：</w:t>
                                                    </w:r>
                                                    <w:r>
                                                      <w:rPr>
                                                        <w:rFonts w:hint="eastAsia" w:cs="Times New Roman"/>
                                                        <w:sz w:val="18"/>
                                                        <w:szCs w:val="18"/>
                                                        <w:lang w:val="en-US" w:eastAsia="zh-CN"/>
                                                      </w:rPr>
                                                      <w:t>300</w:t>
                                                    </w:r>
                                                  </w:p>
                                                </w:txbxContent>
                                              </wps:txbx>
                                              <wps:bodyPr upright="1"/>
                                            </wps:wsp>
                                          </wpg:grpSp>
                                          <wps:wsp>
                                            <wps:cNvPr id="3" name="直接连接符 246"/>
                                            <wps:cNvCnPr/>
                                            <wps:spPr>
                                              <a:xfrm flipH="1">
                                                <a:off x="8786" y="638447"/>
                                                <a:ext cx="590" cy="15"/>
                                              </a:xfrm>
                                              <a:prstGeom prst="line">
                                                <a:avLst/>
                                              </a:prstGeom>
                                              <a:ln w="12700" cap="flat" cmpd="sng">
                                                <a:solidFill>
                                                  <a:srgbClr val="000000"/>
                                                </a:solidFill>
                                                <a:prstDash val="solid"/>
                                                <a:headEnd type="none" w="med" len="med"/>
                                                <a:tailEnd type="triangle" w="med" len="med"/>
                                              </a:ln>
                                            </wps:spPr>
                                            <wps:bodyPr upright="1"/>
                                          </wps:wsp>
                                        </wpg:grpSp>
                                        <wps:wsp>
                                          <wps:cNvPr id="91" name="直接连接符 91"/>
                                          <wps:cNvCnPr/>
                                          <wps:spPr>
                                            <a:xfrm flipV="1">
                                              <a:off x="8710" y="639287"/>
                                              <a:ext cx="641" cy="1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grpSp>
                                  <wps:wsp>
                                    <wps:cNvPr id="67" name="直接连接符 67"/>
                                    <wps:cNvCnPr/>
                                    <wps:spPr>
                                      <a:xfrm flipH="1" flipV="1">
                                        <a:off x="8299" y="637067"/>
                                        <a:ext cx="9" cy="445"/>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s:wsp>
                                    <wps:cNvPr id="74" name="直接箭头连接符 74"/>
                                    <wps:cNvCnPr/>
                                    <wps:spPr>
                                      <a:xfrm>
                                        <a:off x="6890" y="637060"/>
                                        <a:ext cx="2" cy="33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9" name="矩形 245"/>
                                    <wps:cNvSpPr/>
                                    <wps:spPr>
                                      <a:xfrm>
                                        <a:off x="6906" y="636821"/>
                                        <a:ext cx="1508" cy="548"/>
                                      </a:xfrm>
                                      <a:prstGeom prst="rect">
                                        <a:avLst/>
                                      </a:prstGeom>
                                      <a:noFill/>
                                      <a:ln>
                                        <a:noFill/>
                                      </a:ln>
                                    </wps:spPr>
                                    <wps:txbx>
                                      <w:txbxContent>
                                        <w:p w14:paraId="6D7A6CC3">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0000FF"/>
                                              <w:sz w:val="16"/>
                                              <w:szCs w:val="16"/>
                                              <w:lang w:val="en-US" w:eastAsia="zh-CN"/>
                                            </w:rPr>
                                          </w:pPr>
                                          <w:r>
                                            <w:rPr>
                                              <w:rFonts w:hint="eastAsia" w:cs="Times New Roman"/>
                                              <w:b w:val="0"/>
                                              <w:bCs w:val="0"/>
                                              <w:color w:val="0000FF"/>
                                              <w:sz w:val="16"/>
                                              <w:szCs w:val="16"/>
                                              <w:lang w:val="en-US" w:eastAsia="zh-CN"/>
                                            </w:rPr>
                                            <w:t>布袋除尘器收集粉料回用：1.024</w:t>
                                          </w:r>
                                        </w:p>
                                      </w:txbxContent>
                                    </wps:txbx>
                                    <wps:bodyPr upright="1"/>
                                  </wps:wsp>
                                  <wps:wsp>
                                    <wps:cNvPr id="95" name="直接连接符 95"/>
                                    <wps:cNvCnPr/>
                                    <wps:spPr>
                                      <a:xfrm flipH="1" flipV="1">
                                        <a:off x="7924" y="637612"/>
                                        <a:ext cx="23" cy="3252"/>
                                      </a:xfrm>
                                      <a:prstGeom prst="line">
                                        <a:avLst/>
                                      </a:prstGeom>
                                      <a:ln w="12700">
                                        <a:solidFill>
                                          <a:schemeClr val="tx1"/>
                                        </a:solidFill>
                                        <a:prstDash val="solid"/>
                                      </a:ln>
                                    </wps:spPr>
                                    <wps:style>
                                      <a:lnRef idx="1">
                                        <a:schemeClr val="accent1"/>
                                      </a:lnRef>
                                      <a:fillRef idx="0">
                                        <a:schemeClr val="accent1"/>
                                      </a:fillRef>
                                      <a:effectRef idx="0">
                                        <a:schemeClr val="accent1"/>
                                      </a:effectRef>
                                      <a:fontRef idx="minor">
                                        <a:schemeClr val="tx1"/>
                                      </a:fontRef>
                                    </wps:style>
                                    <wps:bodyPr/>
                                  </wps:wsp>
                                </wpg:grpSp>
                              </wpg:grpSp>
                              <wps:wsp>
                                <wps:cNvPr id="96" name="直接箭头连接符 96"/>
                                <wps:cNvCnPr/>
                                <wps:spPr>
                                  <a:xfrm flipH="1">
                                    <a:off x="7674" y="637625"/>
                                    <a:ext cx="263" cy="12"/>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97" name="矩形 245"/>
                              <wps:cNvSpPr/>
                              <wps:spPr>
                                <a:xfrm>
                                  <a:off x="7784" y="639149"/>
                                  <a:ext cx="920" cy="1448"/>
                                </a:xfrm>
                                <a:prstGeom prst="rect">
                                  <a:avLst/>
                                </a:prstGeom>
                                <a:noFill/>
                                <a:ln>
                                  <a:noFill/>
                                </a:ln>
                              </wps:spPr>
                              <wps:txbx>
                                <w:txbxContent>
                                  <w:p w14:paraId="6133682E">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0000FF"/>
                                        <w:sz w:val="16"/>
                                        <w:szCs w:val="16"/>
                                        <w:lang w:val="en-US" w:eastAsia="zh-CN"/>
                                      </w:rPr>
                                    </w:pPr>
                                    <w:r>
                                      <w:rPr>
                                        <w:rFonts w:hint="eastAsia" w:cs="Times New Roman"/>
                                        <w:b w:val="0"/>
                                        <w:bCs w:val="0"/>
                                        <w:color w:val="0000FF"/>
                                        <w:sz w:val="16"/>
                                        <w:szCs w:val="16"/>
                                        <w:lang w:val="en-US" w:eastAsia="zh-CN"/>
                                      </w:rPr>
                                      <w:t>布袋除尘器收集粉料回用：0.486</w:t>
                                    </w:r>
                                  </w:p>
                                </w:txbxContent>
                              </wps:txbx>
                              <wps:bodyPr upright="1"/>
                            </wps:wsp>
                          </wpg:wgp>
                        </a:graphicData>
                      </a:graphic>
                    </wp:anchor>
                  </w:drawing>
                </mc:Choice>
                <mc:Fallback>
                  <w:pict>
                    <v:group id="_x0000_s1026" o:spid="_x0000_s1026" o:spt="203" style="position:absolute;left:0pt;margin-left:36.2pt;margin-top:1.6pt;height:327.5pt;width:358.75pt;z-index:251672576;mso-width-relative:page;mso-height-relative:page;" coordorigin="3399,635875" coordsize="7175,6550" o:gfxdata="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">
                      <o:lock v:ext="edit" aspectratio="f"/>
                      <v:group id="_x0000_s1026" o:spid="_x0000_s1026" o:spt="203" style="position:absolute;left:3399;top:635875;height:6550;width:7175;" coordorigin="3399,635875" coordsize="7175,6550"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3399;top:635875;height:6550;width:7175;" coordorigin="3399,635875" coordsize="7175,6550" o:gfxdata="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uc70r0AAADbAAAADwAAAAAAAAABACAAAAAiAAAAZHJzL2Rvd25yZXYueG1s&#10;UEsBAhQAFAAAAAgAh07iQDMvBZ47AAAAOQAAABUAAAAAAAAAAQAgAAAADAEAAGRycy9ncm91cHNo&#10;YXBleG1sLnhtbFBLBQYAAAAABgAGAGABAADJAwAAAAA=&#10;">
                          <o:lock v:ext="edit" aspectratio="f"/>
                          <v:line id="_x0000_s1026" o:spid="_x0000_s1026" o:spt="20" style="position:absolute;left:6896;top:637062;flip:x;height:3;width:1404;" filled="f" stroked="t" coordsize="21600,21600" o:gfxdata="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8Kkss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line>
                          <v:group id="_x0000_s1026" o:spid="_x0000_s1026" o:spt="203" style="position:absolute;left:3399;top:635875;height:6550;width:7175;" coordorigin="3399,635875" coordsize="7175,6550" o:gfxdata="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GGrnkm7AAAA2wAAAA8AAAAAAAAAAQAgAAAAIgAAAGRycy9kb3ducmV2LnhtbFBL&#10;AQIUABQAAAAIAIdO4kAzLwWeOwAAADkAAAAVAAAAAAAAAAEAIAAAAAoBAABkcnMvZ3JvdXBzaGFw&#10;ZXhtbC54bWxQSwUGAAAAAAYABgBgAQAAxwMAAAAA&#10;">
                            <o:lock v:ext="edit" aspectratio="f"/>
                            <v:group id="_x0000_s1026" o:spid="_x0000_s1026" o:spt="203" style="position:absolute;left:3399;top:635875;height:6550;width:7175;" coordorigin="3399,653358" coordsize="7175,6550"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line id="直接连接符 256" o:spid="_x0000_s1026" o:spt="20" style="position:absolute;left:4664;top:657366;flip:x y;height:4;width:1302;" filled="f" stroked="t" coordsize="21600,21600" o:gfxdata="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6ozGQrgAAADaAAAA&#10;DwAAAAAAAAABACAAAAAiAAAAZHJzL2Rvd25yZXYueG1sUEsBAhQAFAAAAAgAh07iQDMvBZ47AAAA&#10;OQAAABAAAAAAAAAAAQAgAAAABwEAAGRycy9zaGFwZXhtbC54bWxQSwUGAAAAAAYABgBbAQAAsQMA&#10;AAAA&#10;">
                                <v:fill on="f" focussize="0,0"/>
                                <v:stroke weight="1pt" color="#000000" joinstyle="round" dashstyle="dashDot" endarrow="block"/>
                                <v:imagedata o:title=""/>
                                <o:lock v:ext="edit" aspectratio="f"/>
                              </v:line>
                              <v:rect id="矩形 255" o:spid="_x0000_s1026" o:spt="1" style="position:absolute;left:3399;top:657014;height:1056;width:1287;" filled="f" stroked="f" coordsize="21600,21600" o:gfxdata="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SAeIugAAANs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12729C6C">
                                      <w:pPr>
                                        <w:keepNext w:val="0"/>
                                        <w:keepLines w:val="0"/>
                                        <w:pageBreakBefore w:val="0"/>
                                        <w:widowControl w:val="0"/>
                                        <w:kinsoku/>
                                        <w:wordWrap/>
                                        <w:overflowPunct/>
                                        <w:topLinePunct w:val="0"/>
                                        <w:autoSpaceDE/>
                                        <w:autoSpaceDN/>
                                        <w:bidi w:val="0"/>
                                        <w:adjustRightInd/>
                                        <w:snapToGrid/>
                                        <w:spacing w:line="240" w:lineRule="auto"/>
                                        <w:ind w:firstLine="0"/>
                                        <w:jc w:val="both"/>
                                        <w:textAlignment w:val="auto"/>
                                        <w:rPr>
                                          <w:rFonts w:hint="default" w:cs="Times New Roman"/>
                                          <w:sz w:val="18"/>
                                          <w:szCs w:val="18"/>
                                          <w:lang w:val="en-US" w:eastAsia="zh-CN"/>
                                        </w:rPr>
                                      </w:pPr>
                                      <w:r>
                                        <w:rPr>
                                          <w:rFonts w:hint="default" w:ascii="Times New Roman" w:hAnsi="Times New Roman" w:eastAsia="宋体" w:cs="Times New Roman"/>
                                          <w:sz w:val="18"/>
                                          <w:szCs w:val="18"/>
                                          <w:lang w:val="en-US" w:eastAsia="zh-CN"/>
                                        </w:rPr>
                                        <w:t>颗粒物：</w:t>
                                      </w:r>
                                      <w:r>
                                        <w:rPr>
                                          <w:rFonts w:hint="eastAsia" w:cs="Times New Roman"/>
                                          <w:sz w:val="18"/>
                                          <w:szCs w:val="18"/>
                                          <w:lang w:val="en-US" w:eastAsia="zh-CN"/>
                                        </w:rPr>
                                        <w:t>24.832</w:t>
                                      </w:r>
                                    </w:p>
                                    <w:p w14:paraId="2849B804">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default" w:cs="Times New Roman"/>
                                          <w:sz w:val="18"/>
                                          <w:szCs w:val="18"/>
                                          <w:lang w:val="en-US" w:eastAsia="zh-CN"/>
                                        </w:rPr>
                                      </w:pPr>
                                      <w:r>
                                        <w:rPr>
                                          <w:rFonts w:hint="eastAsia" w:cs="Times New Roman"/>
                                          <w:sz w:val="18"/>
                                          <w:szCs w:val="18"/>
                                          <w:lang w:val="en-US" w:eastAsia="zh-CN"/>
                                        </w:rPr>
                                        <w:t>水蒸气</w:t>
                                      </w:r>
                                      <w:r>
                                        <w:rPr>
                                          <w:rFonts w:hint="eastAsia" w:cs="Times New Roman"/>
                                          <w:color w:val="auto"/>
                                          <w:sz w:val="18"/>
                                          <w:szCs w:val="18"/>
                                          <w:lang w:val="en-US" w:eastAsia="zh-CN"/>
                                        </w:rPr>
                                        <w:t>：1115</w:t>
                                      </w:r>
                                    </w:p>
                                  </w:txbxContent>
                                </v:textbox>
                              </v:rect>
                              <v:group id="_x0000_s1026" o:spid="_x0000_s1026" o:spt="203" style="position:absolute;left:5691;top:653358;height:6550;width:4883;" coordorigin="6740,636600" coordsize="4883,6550" o:gfxdata="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bw8MOL0AAADbAAAADwAAAAAAAAABACAAAAAiAAAAZHJzL2Rvd25yZXYueG1s&#10;UEsBAhQAFAAAAAgAh07iQDMvBZ47AAAAOQAAABUAAAAAAAAAAQAgAAAADAEAAGRycy9ncm91cHNo&#10;YXBleG1sLnhtbFBLBQYAAAAABgAGAGABAADJAwAAAAA=&#10;">
                                <o:lock v:ext="edit" aspectratio="f"/>
                                <v:line id="_x0000_s1026" o:spid="_x0000_s1026" o:spt="20" style="position:absolute;left:9361;top:638462;height:813;width:0;" filled="f" stroked="t" coordsize="21600,21600" o:gfxdata="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i1Gkb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line>
                                <v:group id="_x0000_s1026" o:spid="_x0000_s1026" o:spt="203" style="position:absolute;left:6740;top:636600;height:6550;width:4883;" coordorigin="6740,636600" coordsize="4883,6550"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6740;top:636600;height:6550;width:4883;" coordorigin="6740,636600" coordsize="4883,6550"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group id="_x0000_s1026" o:spid="_x0000_s1026" o:spt="203" style="position:absolute;left:6740;top:636600;height:6550;width:4883;" coordorigin="12119,605201" coordsize="3766,6577" o:gfxdata="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BkVlK+AAAA3AAAAA8AAAAAAAAAAQAgAAAAIgAAAGRycy9kb3ducmV2Lnht&#10;bFBLAQIUABQAAAAIAIdO4kAzLwWeOwAAADkAAAAVAAAAAAAAAAEAIAAAAA0BAABkcnMvZ3JvdXBz&#10;aGFwZXhtbC54bWxQSwUGAAAAAAYABgBgAQAAygMAAAAA&#10;">
                                      <o:lock v:ext="edit" aspectratio="f"/>
                                      <v:rect id="矩形 215" o:spid="_x0000_s1026" o:spt="1" style="position:absolute;left:12348;top:606807;height:441;width:1318;" fillcolor="#FFFFFF" filled="t" stroked="t" coordsize="21600,21600" o:gfxdata="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uYr6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E736C98">
                                              <w:pPr>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反应釜</w:t>
                                              </w:r>
                                            </w:p>
                                          </w:txbxContent>
                                        </v:textbox>
                                      </v:rect>
                                      <v:rect id="矩形 216" o:spid="_x0000_s1026" o:spt="1" style="position:absolute;left:12334;top:607876;height:441;width:1304;" fillcolor="#FFFFFF" filled="t" stroked="t" coordsize="21600,21600" o:gfxdata="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aqOc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C465E10">
                                              <w:pPr>
                                                <w:jc w:val="center"/>
                                                <w:rPr>
                                                  <w:rFonts w:hint="default" w:ascii="Times New Roman" w:hAnsi="Times New Roman" w:eastAsia="宋体" w:cs="Times New Roman"/>
                                                  <w:sz w:val="21"/>
                                                  <w:szCs w:val="21"/>
                                                  <w:lang w:eastAsia="zh-CN"/>
                                                </w:rPr>
                                              </w:pPr>
                                              <w:r>
                                                <w:rPr>
                                                  <w:rFonts w:hint="eastAsia" w:cs="Times New Roman"/>
                                                  <w:sz w:val="21"/>
                                                  <w:szCs w:val="21"/>
                                                  <w:lang w:val="en-US" w:eastAsia="zh-CN"/>
                                                </w:rPr>
                                                <w:t>离心、</w:t>
                                              </w:r>
                                              <w:r>
                                                <w:rPr>
                                                  <w:rFonts w:hint="default" w:ascii="Times New Roman" w:hAnsi="Times New Roman" w:eastAsia="宋体" w:cs="Times New Roman"/>
                                                  <w:sz w:val="21"/>
                                                  <w:szCs w:val="21"/>
                                                  <w:lang w:eastAsia="zh-CN"/>
                                                </w:rPr>
                                                <w:t>过滤</w:t>
                                              </w:r>
                                            </w:p>
                                          </w:txbxContent>
                                        </v:textbox>
                                      </v:rect>
                                      <v:rect id="矩形 217" o:spid="_x0000_s1026" o:spt="1" style="position:absolute;left:12326;top:609056;height:442;width:1325;" fillcolor="#FFFFFF" filled="t" stroked="t" coordsize="21600,21600" o:gfxdata="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eBAE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B053E3D">
                                              <w:pPr>
                                                <w:jc w:val="center"/>
                                                <w:rPr>
                                                  <w:rFonts w:hint="default" w:ascii="Times New Roman" w:hAnsi="Times New Roman" w:eastAsia="宋体" w:cs="Times New Roman"/>
                                                  <w:sz w:val="21"/>
                                                  <w:szCs w:val="21"/>
                                                  <w:lang w:val="en-US" w:eastAsia="zh-CN"/>
                                                </w:rPr>
                                              </w:pPr>
                                              <w:r>
                                                <w:rPr>
                                                  <w:rFonts w:hint="eastAsia" w:cs="Times New Roman"/>
                                                  <w:sz w:val="21"/>
                                                  <w:szCs w:val="21"/>
                                                  <w:lang w:val="en-US" w:eastAsia="zh-CN"/>
                                                </w:rPr>
                                                <w:t>喷雾干燥</w:t>
                                              </w:r>
                                            </w:p>
                                          </w:txbxContent>
                                        </v:textbox>
                                      </v:rect>
                                      <v:rect id="矩形 218" o:spid="_x0000_s1026" o:spt="1" style="position:absolute;left:12348;top:609994;height:441;width:1304;" fillcolor="#FFFFFF" filled="t" stroked="t" coordsize="21600,21600" o:gfxdata="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jS1n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BC090F9">
                                              <w:pPr>
                                                <w:jc w:val="center"/>
                                                <w:rPr>
                                                  <w:rFonts w:hint="default" w:ascii="Times New Roman" w:hAnsi="Times New Roman" w:eastAsia="宋体" w:cs="Times New Roman"/>
                                                  <w:sz w:val="21"/>
                                                  <w:szCs w:val="21"/>
                                                  <w:lang w:val="en-US" w:eastAsia="zh-CN"/>
                                                </w:rPr>
                                              </w:pPr>
                                              <w:r>
                                                <w:rPr>
                                                  <w:rFonts w:hint="eastAsia" w:cs="Times New Roman"/>
                                                  <w:sz w:val="21"/>
                                                  <w:szCs w:val="21"/>
                                                  <w:lang w:val="en-US" w:eastAsia="zh-CN"/>
                                                </w:rPr>
                                                <w:t>粉碎、灌装</w:t>
                                              </w:r>
                                            </w:p>
                                          </w:txbxContent>
                                        </v:textbox>
                                      </v:rect>
                                      <v:rect id="矩形 220" o:spid="_x0000_s1026" o:spt="1" style="position:absolute;left:12361;top:611120;height:658;width:1562;" fillcolor="#FFFFFF" filled="t" stroked="t" coordsize="21600,21600" o:gfxdata="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54R2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49D0E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lang w:val="en-US" w:eastAsia="zh-CN"/>
                                                </w:rPr>
                                              </w:pPr>
                                              <w:r>
                                                <w:rPr>
                                                  <w:rFonts w:hint="eastAsia" w:cs="Times New Roman"/>
                                                  <w:sz w:val="21"/>
                                                  <w:szCs w:val="21"/>
                                                  <w:lang w:val="en-US" w:eastAsia="zh-CN"/>
                                                </w:rPr>
                                                <w:t>甘氨酸亚铁成品300</w:t>
                                              </w:r>
                                            </w:p>
                                          </w:txbxContent>
                                        </v:textbox>
                                      </v:rect>
                                      <v:line id="直接连接符 223" o:spid="_x0000_s1026" o:spt="20" style="position:absolute;left:12998;top:607248;flip:x;height:601;width:8;" filled="f" stroked="t" coordsize="21600,21600" o:gfxdata="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MLr9y8AAAA&#10;3AAAAA8AAAAAAAAAAQAgAAAAIgAAAGRycy9kb3ducmV2LnhtbFBLAQIUABQAAAAIAIdO4kAzLwWe&#10;OwAAADkAAAAQAAAAAAAAAAEAIAAAAAsBAABkcnMvc2hhcGV4bWwueG1sUEsFBgAAAAAGAAYAWwEA&#10;ALUDAAAAAA==&#10;">
                                        <v:fill on="f" focussize="0,0"/>
                                        <v:stroke weight="1pt" color="#000000" joinstyle="round" endarrow="block"/>
                                        <v:imagedata o:title=""/>
                                        <o:lock v:ext="edit" aspectratio="f"/>
                                      </v:line>
                                      <v:line id="直接连接符 224" o:spid="_x0000_s1026" o:spt="20" style="position:absolute;left:12978;top:608324;height:732;width:10;" filled="f" stroked="t" coordsize="21600,21600" o:gfxdata="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JgNW2/&#10;AAAA3AAAAA8AAAAAAAAAAQAgAAAAIgAAAGRycy9kb3ducmV2LnhtbFBLAQIUABQAAAAIAIdO4kAz&#10;LwWeOwAAADkAAAAQAAAAAAAAAAEAIAAAAA4BAABkcnMvc2hhcGV4bWwueG1sUEsFBgAAAAAGAAYA&#10;WwEAALgDAAAAAA==&#10;">
                                        <v:fill on="f" focussize="0,0"/>
                                        <v:stroke weight="1pt" color="#000000" joinstyle="round" endarrow="block"/>
                                        <v:imagedata o:title=""/>
                                        <o:lock v:ext="edit" aspectratio="f"/>
                                      </v:line>
                                      <v:line id="直接连接符 226" o:spid="_x0000_s1026" o:spt="20" style="position:absolute;left:13038;top:610474;flip:x;height:621;width:4;" filled="f" stroked="t" coordsize="21600,21600" o:gfxdata="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3wMRL4A&#10;AADcAAAADwAAAAAAAAABACAAAAAiAAAAZHJzL2Rvd25yZXYueG1sUEsBAhQAFAAAAAgAh07iQDMv&#10;BZ47AAAAOQAAABAAAAAAAAAAAQAgAAAADQEAAGRycy9zaGFwZXhtbC54bWxQSwUGAAAAAAYABgBb&#10;AQAAtwMAAAAA&#10;">
                                        <v:fill on="f" focussize="0,0"/>
                                        <v:stroke weight="1pt" color="#000000" joinstyle="round" endarrow="block"/>
                                        <v:imagedata o:title=""/>
                                        <o:lock v:ext="edit" aspectratio="f"/>
                                      </v:line>
                                      <v:line id="直接连接符 227" o:spid="_x0000_s1026" o:spt="20" style="position:absolute;left:12999;top:609502;height:492;width:1;" filled="f" stroked="t" coordsize="21600,21600" o:gfxdata="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2JrRm/&#10;AAAA3AAAAA8AAAAAAAAAAQAgAAAAIgAAAGRycy9kb3ducmV2LnhtbFBLAQIUABQAAAAIAIdO4kAz&#10;LwWeOwAAADkAAAAQAAAAAAAAAAEAIAAAAA4BAABkcnMvc2hhcGV4bWwueG1sUEsFBgAAAAAGAAYA&#10;WwEAALgDAAAAAA==&#10;">
                                        <v:fill on="f" focussize="0,0"/>
                                        <v:stroke weight="1pt" color="#000000" joinstyle="round" endarrow="block"/>
                                        <v:imagedata o:title=""/>
                                        <o:lock v:ext="edit" aspectratio="f"/>
                                      </v:line>
                                      <v:rect id="矩形 245" o:spid="_x0000_s1026" o:spt="1" style="position:absolute;left:12119;top:605201;height:1228;width:1392;" filled="f" stroked="f" coordsize="21600,21600" o:gfxdata="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FZjS/&#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0B811672">
                                              <w:pPr>
                                                <w:pStyle w:val="10"/>
                                                <w:keepNext w:val="0"/>
                                                <w:keepLines w:val="0"/>
                                                <w:pageBreakBefore w:val="0"/>
                                                <w:widowControl w:val="0"/>
                                                <w:kinsoku/>
                                                <w:wordWrap/>
                                                <w:overflowPunct/>
                                                <w:topLinePunct w:val="0"/>
                                                <w:autoSpaceDE/>
                                                <w:autoSpaceDN/>
                                                <w:bidi w:val="0"/>
                                                <w:snapToGrid w:val="0"/>
                                                <w:spacing w:line="240" w:lineRule="auto"/>
                                                <w:ind w:firstLine="0"/>
                                                <w:jc w:val="left"/>
                                                <w:rPr>
                                                  <w:rFonts w:hint="default" w:ascii="Times New Roman" w:hAnsi="Times New Roman" w:eastAsia="宋体" w:cs="Times New Roman"/>
                                                  <w:b w:val="0"/>
                                                  <w:bCs w:val="0"/>
                                                  <w:sz w:val="18"/>
                                                  <w:szCs w:val="18"/>
                                                  <w:lang w:val="en-US" w:eastAsia="zh-CN"/>
                                                </w:rPr>
                                              </w:pPr>
                                              <w:r>
                                                <w:rPr>
                                                  <w:rFonts w:hint="default" w:ascii="Times New Roman" w:hAnsi="Times New Roman" w:eastAsia="宋体" w:cs="Times New Roman"/>
                                                  <w:b w:val="0"/>
                                                  <w:bCs w:val="0"/>
                                                  <w:sz w:val="18"/>
                                                  <w:szCs w:val="18"/>
                                                  <w:lang w:val="en-US" w:eastAsia="zh-CN"/>
                                                </w:rPr>
                                                <w:t>甘氨酸</w:t>
                                              </w:r>
                                              <w:r>
                                                <w:rPr>
                                                  <w:rFonts w:hint="eastAsia" w:eastAsia="宋体" w:cs="Times New Roman"/>
                                                  <w:b w:val="0"/>
                                                  <w:bCs w:val="0"/>
                                                  <w:sz w:val="18"/>
                                                  <w:szCs w:val="18"/>
                                                  <w:lang w:val="en-US" w:eastAsia="zh-CN"/>
                                                </w:rPr>
                                                <w:t>189.3</w:t>
                                              </w:r>
                                            </w:p>
                                            <w:p w14:paraId="7816E99E">
                                              <w:pPr>
                                                <w:pStyle w:val="6"/>
                                                <w:keepNext w:val="0"/>
                                                <w:keepLines w:val="0"/>
                                                <w:pageBreakBefore w:val="0"/>
                                                <w:widowControl w:val="0"/>
                                                <w:numPr>
                                                  <w:ilvl w:val="3"/>
                                                  <w:numId w:val="0"/>
                                                </w:numPr>
                                                <w:kinsoku/>
                                                <w:wordWrap/>
                                                <w:overflowPunct/>
                                                <w:topLinePunct w:val="0"/>
                                                <w:autoSpaceDE/>
                                                <w:autoSpaceDN/>
                                                <w:bidi w:val="0"/>
                                                <w:snapToGrid w:val="0"/>
                                                <w:spacing w:line="240" w:lineRule="auto"/>
                                                <w:ind w:leftChars="0"/>
                                                <w:jc w:val="left"/>
                                                <w:rPr>
                                                  <w:rFonts w:hint="default" w:cs="Times New Roman"/>
                                                  <w:b w:val="0"/>
                                                  <w:bCs w:val="0"/>
                                                  <w:sz w:val="18"/>
                                                  <w:szCs w:val="18"/>
                                                  <w:lang w:val="en-US" w:eastAsia="zh-CN"/>
                                                </w:rPr>
                                              </w:pPr>
                                              <w:r>
                                                <w:rPr>
                                                  <w:rFonts w:hint="eastAsia" w:cs="Times New Roman"/>
                                                  <w:b w:val="0"/>
                                                  <w:bCs w:val="0"/>
                                                  <w:sz w:val="18"/>
                                                  <w:szCs w:val="18"/>
                                                  <w:lang w:val="en-US" w:eastAsia="zh-CN"/>
                                                </w:rPr>
                                                <w:t>柠檬酸16</w:t>
                                              </w:r>
                                            </w:p>
                                            <w:p w14:paraId="56B7CBC0">
                                              <w:pPr>
                                                <w:pStyle w:val="10"/>
                                                <w:keepNext w:val="0"/>
                                                <w:keepLines w:val="0"/>
                                                <w:pageBreakBefore w:val="0"/>
                                                <w:widowControl w:val="0"/>
                                                <w:kinsoku/>
                                                <w:wordWrap/>
                                                <w:overflowPunct/>
                                                <w:topLinePunct w:val="0"/>
                                                <w:autoSpaceDE/>
                                                <w:autoSpaceDN/>
                                                <w:bidi w:val="0"/>
                                                <w:snapToGrid w:val="0"/>
                                                <w:spacing w:line="240" w:lineRule="auto"/>
                                                <w:ind w:firstLine="0"/>
                                                <w:jc w:val="left"/>
                                                <w:rPr>
                                                  <w:rFonts w:hint="default" w:ascii="Times New Roman" w:hAnsi="Times New Roman" w:eastAsia="宋体" w:cs="Times New Roman"/>
                                                  <w:b w:val="0"/>
                                                  <w:bCs w:val="0"/>
                                                  <w:sz w:val="18"/>
                                                  <w:szCs w:val="18"/>
                                                  <w:lang w:val="en-US" w:eastAsia="zh-CN"/>
                                                </w:rPr>
                                              </w:pPr>
                                              <w:r>
                                                <w:rPr>
                                                  <w:rFonts w:hint="eastAsia" w:ascii="Times New Roman" w:hAnsi="Times New Roman" w:eastAsia="宋体" w:cs="Times New Roman"/>
                                                  <w:b w:val="0"/>
                                                  <w:bCs w:val="0"/>
                                                  <w:sz w:val="18"/>
                                                  <w:szCs w:val="18"/>
                                                  <w:lang w:val="en-US" w:eastAsia="zh-CN"/>
                                                </w:rPr>
                                                <w:t>维生素C</w:t>
                                              </w:r>
                                              <w:r>
                                                <w:rPr>
                                                  <w:rFonts w:hint="eastAsia" w:eastAsia="宋体" w:cs="Times New Roman"/>
                                                  <w:b w:val="0"/>
                                                  <w:bCs w:val="0"/>
                                                  <w:sz w:val="18"/>
                                                  <w:szCs w:val="18"/>
                                                  <w:lang w:val="en-US" w:eastAsia="zh-CN"/>
                                                </w:rPr>
                                                <w:t xml:space="preserve"> 8.6</w:t>
                                              </w:r>
                                            </w:p>
                                            <w:p w14:paraId="01793BF9">
                                              <w:pPr>
                                                <w:keepNext w:val="0"/>
                                                <w:keepLines w:val="0"/>
                                                <w:pageBreakBefore w:val="0"/>
                                                <w:widowControl w:val="0"/>
                                                <w:kinsoku/>
                                                <w:wordWrap/>
                                                <w:overflowPunct/>
                                                <w:topLinePunct w:val="0"/>
                                                <w:bidi w:val="0"/>
                                                <w:adjustRightInd/>
                                                <w:snapToGrid/>
                                                <w:spacing w:line="240" w:lineRule="auto"/>
                                                <w:ind w:firstLine="0"/>
                                                <w:jc w:val="left"/>
                                                <w:textAlignment w:val="auto"/>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还原铁粉</w:t>
                                              </w:r>
                                              <w:r>
                                                <w:rPr>
                                                  <w:rFonts w:hint="eastAsia" w:cs="Times New Roman"/>
                                                  <w:color w:val="auto"/>
                                                  <w:sz w:val="18"/>
                                                  <w:szCs w:val="18"/>
                                                  <w:lang w:val="en-US" w:eastAsia="zh-CN"/>
                                                </w:rPr>
                                                <w:t>70.6</w:t>
                                              </w:r>
                                            </w:p>
                                          </w:txbxContent>
                                        </v:textbox>
                                      </v:rect>
                                      <v:line id="直接连接符 246" o:spid="_x0000_s1026" o:spt="20" style="position:absolute;left:12784;top:606313;flip:x;height:496;width:1;" filled="f" stroked="t" coordsize="21600,21600" o:gfxdata="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mtsr4A&#10;AADcAAAADwAAAAAAAAABACAAAAAiAAAAZHJzL2Rvd25yZXYueG1sUEsBAhQAFAAAAAgAh07iQDMv&#10;BZ47AAAAOQAAABAAAAAAAAAAAQAgAAAADQEAAGRycy9zaGFwZXhtbC54bWxQSwUGAAAAAAYABgBb&#10;AQAAtwMAAAAA&#10;">
                                        <v:fill on="f" focussize="0,0"/>
                                        <v:stroke weight="1pt" color="#000000" joinstyle="round" endarrow="block"/>
                                        <v:imagedata o:title=""/>
                                        <o:lock v:ext="edit" aspectratio="f"/>
                                      </v:line>
                                      <v:line id="直接连接符 251" o:spid="_x0000_s1026" o:spt="20" style="position:absolute;left:13693;top:606854;flip:y;height:7;width:673;" filled="f" stroked="t" coordsize="21600,21600" o:gfxdata="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CGJ5vQAA&#10;ANwAAAAPAAAAAAAAAAEAIAAAACIAAABkcnMvZG93bnJldi54bWxQSwECFAAUAAAACACHTuJAMy8F&#10;njsAAAA5AAAAEAAAAAAAAAABACAAAAAMAQAAZHJzL3NoYXBleG1sLnhtbFBLBQYAAAAABgAGAFsB&#10;AAC2AwAAAAA=&#10;">
                                        <v:fill on="f" focussize="0,0"/>
                                        <v:stroke weight="1pt" color="#000000" joinstyle="round" dashstyle="dashDot" endarrow="block"/>
                                        <v:imagedata o:title=""/>
                                        <o:lock v:ext="edit" aspectratio="f"/>
                                      </v:line>
                                      <v:rect id="矩形 252" o:spid="_x0000_s1026" o:spt="1" style="position:absolute;left:14029;top:606492;height:768;width:1569;" filled="f" stroked="f" coordsize="21600,21600" o:gfxdata="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ETJqr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637ED9DC">
                                              <w:pPr>
                                                <w:keepNext w:val="0"/>
                                                <w:keepLines w:val="0"/>
                                                <w:pageBreakBefore w:val="0"/>
                                                <w:widowControl w:val="0"/>
                                                <w:kinsoku/>
                                                <w:wordWrap/>
                                                <w:overflowPunct/>
                                                <w:topLinePunct w:val="0"/>
                                                <w:autoSpaceDE/>
                                                <w:autoSpaceDN/>
                                                <w:bidi w:val="0"/>
                                                <w:adjustRightInd/>
                                                <w:spacing w:line="240" w:lineRule="auto"/>
                                                <w:jc w:val="center"/>
                                                <w:textAlignment w:val="auto"/>
                                                <w:rPr>
                                                  <w:rFonts w:hint="eastAsia" w:cs="Times New Roman"/>
                                                  <w:sz w:val="15"/>
                                                  <w:szCs w:val="15"/>
                                                  <w:lang w:val="en-US" w:eastAsia="zh-CN"/>
                                                </w:rPr>
                                              </w:pPr>
                                              <w:r>
                                                <w:rPr>
                                                  <w:rFonts w:hint="default" w:ascii="Times New Roman" w:hAnsi="Times New Roman" w:eastAsia="宋体" w:cs="Times New Roman"/>
                                                  <w:sz w:val="15"/>
                                                  <w:szCs w:val="15"/>
                                                  <w:lang w:val="en-US" w:eastAsia="zh-CN"/>
                                                </w:rPr>
                                                <w:t>颗粒物</w:t>
                                              </w:r>
                                              <w:r>
                                                <w:rPr>
                                                  <w:rFonts w:hint="eastAsia" w:cs="Times New Roman"/>
                                                  <w:sz w:val="15"/>
                                                  <w:szCs w:val="15"/>
                                                  <w:lang w:val="en-US" w:eastAsia="zh-CN"/>
                                                </w:rPr>
                                                <w:t>：0.114</w:t>
                                              </w:r>
                                            </w:p>
                                            <w:p w14:paraId="2EA2B1B9">
                                              <w:pPr>
                                                <w:pStyle w:val="6"/>
                                                <w:keepNext w:val="0"/>
                                                <w:keepLines w:val="0"/>
                                                <w:pageBreakBefore w:val="0"/>
                                                <w:widowControl w:val="0"/>
                                                <w:numPr>
                                                  <w:ilvl w:val="3"/>
                                                  <w:numId w:val="0"/>
                                                </w:numPr>
                                                <w:kinsoku/>
                                                <w:wordWrap/>
                                                <w:overflowPunct/>
                                                <w:topLinePunct w:val="0"/>
                                                <w:autoSpaceDE/>
                                                <w:autoSpaceDN/>
                                                <w:bidi w:val="0"/>
                                                <w:adjustRightInd/>
                                                <w:spacing w:line="240" w:lineRule="auto"/>
                                                <w:ind w:leftChars="0" w:firstLine="450" w:firstLineChars="300"/>
                                                <w:jc w:val="both"/>
                                                <w:textAlignment w:val="auto"/>
                                                <w:rPr>
                                                  <w:rFonts w:hint="eastAsia" w:cs="Times New Roman"/>
                                                  <w:b w:val="0"/>
                                                  <w:bCs w:val="0"/>
                                                  <w:sz w:val="15"/>
                                                  <w:szCs w:val="15"/>
                                                  <w:lang w:val="en-US" w:eastAsia="zh-CN"/>
                                                </w:rPr>
                                              </w:pPr>
                                              <w:r>
                                                <w:rPr>
                                                  <w:rFonts w:hint="eastAsia" w:cs="Times New Roman"/>
                                                  <w:b w:val="0"/>
                                                  <w:bCs w:val="0"/>
                                                  <w:sz w:val="15"/>
                                                  <w:szCs w:val="15"/>
                                                  <w:lang w:val="en-US" w:eastAsia="zh-CN"/>
                                                </w:rPr>
                                                <w:t>氢气：2.5</w:t>
                                              </w:r>
                                            </w:p>
                                            <w:p w14:paraId="0DF5A7B7">
                                              <w:pPr>
                                                <w:pStyle w:val="6"/>
                                                <w:keepNext w:val="0"/>
                                                <w:keepLines w:val="0"/>
                                                <w:pageBreakBefore w:val="0"/>
                                                <w:widowControl w:val="0"/>
                                                <w:numPr>
                                                  <w:ilvl w:val="3"/>
                                                  <w:numId w:val="0"/>
                                                </w:numPr>
                                                <w:kinsoku/>
                                                <w:wordWrap/>
                                                <w:overflowPunct/>
                                                <w:topLinePunct w:val="0"/>
                                                <w:autoSpaceDE/>
                                                <w:autoSpaceDN/>
                                                <w:bidi w:val="0"/>
                                                <w:adjustRightInd/>
                                                <w:spacing w:line="240" w:lineRule="auto"/>
                                                <w:ind w:leftChars="0" w:firstLine="450" w:firstLineChars="300"/>
                                                <w:jc w:val="both"/>
                                                <w:textAlignment w:val="auto"/>
                                                <w:rPr>
                                                  <w:rFonts w:hint="default" w:ascii="Times New Roman" w:hAnsi="Times New Roman" w:eastAsia="宋体" w:cs="Times New Roman"/>
                                                  <w:b w:val="0"/>
                                                  <w:bCs w:val="0"/>
                                                  <w:color w:val="auto"/>
                                                  <w:sz w:val="15"/>
                                                  <w:szCs w:val="15"/>
                                                  <w:lang w:val="en-US" w:eastAsia="zh-CN"/>
                                                </w:rPr>
                                              </w:pPr>
                                              <w:r>
                                                <w:rPr>
                                                  <w:rFonts w:hint="eastAsia" w:cs="Times New Roman"/>
                                                  <w:b w:val="0"/>
                                                  <w:bCs w:val="0"/>
                                                  <w:color w:val="auto"/>
                                                  <w:sz w:val="15"/>
                                                  <w:szCs w:val="15"/>
                                                  <w:lang w:val="en-US" w:eastAsia="zh-CN"/>
                                                </w:rPr>
                                                <w:t>水蒸气：42</w:t>
                                              </w:r>
                                            </w:p>
                                            <w:p w14:paraId="322606A8">
                                              <w:pPr>
                                                <w:pStyle w:val="10"/>
                                                <w:rPr>
                                                  <w:rFonts w:hint="eastAsia"/>
                                                  <w:lang w:val="en-US" w:eastAsia="zh-CN"/>
                                                </w:rPr>
                                              </w:pPr>
                                            </w:p>
                                            <w:p w14:paraId="0AA1846C">
                                              <w:pPr>
                                                <w:pStyle w:val="10"/>
                                                <w:rPr>
                                                  <w:rFonts w:hint="default"/>
                                                  <w:lang w:val="en-US" w:eastAsia="zh-CN"/>
                                                </w:rPr>
                                              </w:pPr>
                                            </w:p>
                                          </w:txbxContent>
                                        </v:textbox>
                                      </v:rect>
                                      <v:rect id="矩形 255" o:spid="_x0000_s1026" o:spt="1" style="position:absolute;left:13981;top:609957;height:434;width:1904;" filled="f" stroked="f" coordsize="21600,21600" o:gfxdata="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IbDG/&#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714188FF">
                                              <w:pPr>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val="en-US" w:eastAsia="zh-CN"/>
                                                </w:rPr>
                                                <w:t>颗粒物：</w:t>
                                              </w:r>
                                              <w:r>
                                                <w:rPr>
                                                  <w:rFonts w:hint="eastAsia" w:cs="Times New Roman"/>
                                                  <w:sz w:val="18"/>
                                                  <w:szCs w:val="18"/>
                                                  <w:lang w:val="en-US" w:eastAsia="zh-CN"/>
                                                </w:rPr>
                                                <w:t>0.054</w:t>
                                              </w:r>
                                            </w:p>
                                            <w:p w14:paraId="71030FC7">
                                              <w:pPr>
                                                <w:pStyle w:val="10"/>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p>
                                          </w:txbxContent>
                                        </v:textbox>
                                      </v:rect>
                                      <v:line id="直接连接符 256" o:spid="_x0000_s1026" o:spt="20" style="position:absolute;left:13676;top:610236;height:7;width:318;" filled="f" stroked="t" coordsize="21600,21600" o:gfxdata="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bq/RvQAA&#10;ANwAAAAPAAAAAAAAAAEAIAAAACIAAABkcnMvZG93bnJldi54bWxQSwECFAAUAAAACACHTuJAMy8F&#10;njsAAAA5AAAAEAAAAAAAAAABACAAAAAMAQAAZHJzL3NoYXBleG1sLnhtbFBLBQYAAAAABgAGAFsB&#10;AAC2AwAAAAA=&#10;">
                                        <v:fill on="f" focussize="0,0"/>
                                        <v:stroke weight="1pt" color="#000000" joinstyle="round" dashstyle="dashDot" endarrow="block"/>
                                        <v:imagedata o:title=""/>
                                        <o:lock v:ext="edit" aspectratio="f"/>
                                      </v:line>
                                      <v:rect id="矩形 245" o:spid="_x0000_s1026" o:spt="1" style="position:absolute;left:12598;top:607310;height:481;width:1322;" filled="f" stroked="f" coordsize="21600,21600" o:gfxdata="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WdX3e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48B8A95B">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auto"/>
                                                  <w:sz w:val="18"/>
                                                  <w:szCs w:val="18"/>
                                                  <w:lang w:val="en-US" w:eastAsia="zh-CN"/>
                                                </w:rPr>
                                              </w:pPr>
                                              <w:r>
                                                <w:rPr>
                                                  <w:rFonts w:hint="default" w:ascii="Times New Roman" w:hAnsi="Times New Roman" w:eastAsia="宋体" w:cs="Times New Roman"/>
                                                  <w:b w:val="0"/>
                                                  <w:bCs w:val="0"/>
                                                  <w:color w:val="auto"/>
                                                  <w:sz w:val="18"/>
                                                  <w:szCs w:val="18"/>
                                                  <w:lang w:eastAsia="zh-CN"/>
                                                </w:rPr>
                                                <w:t>混合液</w:t>
                                              </w:r>
                                              <w:r>
                                                <w:rPr>
                                                  <w:rFonts w:hint="eastAsia" w:cs="Times New Roman"/>
                                                  <w:b w:val="0"/>
                                                  <w:bCs w:val="0"/>
                                                  <w:color w:val="0000FF"/>
                                                  <w:sz w:val="18"/>
                                                  <w:szCs w:val="18"/>
                                                  <w:lang w:val="en-US" w:eastAsia="zh-CN"/>
                                                </w:rPr>
                                                <w:t>1472.372</w:t>
                                              </w:r>
                                            </w:p>
                                          </w:txbxContent>
                                        </v:textbox>
                                      </v:rect>
                                      <v:rect id="矩形 245" o:spid="_x0000_s1026" o:spt="1" style="position:absolute;left:12623;top:608480;height:481;width:1301;" filled="f" stroked="f" coordsize="21600,21600" o:gfxdata="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tH67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780B521">
                                              <w:pPr>
                                                <w:pStyle w:val="10"/>
                                                <w:keepNext w:val="0"/>
                                                <w:keepLines w:val="0"/>
                                                <w:pageBreakBefore w:val="0"/>
                                                <w:widowControl w:val="0"/>
                                                <w:kinsoku/>
                                                <w:wordWrap/>
                                                <w:overflowPunct/>
                                                <w:topLinePunct w:val="0"/>
                                                <w:bidi w:val="0"/>
                                                <w:spacing w:line="240" w:lineRule="auto"/>
                                                <w:ind w:firstLine="0"/>
                                                <w:jc w:val="left"/>
                                                <w:rPr>
                                                  <w:rFonts w:hint="default" w:ascii="Times New Roman" w:hAnsi="Times New Roman" w:eastAsia="宋体" w:cs="Times New Roman"/>
                                                  <w:b w:val="0"/>
                                                  <w:bCs w:val="0"/>
                                                  <w:color w:val="auto"/>
                                                  <w:sz w:val="18"/>
                                                  <w:szCs w:val="18"/>
                                                  <w:lang w:val="en-US" w:eastAsia="zh-CN"/>
                                                </w:rPr>
                                              </w:pPr>
                                              <w:r>
                                                <w:rPr>
                                                  <w:rFonts w:hint="eastAsia" w:ascii="Times New Roman" w:hAnsi="Times New Roman" w:eastAsia="宋体" w:cs="Times New Roman"/>
                                                  <w:color w:val="auto"/>
                                                  <w:sz w:val="18"/>
                                                  <w:szCs w:val="18"/>
                                                  <w:lang w:eastAsia="zh-CN"/>
                                                </w:rPr>
                                                <w:t>过滤</w:t>
                                              </w:r>
                                              <w:r>
                                                <w:rPr>
                                                  <w:rFonts w:hint="default" w:ascii="Times New Roman" w:hAnsi="Times New Roman" w:eastAsia="宋体" w:cs="Times New Roman"/>
                                                  <w:color w:val="auto"/>
                                                  <w:sz w:val="18"/>
                                                  <w:szCs w:val="18"/>
                                                  <w:lang w:eastAsia="zh-CN"/>
                                                </w:rPr>
                                                <w:t>液</w:t>
                                              </w:r>
                                              <w:r>
                                                <w:rPr>
                                                  <w:rFonts w:hint="eastAsia" w:eastAsia="宋体" w:cs="Times New Roman"/>
                                                  <w:color w:val="0000FF"/>
                                                  <w:sz w:val="18"/>
                                                  <w:szCs w:val="18"/>
                                                  <w:lang w:val="en-US" w:eastAsia="zh-CN"/>
                                                </w:rPr>
                                                <w:t>1440.372</w:t>
                                              </w:r>
                                            </w:p>
                                          </w:txbxContent>
                                        </v:textbox>
                                      </v:rect>
                                      <v:rect id="矩形 245" o:spid="_x0000_s1026" o:spt="1" style="position:absolute;left:12229;top:609568;height:466;width:1819;" filled="f" stroked="f" coordsize="21600,21600" o:gfxdata="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Hmcy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3FF86863">
                                              <w:pPr>
                                                <w:pStyle w:val="6"/>
                                                <w:numPr>
                                                  <w:ilvl w:val="3"/>
                                                  <w:numId w:val="0"/>
                                                </w:numPr>
                                                <w:ind w:leftChars="0"/>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18"/>
                                                  <w:szCs w:val="18"/>
                                                  <w:lang w:val="en-US" w:eastAsia="zh-CN"/>
                                                </w:rPr>
                                                <w:t>甘氨酸亚铁颗粒</w:t>
                                              </w:r>
                                              <w:r>
                                                <w:rPr>
                                                  <w:rFonts w:hint="default" w:ascii="Times New Roman" w:hAnsi="Times New Roman" w:eastAsia="宋体" w:cs="Times New Roman"/>
                                                  <w:b w:val="0"/>
                                                  <w:bCs w:val="0"/>
                                                  <w:sz w:val="18"/>
                                                  <w:szCs w:val="18"/>
                                                  <w:lang w:val="en-US" w:eastAsia="zh-CN"/>
                                                </w:rPr>
                                                <w:t>：</w:t>
                                              </w:r>
                                              <w:r>
                                                <w:rPr>
                                                  <w:rFonts w:hint="eastAsia" w:cs="Times New Roman"/>
                                                  <w:b w:val="0"/>
                                                  <w:bCs w:val="0"/>
                                                  <w:color w:val="0000FF"/>
                                                  <w:sz w:val="18"/>
                                                  <w:szCs w:val="18"/>
                                                  <w:lang w:val="en-US" w:eastAsia="zh-CN"/>
                                                </w:rPr>
                                                <w:t>300.54</w:t>
                                              </w:r>
                                            </w:p>
                                          </w:txbxContent>
                                        </v:textbox>
                                      </v:rect>
                                      <v:rect id="矩形 242" o:spid="_x0000_s1026" o:spt="1" style="position:absolute;left:12272;top:610505;height:415;width:1866;" filled="f" stroked="f" coordsize="21600,21600" o:gfxdata="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fA6V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4F89748">
                                              <w:pPr>
                                                <w:jc w:val="center"/>
                                                <w:rPr>
                                                  <w:rFonts w:hint="default" w:ascii="Times New Roman" w:hAnsi="Times New Roman" w:eastAsia="宋体" w:cs="Times New Roman"/>
                                                  <w:sz w:val="18"/>
                                                  <w:szCs w:val="18"/>
                                                  <w:lang w:val="en-US" w:eastAsia="zh-CN"/>
                                                </w:rPr>
                                              </w:pPr>
                                              <w:r>
                                                <w:rPr>
                                                  <w:rFonts w:hint="eastAsia" w:cs="Times New Roman"/>
                                                  <w:sz w:val="18"/>
                                                  <w:szCs w:val="18"/>
                                                  <w:lang w:val="en-US" w:eastAsia="zh-CN"/>
                                                </w:rPr>
                                                <w:t>粉碎包装</w:t>
                                              </w:r>
                                              <w:r>
                                                <w:rPr>
                                                  <w:rFonts w:hint="eastAsia" w:ascii="Times New Roman" w:hAnsi="Times New Roman" w:eastAsia="宋体" w:cs="Times New Roman"/>
                                                  <w:sz w:val="18"/>
                                                  <w:szCs w:val="18"/>
                                                  <w:lang w:val="en-US" w:eastAsia="zh-CN"/>
                                                </w:rPr>
                                                <w:t>后：</w:t>
                                              </w:r>
                                              <w:r>
                                                <w:rPr>
                                                  <w:rFonts w:hint="eastAsia" w:cs="Times New Roman"/>
                                                  <w:sz w:val="18"/>
                                                  <w:szCs w:val="18"/>
                                                  <w:lang w:val="en-US" w:eastAsia="zh-CN"/>
                                                </w:rPr>
                                                <w:t>300</w:t>
                                              </w:r>
                                            </w:p>
                                          </w:txbxContent>
                                        </v:textbox>
                                      </v:rect>
                                    </v:group>
                                    <v:line id="直接连接符 246" o:spid="_x0000_s1026" o:spt="20" style="position:absolute;left:8786;top:638447;flip:x;height:15;width:590;" filled="f" stroked="t" coordsize="21600,21600" o:gfxdata="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6ymO8AAAA&#10;2gAAAA8AAAAAAAAAAQAgAAAAIgAAAGRycy9kb3ducmV2LnhtbFBLAQIUABQAAAAIAIdO4kAzLwWe&#10;OwAAADkAAAAQAAAAAAAAAAEAIAAAAAsBAABkcnMvc2hhcGV4bWwueG1sUEsFBgAAAAAGAAYAWwEA&#10;ALUDAAAAAA==&#10;">
                                      <v:fill on="f" focussize="0,0"/>
                                      <v:stroke weight="1pt" color="#000000" joinstyle="round" endarrow="block"/>
                                      <v:imagedata o:title=""/>
                                      <o:lock v:ext="edit" aspectratio="f"/>
                                    </v:line>
                                  </v:group>
                                  <v:line id="_x0000_s1026" o:spid="_x0000_s1026" o:spt="20" style="position:absolute;left:8710;top:639287;flip:y;height:16;width:641;" filled="f" stroked="t" coordsize="21600,21600" o:gfxdata="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v4+0b4A&#10;AADbAAAADwAAAAAAAAABACAAAAAiAAAAZHJzL2Rvd25yZXYueG1sUEsBAhQAFAAAAAgAh07iQDMv&#10;BZ47AAAAOQAAABAAAAAAAAAAAQAgAAAADQEAAGRycy9zaGFwZXhtbC54bWxQSwUGAAAAAAYABgBb&#10;AQAAtwMAAAAA&#10;">
                                    <v:fill on="f" focussize="0,0"/>
                                    <v:stroke weight="1.5pt" color="#000000 [3213]" miterlimit="8" joinstyle="miter"/>
                                    <v:imagedata o:title=""/>
                                    <o:lock v:ext="edit" aspectratio="f"/>
                                  </v:line>
                                </v:group>
                              </v:group>
                            </v:group>
                            <v:line id="_x0000_s1026" o:spid="_x0000_s1026" o:spt="20" style="position:absolute;left:8299;top:637067;flip:x y;height:445;width:9;" filled="f" stroked="t" coordsize="21600,21600" o:gfxdata="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XKO7L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line>
                            <v:shape id="_x0000_s1026" o:spid="_x0000_s1026" o:spt="32" type="#_x0000_t32" style="position:absolute;left:6890;top:637060;height:330;width:2;" filled="f" stroked="t" coordsize="21600,21600" o:gfxdata="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C7/7ugAAANsA&#10;AAAPAAAAAAAAAAEAIAAAACIAAABkcnMvZG93bnJldi54bWxQSwECFAAUAAAACACHTuJAMy8FnjsA&#10;AAA5AAAAEAAAAAAAAAABACAAAAAJAQAAZHJzL3NoYXBleG1sLnhtbFBLBQYAAAAABgAGAFsBAACz&#10;AwAAAAA=&#10;">
                              <v:fill on="f" focussize="0,0"/>
                              <v:stroke weight="1pt" color="#000000 [3213]" miterlimit="8" joinstyle="miter" endarrow="open"/>
                              <v:imagedata o:title=""/>
                              <o:lock v:ext="edit" aspectratio="f"/>
                            </v:shape>
                            <v:rect id="矩形 245" o:spid="_x0000_s1026" o:spt="1" style="position:absolute;left:6906;top:636821;height:548;width:1508;" filled="f" stroked="f" coordsize="21600,21600" o:gfxdata="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D5gK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D7A6CC3">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0000FF"/>
                                        <w:sz w:val="16"/>
                                        <w:szCs w:val="16"/>
                                        <w:lang w:val="en-US" w:eastAsia="zh-CN"/>
                                      </w:rPr>
                                    </w:pPr>
                                    <w:r>
                                      <w:rPr>
                                        <w:rFonts w:hint="eastAsia" w:cs="Times New Roman"/>
                                        <w:b w:val="0"/>
                                        <w:bCs w:val="0"/>
                                        <w:color w:val="0000FF"/>
                                        <w:sz w:val="16"/>
                                        <w:szCs w:val="16"/>
                                        <w:lang w:val="en-US" w:eastAsia="zh-CN"/>
                                      </w:rPr>
                                      <w:t>布袋除尘器收集粉料回用：1.024</w:t>
                                    </w:r>
                                  </w:p>
                                </w:txbxContent>
                              </v:textbox>
                            </v:rect>
                            <v:line id="_x0000_s1026" o:spid="_x0000_s1026" o:spt="20" style="position:absolute;left:7924;top:637612;flip:x y;height:3252;width:23;" filled="f" stroked="t" coordsize="21600,21600" o:gfxdata="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znFJ74A&#10;AADbAAAADwAAAAAAAAABACAAAAAiAAAAZHJzL2Rvd25yZXYueG1sUEsBAhQAFAAAAAgAh07iQDMv&#10;BZ47AAAAOQAAABAAAAAAAAAAAQAgAAAADQEAAGRycy9zaGFwZXhtbC54bWxQSwUGAAAAAAYABgBb&#10;AQAAtwMAAAAA&#10;">
                              <v:fill on="f" focussize="0,0"/>
                              <v:stroke weight="1pt" color="#000000 [3213]" miterlimit="8" joinstyle="miter"/>
                              <v:imagedata o:title=""/>
                              <o:lock v:ext="edit" aspectratio="f"/>
                            </v:line>
                          </v:group>
                        </v:group>
                        <v:shape id="_x0000_s1026" o:spid="_x0000_s1026" o:spt="32" type="#_x0000_t32" style="position:absolute;left:7674;top:637625;flip:x;height:12;width:263;" filled="f" stroked="t" coordsize="21600,21600" o:gfxdata="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j6dQK/&#10;AAAA2wAAAA8AAAAAAAAAAQAgAAAAIgAAAGRycy9kb3ducmV2LnhtbFBLAQIUABQAAAAIAIdO4kAz&#10;LwWeOwAAADkAAAAQAAAAAAAAAAEAIAAAAA4BAABkcnMvc2hhcGV4bWwueG1sUEsFBgAAAAAGAAYA&#10;WwEAALgDAAAAAA==&#10;">
                          <v:fill on="f" focussize="0,0"/>
                          <v:stroke weight="1pt" color="#000000 [3213]" miterlimit="8" joinstyle="miter" endarrow="open"/>
                          <v:imagedata o:title=""/>
                          <o:lock v:ext="edit" aspectratio="f"/>
                        </v:shape>
                      </v:group>
                      <v:rect id="矩形 245" o:spid="_x0000_s1026" o:spt="1" style="position:absolute;left:7784;top:639149;height:1448;width:920;" filled="f" stroked="f" coordsize="21600,21600" o:gfxdata="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FPz6/&#10;AAAA2w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133682E">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0000FF"/>
                                  <w:sz w:val="16"/>
                                  <w:szCs w:val="16"/>
                                  <w:lang w:val="en-US" w:eastAsia="zh-CN"/>
                                </w:rPr>
                              </w:pPr>
                              <w:r>
                                <w:rPr>
                                  <w:rFonts w:hint="eastAsia" w:cs="Times New Roman"/>
                                  <w:b w:val="0"/>
                                  <w:bCs w:val="0"/>
                                  <w:color w:val="0000FF"/>
                                  <w:sz w:val="16"/>
                                  <w:szCs w:val="16"/>
                                  <w:lang w:val="en-US" w:eastAsia="zh-CN"/>
                                </w:rPr>
                                <w:t>布袋除尘器收集粉料回用：0.486</w:t>
                              </w:r>
                            </w:p>
                          </w:txbxContent>
                        </v:textbox>
                      </v:rect>
                    </v:group>
                  </w:pict>
                </mc:Fallback>
              </mc:AlternateContent>
            </w:r>
          </w:p>
          <w:p w14:paraId="10CF2AF5">
            <w:pPr>
              <w:pStyle w:val="2"/>
              <w:rPr>
                <w:rFonts w:hint="eastAsia"/>
                <w:color w:val="auto"/>
                <w:highlight w:val="none"/>
                <w:lang w:val="en-US" w:eastAsia="zh-CN"/>
              </w:rPr>
            </w:pPr>
            <w:r>
              <w:rPr>
                <w:color w:val="auto"/>
                <w:highlight w:val="none"/>
              </w:rPr>
              <mc:AlternateContent>
                <mc:Choice Requires="wps">
                  <w:drawing>
                    <wp:anchor distT="0" distB="0" distL="114300" distR="114300" simplePos="0" relativeHeight="251668480" behindDoc="0" locked="0" layoutInCell="1" allowOverlap="1">
                      <wp:simplePos x="0" y="0"/>
                      <wp:positionH relativeFrom="column">
                        <wp:posOffset>2855595</wp:posOffset>
                      </wp:positionH>
                      <wp:positionV relativeFrom="paragraph">
                        <wp:posOffset>55245</wp:posOffset>
                      </wp:positionV>
                      <wp:extent cx="1028065" cy="395605"/>
                      <wp:effectExtent l="0" t="0" r="0" b="0"/>
                      <wp:wrapNone/>
                      <wp:docPr id="63" name="矩形 245"/>
                      <wp:cNvGraphicFramePr/>
                      <a:graphic xmlns:a="http://schemas.openxmlformats.org/drawingml/2006/main">
                        <a:graphicData uri="http://schemas.microsoft.com/office/word/2010/wordprocessingShape">
                          <wps:wsp>
                            <wps:cNvSpPr/>
                            <wps:spPr>
                              <a:xfrm>
                                <a:off x="0" y="0"/>
                                <a:ext cx="1028065" cy="395605"/>
                              </a:xfrm>
                              <a:prstGeom prst="rect">
                                <a:avLst/>
                              </a:prstGeom>
                              <a:noFill/>
                              <a:ln>
                                <a:noFill/>
                              </a:ln>
                            </wps:spPr>
                            <wps:txbx>
                              <w:txbxContent>
                                <w:p w14:paraId="54D9B8A9">
                                  <w:pPr>
                                    <w:rPr>
                                      <w:rFonts w:hint="default"/>
                                      <w:lang w:val="en-US" w:eastAsia="zh-CN"/>
                                    </w:rPr>
                                  </w:pPr>
                                </w:p>
                              </w:txbxContent>
                            </wps:txbx>
                            <wps:bodyPr upright="1"/>
                          </wps:wsp>
                        </a:graphicData>
                      </a:graphic>
                    </wp:anchor>
                  </w:drawing>
                </mc:Choice>
                <mc:Fallback>
                  <w:pict>
                    <v:rect id="矩形 245" o:spid="_x0000_s1026" o:spt="1" style="position:absolute;left:0pt;margin-left:224.85pt;margin-top:4.35pt;height:31.15pt;width:80.95pt;z-index:251668480;mso-width-relative:page;mso-height-relative:page;" filled="f" stroked="f" coordsize="21600,21600" o:gfxdata="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B36PoI2QAAAAgBAAAP&#10;AAAAAAAAAAEAIAAAACIAAABkcnMvZG93bnJldi54bWxQSwECFAAUAAAACACHTuJABvTHWqUBAABE&#10;AwAADgAAAAAAAAABACAAAAAoAQAAZHJzL2Uyb0RvYy54bWxQSwUGAAAAAAYABgBZAQAAPwUAAAAA&#10;">
                      <v:fill on="f" focussize="0,0"/>
                      <v:stroke on="f"/>
                      <v:imagedata o:title=""/>
                      <o:lock v:ext="edit" aspectratio="f"/>
                      <v:textbox>
                        <w:txbxContent>
                          <w:p w14:paraId="54D9B8A9">
                            <w:pPr>
                              <w:rPr>
                                <w:rFonts w:hint="default"/>
                                <w:lang w:val="en-US" w:eastAsia="zh-CN"/>
                              </w:rPr>
                            </w:pPr>
                          </w:p>
                        </w:txbxContent>
                      </v:textbox>
                    </v:rect>
                  </w:pict>
                </mc:Fallback>
              </mc:AlternateContent>
            </w:r>
          </w:p>
          <w:p w14:paraId="79130F4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24776F0E">
            <w:pPr>
              <w:keepNext w:val="0"/>
              <w:keepLines w:val="0"/>
              <w:widowControl w:val="0"/>
              <w:kinsoku/>
              <w:autoSpaceDE/>
              <w:autoSpaceDN/>
              <w:bidi w:val="0"/>
              <w:adjustRightInd/>
              <w:snapToGrid/>
              <w:spacing w:beforeLines="0" w:beforeAutospacing="0" w:afterLines="0" w:afterAutospacing="0" w:line="360" w:lineRule="auto"/>
              <w:ind w:firstLine="48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color w:val="auto"/>
                <w:highlight w:val="none"/>
              </w:rPr>
              <mc:AlternateContent>
                <mc:Choice Requires="wps">
                  <w:drawing>
                    <wp:anchor distT="0" distB="0" distL="114300" distR="114300" simplePos="0" relativeHeight="251665408" behindDoc="0" locked="0" layoutInCell="1" allowOverlap="1">
                      <wp:simplePos x="0" y="0"/>
                      <wp:positionH relativeFrom="column">
                        <wp:posOffset>1090930</wp:posOffset>
                      </wp:positionH>
                      <wp:positionV relativeFrom="paragraph">
                        <wp:posOffset>134620</wp:posOffset>
                      </wp:positionV>
                      <wp:extent cx="1000125" cy="276225"/>
                      <wp:effectExtent l="0" t="0" r="0" b="0"/>
                      <wp:wrapNone/>
                      <wp:docPr id="16" name="矩形 255"/>
                      <wp:cNvGraphicFramePr/>
                      <a:graphic xmlns:a="http://schemas.openxmlformats.org/drawingml/2006/main">
                        <a:graphicData uri="http://schemas.microsoft.com/office/word/2010/wordprocessingShape">
                          <wps:wsp>
                            <wps:cNvSpPr/>
                            <wps:spPr>
                              <a:xfrm>
                                <a:off x="0" y="0"/>
                                <a:ext cx="1000125" cy="276225"/>
                              </a:xfrm>
                              <a:prstGeom prst="rect">
                                <a:avLst/>
                              </a:prstGeom>
                              <a:noFill/>
                              <a:ln>
                                <a:noFill/>
                              </a:ln>
                            </wps:spPr>
                            <wps:txbx>
                              <w:txbxContent>
                                <w:p w14:paraId="2EF491F6">
                                  <w:pPr>
                                    <w:keepNext w:val="0"/>
                                    <w:keepLines w:val="0"/>
                                    <w:pageBreakBefore w:val="0"/>
                                    <w:widowControl w:val="0"/>
                                    <w:kinsoku/>
                                    <w:wordWrap/>
                                    <w:overflowPunct/>
                                    <w:topLinePunct w:val="0"/>
                                    <w:bidi w:val="0"/>
                                    <w:adjustRightInd/>
                                    <w:snapToGrid/>
                                    <w:spacing w:line="240" w:lineRule="auto"/>
                                    <w:ind w:firstLine="0"/>
                                    <w:jc w:val="left"/>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eastAsia="zh-CN"/>
                                    </w:rPr>
                                    <w:t>去离子水</w:t>
                                  </w:r>
                                  <w:r>
                                    <w:rPr>
                                      <w:rFonts w:hint="eastAsia" w:ascii="Times New Roman" w:hAnsi="Times New Roman" w:cs="Times New Roman"/>
                                      <w:sz w:val="18"/>
                                      <w:szCs w:val="18"/>
                                      <w:lang w:val="en-US" w:eastAsia="zh-CN"/>
                                    </w:rPr>
                                    <w:t>1</w:t>
                                  </w:r>
                                  <w:r>
                                    <w:rPr>
                                      <w:rFonts w:hint="eastAsia" w:cs="Times New Roman"/>
                                      <w:sz w:val="18"/>
                                      <w:szCs w:val="18"/>
                                      <w:lang w:val="en-US" w:eastAsia="zh-CN"/>
                                    </w:rPr>
                                    <w:t>2</w:t>
                                  </w:r>
                                  <w:r>
                                    <w:rPr>
                                      <w:rFonts w:hint="eastAsia" w:ascii="Times New Roman" w:hAnsi="Times New Roman" w:cs="Times New Roman"/>
                                      <w:sz w:val="18"/>
                                      <w:szCs w:val="18"/>
                                      <w:lang w:val="en-US" w:eastAsia="zh-CN"/>
                                    </w:rPr>
                                    <w:t>00</w:t>
                                  </w:r>
                                </w:p>
                                <w:p w14:paraId="61D44C1A">
                                  <w:pPr>
                                    <w:pStyle w:val="10"/>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p>
                              </w:txbxContent>
                            </wps:txbx>
                            <wps:bodyPr upright="1"/>
                          </wps:wsp>
                        </a:graphicData>
                      </a:graphic>
                    </wp:anchor>
                  </w:drawing>
                </mc:Choice>
                <mc:Fallback>
                  <w:pict>
                    <v:rect id="矩形 255" o:spid="_x0000_s1026" o:spt="1" style="position:absolute;left:0pt;margin-left:85.9pt;margin-top:10.6pt;height:21.75pt;width:78.75pt;z-index:251665408;mso-width-relative:page;mso-height-relative:page;" filled="f" stroked="f" coordsize="21600,21600" o:gfxdata="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Vd3oq9oAAAAJAQAADwAA&#10;AAAAAAABACAAAAAiAAAAZHJzL2Rvd25yZXYueG1sUEsBAhQAFAAAAAgAh07iQM9PDtqiAQAARAMA&#10;AA4AAAAAAAAAAQAgAAAAKQEAAGRycy9lMm9Eb2MueG1sUEsFBgAAAAAGAAYAWQEAAD0FAAAAAA==&#10;">
                      <v:fill on="f" focussize="0,0"/>
                      <v:stroke on="f"/>
                      <v:imagedata o:title=""/>
                      <o:lock v:ext="edit" aspectratio="f"/>
                      <v:textbox>
                        <w:txbxContent>
                          <w:p w14:paraId="2EF491F6">
                            <w:pPr>
                              <w:keepNext w:val="0"/>
                              <w:keepLines w:val="0"/>
                              <w:pageBreakBefore w:val="0"/>
                              <w:widowControl w:val="0"/>
                              <w:kinsoku/>
                              <w:wordWrap/>
                              <w:overflowPunct/>
                              <w:topLinePunct w:val="0"/>
                              <w:bidi w:val="0"/>
                              <w:adjustRightInd/>
                              <w:snapToGrid/>
                              <w:spacing w:line="240" w:lineRule="auto"/>
                              <w:ind w:firstLine="0"/>
                              <w:jc w:val="left"/>
                              <w:textAlignment w:val="auto"/>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lang w:eastAsia="zh-CN"/>
                              </w:rPr>
                              <w:t>去离子水</w:t>
                            </w:r>
                            <w:r>
                              <w:rPr>
                                <w:rFonts w:hint="eastAsia" w:ascii="Times New Roman" w:hAnsi="Times New Roman" w:cs="Times New Roman"/>
                                <w:sz w:val="18"/>
                                <w:szCs w:val="18"/>
                                <w:lang w:val="en-US" w:eastAsia="zh-CN"/>
                              </w:rPr>
                              <w:t>1</w:t>
                            </w:r>
                            <w:r>
                              <w:rPr>
                                <w:rFonts w:hint="eastAsia" w:cs="Times New Roman"/>
                                <w:sz w:val="18"/>
                                <w:szCs w:val="18"/>
                                <w:lang w:val="en-US" w:eastAsia="zh-CN"/>
                              </w:rPr>
                              <w:t>2</w:t>
                            </w:r>
                            <w:r>
                              <w:rPr>
                                <w:rFonts w:hint="eastAsia" w:ascii="Times New Roman" w:hAnsi="Times New Roman" w:cs="Times New Roman"/>
                                <w:sz w:val="18"/>
                                <w:szCs w:val="18"/>
                                <w:lang w:val="en-US" w:eastAsia="zh-CN"/>
                              </w:rPr>
                              <w:t>00</w:t>
                            </w:r>
                          </w:p>
                          <w:p w14:paraId="61D44C1A">
                            <w:pPr>
                              <w:pStyle w:val="10"/>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p>
                        </w:txbxContent>
                      </v:textbox>
                    </v:rect>
                  </w:pict>
                </mc:Fallback>
              </mc:AlternateContent>
            </w:r>
          </w:p>
          <w:p w14:paraId="6ADA9302">
            <w:pPr>
              <w:keepNext w:val="0"/>
              <w:keepLines w:val="0"/>
              <w:widowControl w:val="0"/>
              <w:kinsoku/>
              <w:autoSpaceDE/>
              <w:autoSpaceDN/>
              <w:bidi w:val="0"/>
              <w:adjustRightInd/>
              <w:snapToGrid/>
              <w:spacing w:beforeLines="0" w:beforeAutospacing="0" w:afterLines="0" w:afterAutospacing="0" w:line="360" w:lineRule="auto"/>
              <w:ind w:firstLine="48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color w:val="auto"/>
                <w:highlight w:val="none"/>
              </w:rPr>
              <mc:AlternateContent>
                <mc:Choice Requires="wps">
                  <w:drawing>
                    <wp:anchor distT="0" distB="0" distL="114300" distR="114300" simplePos="0" relativeHeight="251664384" behindDoc="0" locked="0" layoutInCell="1" allowOverlap="1">
                      <wp:simplePos x="0" y="0"/>
                      <wp:positionH relativeFrom="column">
                        <wp:posOffset>1075690</wp:posOffset>
                      </wp:positionH>
                      <wp:positionV relativeFrom="paragraph">
                        <wp:posOffset>168275</wp:posOffset>
                      </wp:positionV>
                      <wp:extent cx="990600" cy="0"/>
                      <wp:effectExtent l="0" t="38100" r="0" b="38100"/>
                      <wp:wrapNone/>
                      <wp:docPr id="1" name="直接箭头连接符 179"/>
                      <wp:cNvGraphicFramePr/>
                      <a:graphic xmlns:a="http://schemas.openxmlformats.org/drawingml/2006/main">
                        <a:graphicData uri="http://schemas.microsoft.com/office/word/2010/wordprocessingShape">
                          <wps:wsp>
                            <wps:cNvCnPr/>
                            <wps:spPr>
                              <a:xfrm>
                                <a:off x="0" y="0"/>
                                <a:ext cx="990600" cy="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直接箭头连接符 179" o:spid="_x0000_s1026" o:spt="32" type="#_x0000_t32" style="position:absolute;left:0pt;margin-left:84.7pt;margin-top:13.25pt;height:0pt;width:78pt;z-index:251664384;mso-width-relative:page;mso-height-relative:page;" filled="f" stroked="t" coordsize="21600,21600" o:gfxdata="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a3taH1gAAAAkBAAAP&#10;AAAAAAAAAAEAIAAAACIAAABkcnMvZG93bnJldi54bWxQSwECFAAUAAAACACHTuJA0xKzehoCAAAf&#10;BAAADgAAAAAAAAABACAAAAAlAQAAZHJzL2Uyb0RvYy54bWxQSwUGAAAAAAYABgBZAQAAsQUAAAAA&#10;">
                      <v:fill on="f" focussize="0,0"/>
                      <v:stroke weight="1pt" color="#000000 [3200]" miterlimit="8" joinstyle="miter" endarrow="block"/>
                      <v:imagedata o:title=""/>
                      <o:lock v:ext="edit" aspectratio="f"/>
                    </v:shape>
                  </w:pict>
                </mc:Fallback>
              </mc:AlternateContent>
            </w:r>
          </w:p>
          <w:p w14:paraId="30746373">
            <w:pPr>
              <w:keepNext w:val="0"/>
              <w:keepLines w:val="0"/>
              <w:widowControl w:val="0"/>
              <w:kinsoku/>
              <w:autoSpaceDE/>
              <w:autoSpaceDN/>
              <w:bidi w:val="0"/>
              <w:adjustRightInd/>
              <w:snapToGrid/>
              <w:spacing w:beforeLines="0" w:beforeAutospacing="0" w:afterLines="0" w:afterAutospacing="0" w:line="360" w:lineRule="auto"/>
              <w:ind w:firstLine="48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color w:val="auto"/>
                <w:highlight w:val="none"/>
              </w:rPr>
              <mc:AlternateContent>
                <mc:Choice Requires="wps">
                  <w:drawing>
                    <wp:anchor distT="0" distB="0" distL="114300" distR="114300" simplePos="0" relativeHeight="251667456" behindDoc="0" locked="0" layoutInCell="1" allowOverlap="1">
                      <wp:simplePos x="0" y="0"/>
                      <wp:positionH relativeFrom="column">
                        <wp:posOffset>3463290</wp:posOffset>
                      </wp:positionH>
                      <wp:positionV relativeFrom="paragraph">
                        <wp:posOffset>635</wp:posOffset>
                      </wp:positionV>
                      <wp:extent cx="782955" cy="347980"/>
                      <wp:effectExtent l="0" t="0" r="0" b="0"/>
                      <wp:wrapNone/>
                      <wp:docPr id="94" name="矩形 245"/>
                      <wp:cNvGraphicFramePr/>
                      <a:graphic xmlns:a="http://schemas.openxmlformats.org/drawingml/2006/main">
                        <a:graphicData uri="http://schemas.microsoft.com/office/word/2010/wordprocessingShape">
                          <wps:wsp>
                            <wps:cNvSpPr/>
                            <wps:spPr>
                              <a:xfrm>
                                <a:off x="0" y="0"/>
                                <a:ext cx="782955" cy="347980"/>
                              </a:xfrm>
                              <a:prstGeom prst="rect">
                                <a:avLst/>
                              </a:prstGeom>
                              <a:noFill/>
                              <a:ln>
                                <a:noFill/>
                              </a:ln>
                            </wps:spPr>
                            <wps:txbx>
                              <w:txbxContent>
                                <w:p w14:paraId="0600407F">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eastAsia" w:cs="Times New Roman"/>
                                      <w:b w:val="0"/>
                                      <w:bCs w:val="0"/>
                                      <w:color w:val="auto"/>
                                      <w:sz w:val="16"/>
                                      <w:szCs w:val="16"/>
                                      <w:lang w:val="en-US" w:eastAsia="zh-CN"/>
                                    </w:rPr>
                                  </w:pPr>
                                  <w:r>
                                    <w:rPr>
                                      <w:rFonts w:hint="eastAsia" w:cs="Times New Roman"/>
                                      <w:b w:val="0"/>
                                      <w:bCs w:val="0"/>
                                      <w:sz w:val="16"/>
                                      <w:szCs w:val="16"/>
                                      <w:lang w:val="en-US" w:eastAsia="zh-CN"/>
                                    </w:rPr>
                                    <w:t>未</w:t>
                                  </w:r>
                                  <w:r>
                                    <w:rPr>
                                      <w:rFonts w:hint="eastAsia" w:cs="Times New Roman"/>
                                      <w:b w:val="0"/>
                                      <w:bCs w:val="0"/>
                                      <w:color w:val="auto"/>
                                      <w:sz w:val="16"/>
                                      <w:szCs w:val="16"/>
                                      <w:lang w:val="en-US" w:eastAsia="zh-CN"/>
                                    </w:rPr>
                                    <w:t>反应铁粉</w:t>
                                  </w:r>
                                </w:p>
                                <w:p w14:paraId="653BCCB7">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auto"/>
                                      <w:sz w:val="16"/>
                                      <w:szCs w:val="16"/>
                                      <w:lang w:val="en-US" w:eastAsia="zh-CN"/>
                                    </w:rPr>
                                  </w:pPr>
                                  <w:r>
                                    <w:rPr>
                                      <w:rFonts w:hint="eastAsia" w:cs="Times New Roman"/>
                                      <w:b w:val="0"/>
                                      <w:bCs w:val="0"/>
                                      <w:color w:val="auto"/>
                                      <w:sz w:val="16"/>
                                      <w:szCs w:val="16"/>
                                      <w:lang w:val="en-US" w:eastAsia="zh-CN"/>
                                    </w:rPr>
                                    <w:t>回用：32</w:t>
                                  </w:r>
                                </w:p>
                              </w:txbxContent>
                            </wps:txbx>
                            <wps:bodyPr upright="1"/>
                          </wps:wsp>
                        </a:graphicData>
                      </a:graphic>
                    </wp:anchor>
                  </w:drawing>
                </mc:Choice>
                <mc:Fallback>
                  <w:pict>
                    <v:rect id="矩形 245" o:spid="_x0000_s1026" o:spt="1" style="position:absolute;left:0pt;margin-left:272.7pt;margin-top:0.05pt;height:27.4pt;width:61.65pt;z-index:251667456;mso-width-relative:page;mso-height-relative:page;" filled="f" stroked="f" coordsize="21600,21600" o:gfxdata="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G6wknXXAAAABwEAAA8A&#10;AAAAAAAAAQAgAAAAIgAAAGRycy9kb3ducmV2LnhtbFBLAQIUABQAAAAIAIdO4kAvU25kpgEAAEMD&#10;AAAOAAAAAAAAAAEAIAAAACYBAABkcnMvZTJvRG9jLnhtbFBLBQYAAAAABgAGAFkBAAA+BQAAAAA=&#10;">
                      <v:fill on="f" focussize="0,0"/>
                      <v:stroke on="f"/>
                      <v:imagedata o:title=""/>
                      <o:lock v:ext="edit" aspectratio="f"/>
                      <v:textbox>
                        <w:txbxContent>
                          <w:p w14:paraId="0600407F">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eastAsia" w:cs="Times New Roman"/>
                                <w:b w:val="0"/>
                                <w:bCs w:val="0"/>
                                <w:color w:val="auto"/>
                                <w:sz w:val="16"/>
                                <w:szCs w:val="16"/>
                                <w:lang w:val="en-US" w:eastAsia="zh-CN"/>
                              </w:rPr>
                            </w:pPr>
                            <w:r>
                              <w:rPr>
                                <w:rFonts w:hint="eastAsia" w:cs="Times New Roman"/>
                                <w:b w:val="0"/>
                                <w:bCs w:val="0"/>
                                <w:sz w:val="16"/>
                                <w:szCs w:val="16"/>
                                <w:lang w:val="en-US" w:eastAsia="zh-CN"/>
                              </w:rPr>
                              <w:t>未</w:t>
                            </w:r>
                            <w:r>
                              <w:rPr>
                                <w:rFonts w:hint="eastAsia" w:cs="Times New Roman"/>
                                <w:b w:val="0"/>
                                <w:bCs w:val="0"/>
                                <w:color w:val="auto"/>
                                <w:sz w:val="16"/>
                                <w:szCs w:val="16"/>
                                <w:lang w:val="en-US" w:eastAsia="zh-CN"/>
                              </w:rPr>
                              <w:t>反应铁粉</w:t>
                            </w:r>
                          </w:p>
                          <w:p w14:paraId="653BCCB7">
                            <w:pPr>
                              <w:pStyle w:val="6"/>
                              <w:keepNext w:val="0"/>
                              <w:keepLines w:val="0"/>
                              <w:pageBreakBefore w:val="0"/>
                              <w:widowControl w:val="0"/>
                              <w:numPr>
                                <w:ilvl w:val="3"/>
                                <w:numId w:val="0"/>
                              </w:numPr>
                              <w:kinsoku/>
                              <w:wordWrap/>
                              <w:overflowPunct/>
                              <w:topLinePunct w:val="0"/>
                              <w:autoSpaceDE/>
                              <w:autoSpaceDN/>
                              <w:bidi w:val="0"/>
                              <w:adjustRightInd/>
                              <w:snapToGrid w:val="0"/>
                              <w:spacing w:line="240" w:lineRule="auto"/>
                              <w:ind w:leftChars="0"/>
                              <w:jc w:val="left"/>
                              <w:textAlignment w:val="auto"/>
                              <w:rPr>
                                <w:rFonts w:hint="default" w:ascii="Times New Roman" w:hAnsi="Times New Roman" w:eastAsia="宋体" w:cs="Times New Roman"/>
                                <w:b w:val="0"/>
                                <w:bCs w:val="0"/>
                                <w:color w:val="auto"/>
                                <w:sz w:val="16"/>
                                <w:szCs w:val="16"/>
                                <w:lang w:val="en-US" w:eastAsia="zh-CN"/>
                              </w:rPr>
                            </w:pPr>
                            <w:r>
                              <w:rPr>
                                <w:rFonts w:hint="eastAsia" w:cs="Times New Roman"/>
                                <w:b w:val="0"/>
                                <w:bCs w:val="0"/>
                                <w:color w:val="auto"/>
                                <w:sz w:val="16"/>
                                <w:szCs w:val="16"/>
                                <w:lang w:val="en-US" w:eastAsia="zh-CN"/>
                              </w:rPr>
                              <w:t>回用：32</w:t>
                            </w:r>
                          </w:p>
                        </w:txbxContent>
                      </v:textbox>
                    </v:rect>
                  </w:pict>
                </mc:Fallback>
              </mc:AlternateContent>
            </w:r>
          </w:p>
          <w:p w14:paraId="1E3E6FF3">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118906EF">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70C8460F">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6CD7DB42">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41B5F34A">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67F08CC2">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7E1720A8">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6EDF8278">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3185116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26A29EB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318583CC">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64969C63">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5C139DBC">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p>
          <w:p w14:paraId="40E4BE91">
            <w:pPr>
              <w:keepNext w:val="0"/>
              <w:keepLines w:val="0"/>
              <w:widowControl w:val="0"/>
              <w:kinsoku/>
              <w:autoSpaceDE/>
              <w:autoSpaceDN/>
              <w:bidi w:val="0"/>
              <w:adjustRightInd/>
              <w:snapToGrid/>
              <w:spacing w:beforeLines="0" w:beforeAutospacing="0" w:afterLines="0" w:afterAutospacing="0" w:line="360" w:lineRule="auto"/>
              <w:ind w:firstLine="422" w:firstLineChars="200"/>
              <w:jc w:val="center"/>
              <w:outlineLvl w:val="1"/>
              <w:rPr>
                <w:rFonts w:hint="eastAsia" w:cs="Times New Roman"/>
                <w:b/>
                <w:bCs w:val="0"/>
                <w:color w:val="auto"/>
                <w:kern w:val="2"/>
                <w:sz w:val="21"/>
                <w:szCs w:val="21"/>
                <w:highlight w:val="none"/>
                <w:lang w:val="en-US" w:eastAsia="zh-CN" w:bidi="ar-SA"/>
              </w:rPr>
            </w:pPr>
            <w:r>
              <w:rPr>
                <w:rFonts w:hint="eastAsia" w:cs="Times New Roman"/>
                <w:b/>
                <w:bCs w:val="0"/>
                <w:color w:val="auto"/>
                <w:kern w:val="2"/>
                <w:sz w:val="21"/>
                <w:szCs w:val="21"/>
                <w:highlight w:val="none"/>
                <w:lang w:val="en-US" w:eastAsia="zh-CN" w:bidi="ar-SA"/>
              </w:rPr>
              <w:t xml:space="preserve">图2-2  </w:t>
            </w:r>
            <w:r>
              <w:rPr>
                <w:rFonts w:hint="default" w:ascii="Times New Roman" w:hAnsi="Times New Roman" w:eastAsia="宋体" w:cs="Times New Roman"/>
                <w:b/>
                <w:bCs/>
                <w:color w:val="auto"/>
                <w:sz w:val="21"/>
                <w:szCs w:val="21"/>
                <w:highlight w:val="none"/>
                <w:lang w:val="en-US" w:eastAsia="zh-CN"/>
              </w:rPr>
              <w:t>甘氨酸</w:t>
            </w:r>
            <w:r>
              <w:rPr>
                <w:rFonts w:hint="eastAsia" w:cs="Times New Roman"/>
                <w:b/>
                <w:bCs/>
                <w:color w:val="auto"/>
                <w:sz w:val="21"/>
                <w:szCs w:val="21"/>
                <w:highlight w:val="none"/>
                <w:lang w:val="en-US" w:eastAsia="zh-CN"/>
              </w:rPr>
              <w:t>亚铁</w:t>
            </w:r>
            <w:r>
              <w:rPr>
                <w:rFonts w:hint="default" w:ascii="Times New Roman" w:hAnsi="Times New Roman" w:eastAsia="宋体" w:cs="Times New Roman"/>
                <w:b/>
                <w:bCs/>
                <w:color w:val="auto"/>
                <w:sz w:val="21"/>
                <w:szCs w:val="21"/>
                <w:highlight w:val="none"/>
                <w:lang w:val="en-US" w:eastAsia="zh-CN"/>
              </w:rPr>
              <w:t>产品</w:t>
            </w:r>
            <w:r>
              <w:rPr>
                <w:rFonts w:hint="eastAsia" w:ascii="Times New Roman" w:hAnsi="Times New Roman" w:eastAsia="宋体" w:cs="Times New Roman"/>
                <w:b/>
                <w:bCs/>
                <w:color w:val="auto"/>
                <w:sz w:val="21"/>
                <w:szCs w:val="21"/>
                <w:highlight w:val="none"/>
                <w:lang w:val="en-US" w:eastAsia="zh-CN"/>
              </w:rPr>
              <w:t>（</w:t>
            </w:r>
            <w:r>
              <w:rPr>
                <w:rFonts w:hint="eastAsia" w:cs="Times New Roman"/>
                <w:b/>
                <w:bCs/>
                <w:color w:val="auto"/>
                <w:sz w:val="21"/>
                <w:szCs w:val="21"/>
                <w:highlight w:val="none"/>
                <w:lang w:val="en-US" w:eastAsia="zh-CN"/>
              </w:rPr>
              <w:t>30</w:t>
            </w:r>
            <w:r>
              <w:rPr>
                <w:rFonts w:hint="eastAsia" w:ascii="Times New Roman" w:hAnsi="Times New Roman" w:eastAsia="宋体" w:cs="Times New Roman"/>
                <w:b/>
                <w:bCs/>
                <w:color w:val="auto"/>
                <w:sz w:val="21"/>
                <w:szCs w:val="21"/>
                <w:highlight w:val="none"/>
                <w:lang w:val="en-US" w:eastAsia="zh-CN"/>
              </w:rPr>
              <w:t>0t/a）</w:t>
            </w:r>
            <w:r>
              <w:rPr>
                <w:rFonts w:hint="default" w:ascii="Times New Roman" w:hAnsi="Times New Roman" w:eastAsia="宋体" w:cs="Times New Roman"/>
                <w:b/>
                <w:bCs/>
                <w:color w:val="auto"/>
                <w:sz w:val="21"/>
                <w:szCs w:val="21"/>
                <w:highlight w:val="none"/>
                <w:lang w:val="en-US" w:eastAsia="zh-CN"/>
              </w:rPr>
              <w:t>物料平衡</w:t>
            </w:r>
            <w:r>
              <w:rPr>
                <w:rFonts w:hint="eastAsia" w:ascii="Times New Roman" w:hAnsi="Times New Roman" w:cs="Times New Roman"/>
                <w:b/>
                <w:bCs/>
                <w:color w:val="auto"/>
                <w:sz w:val="21"/>
                <w:szCs w:val="21"/>
                <w:highlight w:val="none"/>
                <w:lang w:val="en-US" w:eastAsia="zh-CN"/>
              </w:rPr>
              <w:t>图</w:t>
            </w:r>
            <w:r>
              <w:rPr>
                <w:rFonts w:hint="eastAsia" w:cs="Times New Roman"/>
                <w:b/>
                <w:bCs w:val="0"/>
                <w:color w:val="auto"/>
                <w:kern w:val="2"/>
                <w:sz w:val="21"/>
                <w:szCs w:val="21"/>
                <w:highlight w:val="none"/>
                <w:lang w:val="en-US" w:eastAsia="zh-CN" w:bidi="ar-SA"/>
              </w:rPr>
              <w:t xml:space="preserve">    单位：t/a</w:t>
            </w:r>
          </w:p>
          <w:p w14:paraId="3E32B3DB">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w:t>
            </w:r>
            <w:r>
              <w:rPr>
                <w:rFonts w:hint="eastAsia" w:cs="Times New Roman"/>
                <w:b/>
                <w:bCs w:val="0"/>
                <w:color w:val="auto"/>
                <w:kern w:val="2"/>
                <w:sz w:val="21"/>
                <w:szCs w:val="21"/>
                <w:highlight w:val="none"/>
                <w:lang w:val="en-US" w:eastAsia="zh-CN" w:bidi="ar-SA"/>
              </w:rPr>
              <w:t>六</w:t>
            </w:r>
            <w:r>
              <w:rPr>
                <w:rFonts w:hint="eastAsia" w:ascii="Times New Roman" w:hAnsi="Times New Roman" w:eastAsia="宋体" w:cs="Times New Roman"/>
                <w:b/>
                <w:bCs w:val="0"/>
                <w:color w:val="auto"/>
                <w:kern w:val="2"/>
                <w:sz w:val="21"/>
                <w:szCs w:val="21"/>
                <w:highlight w:val="none"/>
                <w:lang w:val="en-US" w:eastAsia="zh-CN" w:bidi="ar-SA"/>
              </w:rPr>
              <w:t>）</w:t>
            </w:r>
            <w:r>
              <w:rPr>
                <w:rFonts w:hint="default" w:ascii="Times New Roman" w:hAnsi="Times New Roman" w:eastAsia="宋体" w:cs="Times New Roman"/>
                <w:b/>
                <w:bCs w:val="0"/>
                <w:color w:val="auto"/>
                <w:kern w:val="2"/>
                <w:sz w:val="21"/>
                <w:szCs w:val="21"/>
                <w:highlight w:val="none"/>
                <w:lang w:val="en-US" w:eastAsia="zh-CN" w:bidi="ar-SA"/>
              </w:rPr>
              <w:t>公用工程</w:t>
            </w:r>
          </w:p>
          <w:p w14:paraId="301011A3">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1、</w:t>
            </w:r>
            <w:r>
              <w:rPr>
                <w:rFonts w:hint="default" w:ascii="Times New Roman" w:hAnsi="Times New Roman" w:eastAsia="宋体" w:cs="Times New Roman"/>
                <w:b w:val="0"/>
                <w:bCs w:val="0"/>
                <w:color w:val="auto"/>
                <w:sz w:val="21"/>
                <w:szCs w:val="21"/>
                <w:highlight w:val="none"/>
                <w:lang w:val="en-US" w:eastAsia="zh-CN"/>
              </w:rPr>
              <w:t>供热</w:t>
            </w:r>
          </w:p>
          <w:p w14:paraId="568B4D9F">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rPr>
              <w:t>公司供热由园区供热管网提供，利用公司现有换热站，换热站设计能力150t/h，现有工程</w:t>
            </w:r>
            <w:r>
              <w:rPr>
                <w:rFonts w:hint="eastAsia" w:cs="Times New Roman"/>
                <w:color w:val="auto"/>
                <w:spacing w:val="0"/>
                <w:w w:val="100"/>
                <w:position w:val="0"/>
                <w:sz w:val="21"/>
                <w:szCs w:val="21"/>
                <w:highlight w:val="none"/>
                <w:lang w:val="en-US" w:eastAsia="zh-CN"/>
              </w:rPr>
              <w:t>满负荷</w:t>
            </w:r>
            <w:r>
              <w:rPr>
                <w:rFonts w:hint="eastAsia" w:ascii="Times New Roman" w:hAnsi="Times New Roman" w:eastAsia="宋体" w:cs="Times New Roman"/>
                <w:color w:val="auto"/>
                <w:spacing w:val="0"/>
                <w:w w:val="100"/>
                <w:position w:val="0"/>
                <w:sz w:val="21"/>
                <w:szCs w:val="21"/>
                <w:highlight w:val="none"/>
                <w:lang w:val="en-US" w:eastAsia="zh-CN"/>
              </w:rPr>
              <w:t>使用92t/h，尚有余量</w:t>
            </w:r>
            <w:r>
              <w:rPr>
                <w:rFonts w:hint="eastAsia" w:ascii="Times New Roman" w:hAnsi="Times New Roman" w:eastAsia="宋体" w:cs="Times New Roman"/>
                <w:color w:val="auto"/>
                <w:sz w:val="21"/>
                <w:szCs w:val="21"/>
                <w:highlight w:val="none"/>
                <w:lang w:val="en-US" w:eastAsia="zh-CN" w:bidi="ar-SA"/>
              </w:rPr>
              <w:t>，本项目蒸汽需求量0.</w:t>
            </w:r>
            <w:r>
              <w:rPr>
                <w:rFonts w:hint="eastAsia" w:cs="Times New Roman"/>
                <w:color w:val="auto"/>
                <w:sz w:val="21"/>
                <w:szCs w:val="21"/>
                <w:highlight w:val="none"/>
                <w:lang w:val="en-US" w:eastAsia="zh-CN" w:bidi="ar-SA"/>
              </w:rPr>
              <w:t>353</w:t>
            </w:r>
            <w:r>
              <w:rPr>
                <w:rFonts w:hint="eastAsia" w:ascii="Times New Roman" w:hAnsi="Times New Roman" w:eastAsia="宋体" w:cs="Times New Roman"/>
                <w:color w:val="auto"/>
                <w:sz w:val="21"/>
                <w:szCs w:val="21"/>
                <w:highlight w:val="none"/>
                <w:lang w:val="en-US" w:eastAsia="zh-CN" w:bidi="ar-SA"/>
              </w:rPr>
              <w:t>t/h</w:t>
            </w:r>
            <w:r>
              <w:rPr>
                <w:rFonts w:hint="eastAsia" w:ascii="Times New Roman" w:hAnsi="Times New Roman" w:eastAsia="宋体" w:cs="Times New Roman"/>
                <w:color w:val="auto"/>
                <w:sz w:val="21"/>
                <w:szCs w:val="21"/>
                <w:highlight w:val="none"/>
                <w:lang w:val="en-US" w:eastAsia="zh-CN"/>
              </w:rPr>
              <w:t>，年消耗蒸汽</w:t>
            </w:r>
            <w:r>
              <w:rPr>
                <w:rFonts w:hint="eastAsia" w:ascii="Times New Roman" w:hAnsi="Times New Roman" w:eastAsia="宋体" w:cs="Times New Roman"/>
                <w:color w:val="auto"/>
                <w:sz w:val="21"/>
                <w:szCs w:val="21"/>
                <w:highlight w:val="none"/>
                <w:lang w:val="en-US" w:eastAsia="zh-CN" w:bidi="ar-SA"/>
              </w:rPr>
              <w:t>量</w:t>
            </w:r>
            <w:r>
              <w:rPr>
                <w:rFonts w:hint="default" w:ascii="Times New Roman" w:hAnsi="Times New Roman" w:eastAsia="宋体" w:cs="Times New Roman"/>
                <w:color w:val="auto"/>
                <w:sz w:val="21"/>
                <w:szCs w:val="21"/>
                <w:highlight w:val="none"/>
                <w:lang w:val="en-US" w:eastAsia="zh-CN" w:bidi="ar-SA"/>
              </w:rPr>
              <w:t>2543</w:t>
            </w:r>
            <w:r>
              <w:rPr>
                <w:rFonts w:hint="eastAsia" w:ascii="Times New Roman" w:hAnsi="Times New Roman" w:eastAsia="宋体" w:cs="Times New Roman"/>
                <w:color w:val="auto"/>
                <w:sz w:val="21"/>
                <w:szCs w:val="21"/>
                <w:highlight w:val="none"/>
                <w:lang w:val="en-US" w:eastAsia="zh-CN" w:bidi="ar-SA"/>
              </w:rPr>
              <w:t>.21t，压</w:t>
            </w:r>
            <w:r>
              <w:rPr>
                <w:rFonts w:hint="eastAsia" w:ascii="Times New Roman" w:hAnsi="Times New Roman" w:eastAsia="宋体" w:cs="Times New Roman"/>
                <w:color w:val="auto"/>
                <w:sz w:val="21"/>
                <w:szCs w:val="21"/>
                <w:highlight w:val="none"/>
                <w:lang w:val="en-US" w:eastAsia="zh-CN"/>
              </w:rPr>
              <w:t>力为0.4MPa，</w:t>
            </w:r>
            <w:r>
              <w:rPr>
                <w:rFonts w:hint="eastAsia" w:ascii="Times New Roman" w:hAnsi="Times New Roman" w:eastAsia="宋体" w:cs="Times New Roman"/>
                <w:color w:val="auto"/>
                <w:sz w:val="21"/>
                <w:szCs w:val="21"/>
                <w:highlight w:val="none"/>
                <w:lang w:val="en-US" w:eastAsia="zh-CN" w:bidi="ar-SA"/>
              </w:rPr>
              <w:t>供汽余量满足本项目用汽需要。</w:t>
            </w:r>
          </w:p>
          <w:p w14:paraId="766B2A35">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2、</w:t>
            </w:r>
            <w:r>
              <w:rPr>
                <w:rFonts w:hint="default" w:ascii="Times New Roman" w:hAnsi="Times New Roman" w:eastAsia="宋体" w:cs="Times New Roman"/>
                <w:b w:val="0"/>
                <w:bCs w:val="0"/>
                <w:color w:val="auto"/>
                <w:sz w:val="21"/>
                <w:szCs w:val="21"/>
                <w:highlight w:val="none"/>
                <w:lang w:val="en-US" w:eastAsia="zh-CN"/>
              </w:rPr>
              <w:t>供电</w:t>
            </w:r>
          </w:p>
          <w:p w14:paraId="2D96540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厂区现有电源引自化工园区220kV变电站，采用双回路10kV电力线路直埋敷设至东华金龙公司变配电所进线开关柜。该10kV双回路电源引自不同变压器，一主一备，供电质量安全可靠。厂区现有变配电所总容量为13000kVA，内设SCB10-2000/10 2000kVA干式变压器4台及相应的高低压配电设备，高、低压母线为单母线接线。6台变压器其中6台在用，富余电量为2000kW。本项目需电量为</w:t>
            </w:r>
            <w:r>
              <w:rPr>
                <w:rFonts w:hint="eastAsia" w:cs="Times New Roman"/>
                <w:b w:val="0"/>
                <w:bCs w:val="0"/>
                <w:color w:val="auto"/>
                <w:sz w:val="21"/>
                <w:szCs w:val="21"/>
                <w:highlight w:val="none"/>
                <w:lang w:val="en-US" w:eastAsia="zh-CN"/>
              </w:rPr>
              <w:t>160.53</w:t>
            </w:r>
            <w:r>
              <w:rPr>
                <w:rFonts w:hint="default" w:ascii="Times New Roman" w:hAnsi="Times New Roman" w:eastAsia="宋体" w:cs="Times New Roman"/>
                <w:b w:val="0"/>
                <w:bCs w:val="0"/>
                <w:color w:val="auto"/>
                <w:sz w:val="21"/>
                <w:szCs w:val="21"/>
                <w:highlight w:val="none"/>
                <w:lang w:val="en-US" w:eastAsia="zh-CN"/>
              </w:rPr>
              <w:t>kW</w:t>
            </w:r>
            <w:r>
              <w:rPr>
                <w:rFonts w:hint="eastAsia" w:cs="Times New Roman"/>
                <w:b w:val="0"/>
                <w:bCs w:val="0"/>
                <w:color w:val="auto"/>
                <w:sz w:val="21"/>
                <w:szCs w:val="21"/>
                <w:highlight w:val="none"/>
                <w:lang w:val="en-US" w:eastAsia="zh-CN"/>
              </w:rPr>
              <w:t>（</w:t>
            </w:r>
            <w:r>
              <w:rPr>
                <w:rFonts w:hint="eastAsia" w:cs="Times New Roman"/>
                <w:color w:val="auto"/>
                <w:sz w:val="21"/>
                <w:szCs w:val="21"/>
                <w:highlight w:val="none"/>
                <w:lang w:val="en-US" w:eastAsia="zh-CN"/>
              </w:rPr>
              <w:t>140.62</w:t>
            </w:r>
            <w:r>
              <w:rPr>
                <w:rFonts w:hint="eastAsia" w:ascii="Times New Roman"/>
                <w:color w:val="auto"/>
                <w:sz w:val="21"/>
                <w:highlight w:val="none"/>
                <w:lang w:val="en-US" w:eastAsia="zh-CN"/>
              </w:rPr>
              <w:t>万kWh</w:t>
            </w:r>
            <w:r>
              <w:rPr>
                <w:rFonts w:hint="eastAsia" w:cs="Times New Roman"/>
                <w:b w:val="0"/>
                <w:bCs w:val="0"/>
                <w:color w:val="auto"/>
                <w:sz w:val="21"/>
                <w:szCs w:val="21"/>
                <w:highlight w:val="none"/>
                <w:lang w:val="en-US" w:eastAsia="zh-CN"/>
              </w:rPr>
              <w:t>），</w:t>
            </w:r>
            <w:r>
              <w:rPr>
                <w:rFonts w:hint="default" w:ascii="Times New Roman" w:hAnsi="Times New Roman" w:eastAsia="宋体" w:cs="Times New Roman"/>
                <w:b w:val="0"/>
                <w:bCs w:val="0"/>
                <w:color w:val="auto"/>
                <w:sz w:val="21"/>
                <w:szCs w:val="21"/>
                <w:highlight w:val="none"/>
                <w:lang w:val="en-US" w:eastAsia="zh-CN"/>
              </w:rPr>
              <w:t>供电</w:t>
            </w:r>
            <w:r>
              <w:rPr>
                <w:rFonts w:hint="eastAsia" w:ascii="Times New Roman" w:hAnsi="Times New Roman" w:eastAsia="宋体" w:cs="Times New Roman"/>
                <w:b w:val="0"/>
                <w:bCs w:val="0"/>
                <w:color w:val="auto"/>
                <w:sz w:val="21"/>
                <w:szCs w:val="21"/>
                <w:highlight w:val="none"/>
                <w:lang w:val="en-US" w:eastAsia="zh-CN"/>
              </w:rPr>
              <w:t>余量</w:t>
            </w:r>
            <w:r>
              <w:rPr>
                <w:rFonts w:hint="default" w:ascii="Times New Roman" w:hAnsi="Times New Roman" w:eastAsia="宋体" w:cs="Times New Roman"/>
                <w:b w:val="0"/>
                <w:bCs w:val="0"/>
                <w:color w:val="auto"/>
                <w:sz w:val="21"/>
                <w:szCs w:val="21"/>
                <w:highlight w:val="none"/>
                <w:lang w:val="en-US" w:eastAsia="zh-CN"/>
              </w:rPr>
              <w:t>满足本</w:t>
            </w:r>
            <w:r>
              <w:rPr>
                <w:rFonts w:hint="eastAsia" w:ascii="Times New Roman" w:hAnsi="Times New Roman" w:eastAsia="宋体" w:cs="Times New Roman"/>
                <w:b w:val="0"/>
                <w:bCs w:val="0"/>
                <w:color w:val="auto"/>
                <w:sz w:val="21"/>
                <w:szCs w:val="21"/>
                <w:highlight w:val="none"/>
                <w:lang w:val="en-US" w:eastAsia="zh-CN"/>
              </w:rPr>
              <w:t>项目</w:t>
            </w:r>
            <w:r>
              <w:rPr>
                <w:rFonts w:hint="default" w:ascii="Times New Roman" w:hAnsi="Times New Roman" w:eastAsia="宋体" w:cs="Times New Roman"/>
                <w:b w:val="0"/>
                <w:bCs w:val="0"/>
                <w:color w:val="auto"/>
                <w:sz w:val="21"/>
                <w:szCs w:val="21"/>
                <w:highlight w:val="none"/>
                <w:lang w:val="en-US" w:eastAsia="zh-CN"/>
              </w:rPr>
              <w:t>用电需求。</w:t>
            </w:r>
          </w:p>
          <w:p w14:paraId="6DF77FCF">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3、给排水</w:t>
            </w:r>
          </w:p>
          <w:p w14:paraId="03934BEF">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cs="Times New Roman"/>
                <w:b/>
                <w:bCs w:val="0"/>
                <w:color w:val="auto"/>
                <w:kern w:val="2"/>
                <w:sz w:val="21"/>
                <w:szCs w:val="21"/>
                <w:highlight w:val="none"/>
                <w:lang w:val="en-US" w:eastAsia="zh-CN" w:bidi="ar-SA"/>
              </w:rPr>
              <w:t>①</w:t>
            </w:r>
            <w:r>
              <w:rPr>
                <w:rFonts w:hint="default" w:ascii="Times New Roman" w:hAnsi="Times New Roman" w:eastAsia="宋体" w:cs="Times New Roman"/>
                <w:b/>
                <w:bCs w:val="0"/>
                <w:color w:val="auto"/>
                <w:kern w:val="2"/>
                <w:sz w:val="21"/>
                <w:szCs w:val="21"/>
                <w:highlight w:val="none"/>
                <w:lang w:val="en-US" w:eastAsia="zh-CN" w:bidi="ar-SA"/>
              </w:rPr>
              <w:t>给水</w:t>
            </w:r>
          </w:p>
          <w:p w14:paraId="01593003">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本项目用水依托厂区</w:t>
            </w:r>
            <w:r>
              <w:rPr>
                <w:rFonts w:hint="eastAsia" w:cs="Times New Roman"/>
                <w:b w:val="0"/>
                <w:bCs/>
                <w:color w:val="auto"/>
                <w:kern w:val="2"/>
                <w:sz w:val="21"/>
                <w:szCs w:val="21"/>
                <w:highlight w:val="none"/>
                <w:lang w:val="en-US" w:eastAsia="zh-CN" w:bidi="ar-SA"/>
              </w:rPr>
              <w:t>现有</w:t>
            </w:r>
            <w:r>
              <w:rPr>
                <w:rFonts w:hint="eastAsia" w:ascii="Times New Roman" w:hAnsi="Times New Roman" w:eastAsia="宋体" w:cs="Times New Roman"/>
                <w:b w:val="0"/>
                <w:bCs/>
                <w:color w:val="auto"/>
                <w:kern w:val="2"/>
                <w:sz w:val="21"/>
                <w:szCs w:val="21"/>
                <w:highlight w:val="none"/>
                <w:lang w:val="en-US" w:eastAsia="zh-CN" w:bidi="ar-SA"/>
              </w:rPr>
              <w:t>供水管网，水源</w:t>
            </w:r>
            <w:r>
              <w:rPr>
                <w:rFonts w:hint="default" w:ascii="Times New Roman" w:hAnsi="Times New Roman" w:eastAsia="宋体" w:cs="Times New Roman"/>
                <w:color w:val="auto"/>
                <w:spacing w:val="0"/>
                <w:w w:val="100"/>
                <w:position w:val="0"/>
                <w:sz w:val="21"/>
                <w:szCs w:val="24"/>
                <w:highlight w:val="none"/>
                <w:lang w:val="en-US" w:eastAsia="zh-CN" w:bidi="ar-SA"/>
              </w:rPr>
              <w:t>由石家庄高新技术产业开发区循环化工园区集中供水管网供给</w:t>
            </w:r>
            <w:r>
              <w:rPr>
                <w:rFonts w:hint="eastAsia" w:ascii="Times New Roman" w:hAnsi="Times New Roman" w:eastAsia="宋体" w:cs="Times New Roman"/>
                <w:b w:val="0"/>
                <w:bCs/>
                <w:color w:val="auto"/>
                <w:kern w:val="2"/>
                <w:sz w:val="21"/>
                <w:szCs w:val="21"/>
                <w:highlight w:val="none"/>
                <w:lang w:val="en-US" w:eastAsia="zh-CN" w:bidi="ar-SA"/>
              </w:rPr>
              <w:t>。本项目</w:t>
            </w:r>
            <w:r>
              <w:rPr>
                <w:rFonts w:hint="eastAsia" w:cs="Times New Roman"/>
                <w:b w:val="0"/>
                <w:bCs/>
                <w:color w:val="auto"/>
                <w:kern w:val="2"/>
                <w:sz w:val="21"/>
                <w:szCs w:val="21"/>
                <w:highlight w:val="none"/>
                <w:lang w:val="en-US" w:eastAsia="zh-CN" w:bidi="ar-SA"/>
              </w:rPr>
              <w:t>扩能改造完成后</w:t>
            </w:r>
            <w:r>
              <w:rPr>
                <w:rFonts w:hint="eastAsia" w:ascii="Times New Roman" w:hAnsi="Times New Roman" w:eastAsia="宋体" w:cs="Times New Roman"/>
                <w:b w:val="0"/>
                <w:bCs/>
                <w:color w:val="auto"/>
                <w:kern w:val="2"/>
                <w:sz w:val="21"/>
                <w:szCs w:val="21"/>
                <w:highlight w:val="none"/>
                <w:lang w:val="en-US" w:eastAsia="zh-CN" w:bidi="ar-SA"/>
              </w:rPr>
              <w:t>总新鲜水</w:t>
            </w:r>
            <w:r>
              <w:rPr>
                <w:rFonts w:hint="eastAsia" w:cs="Times New Roman"/>
                <w:b w:val="0"/>
                <w:bCs/>
                <w:color w:val="auto"/>
                <w:kern w:val="2"/>
                <w:sz w:val="21"/>
                <w:szCs w:val="21"/>
                <w:highlight w:val="none"/>
                <w:lang w:val="en-US" w:eastAsia="zh-CN" w:bidi="ar-SA"/>
              </w:rPr>
              <w:t>合计16.77m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/d（5031m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p>
          <w:p w14:paraId="057A4DEB">
            <w:pPr>
              <w:keepNext w:val="0"/>
              <w:keepLines w:val="0"/>
              <w:pageBreakBefore w:val="0"/>
              <w:widowControl w:val="0"/>
              <w:kinsoku/>
              <w:wordWrap/>
              <w:overflowPunct/>
              <w:topLinePunct w:val="0"/>
              <w:autoSpaceDE/>
              <w:autoSpaceDN/>
              <w:bidi w:val="0"/>
              <w:adjustRightInd/>
              <w:snapToGrid/>
              <w:spacing w:line="360" w:lineRule="auto"/>
              <w:ind w:left="0" w:firstLine="422" w:firstLineChars="200"/>
              <w:textAlignment w:val="auto"/>
              <w:rPr>
                <w:rFonts w:hint="default" w:ascii="Times New Roman" w:hAnsi="Times New Roman" w:eastAsia="宋体" w:cs="Times New Roman"/>
                <w:color w:val="auto"/>
                <w:spacing w:val="0"/>
                <w:w w:val="100"/>
                <w:position w:val="0"/>
                <w:sz w:val="21"/>
                <w:szCs w:val="24"/>
                <w:highlight w:val="none"/>
                <w:lang w:val="en-GB" w:eastAsia="zh-CN" w:bidi="ar-SA"/>
              </w:rPr>
            </w:pPr>
            <w:r>
              <w:rPr>
                <w:rFonts w:hint="default" w:ascii="Times New Roman" w:hAnsi="Times New Roman" w:eastAsia="宋体" w:cs="Times New Roman"/>
                <w:b/>
                <w:bCs w:val="0"/>
                <w:color w:val="auto"/>
                <w:kern w:val="2"/>
                <w:sz w:val="21"/>
                <w:szCs w:val="21"/>
                <w:highlight w:val="none"/>
                <w:lang w:val="en-US" w:eastAsia="zh-CN" w:bidi="ar-SA"/>
              </w:rPr>
              <w:t>生活用水</w:t>
            </w:r>
            <w:r>
              <w:rPr>
                <w:rFonts w:hint="default" w:ascii="Times New Roman" w:hAnsi="Times New Roman" w:eastAsia="宋体" w:cs="Times New Roman"/>
                <w:b w:val="0"/>
                <w:bCs/>
                <w:color w:val="auto"/>
                <w:kern w:val="2"/>
                <w:sz w:val="21"/>
                <w:szCs w:val="21"/>
                <w:highlight w:val="none"/>
                <w:lang w:val="en-US" w:eastAsia="zh-CN" w:bidi="ar-SA"/>
              </w:rPr>
              <w:t>：本项目</w:t>
            </w:r>
            <w:r>
              <w:rPr>
                <w:rFonts w:hint="eastAsia" w:cs="Times New Roman"/>
                <w:b w:val="0"/>
                <w:bCs/>
                <w:color w:val="auto"/>
                <w:kern w:val="2"/>
                <w:sz w:val="21"/>
                <w:szCs w:val="21"/>
                <w:highlight w:val="none"/>
                <w:lang w:val="en-US" w:eastAsia="zh-CN" w:bidi="ar-SA"/>
              </w:rPr>
              <w:t>由原甘氨酸螯合物一车间现有人员调配，不新增</w:t>
            </w:r>
            <w:r>
              <w:rPr>
                <w:rFonts w:hint="default" w:ascii="Times New Roman" w:hAnsi="Times New Roman" w:eastAsia="宋体" w:cs="Times New Roman"/>
                <w:b w:val="0"/>
                <w:bCs/>
                <w:color w:val="auto"/>
                <w:kern w:val="2"/>
                <w:sz w:val="21"/>
                <w:szCs w:val="21"/>
                <w:highlight w:val="none"/>
                <w:lang w:val="en-US" w:eastAsia="zh-CN" w:bidi="ar-SA"/>
              </w:rPr>
              <w:t>劳动定员</w:t>
            </w:r>
            <w:r>
              <w:rPr>
                <w:rFonts w:hint="eastAsia" w:cs="Times New Roman"/>
                <w:b w:val="0"/>
                <w:bCs/>
                <w:color w:val="auto"/>
                <w:kern w:val="2"/>
                <w:sz w:val="21"/>
                <w:szCs w:val="21"/>
                <w:highlight w:val="none"/>
                <w:lang w:val="en-US" w:eastAsia="zh-CN" w:bidi="ar-SA"/>
              </w:rPr>
              <w:t>，仍为21人，</w:t>
            </w:r>
            <w:r>
              <w:rPr>
                <w:rFonts w:hint="default" w:ascii="Times New Roman" w:hAnsi="Times New Roman" w:eastAsia="宋体" w:cs="Times New Roman"/>
                <w:color w:val="auto"/>
                <w:spacing w:val="0"/>
                <w:w w:val="100"/>
                <w:position w:val="0"/>
                <w:sz w:val="21"/>
                <w:szCs w:val="24"/>
                <w:highlight w:val="none"/>
                <w:lang w:val="en-US" w:eastAsia="zh-CN" w:bidi="ar-SA"/>
              </w:rPr>
              <w:t>根据河北省地方标准《用水定额　第3部分：生活用水》（DB13/T1161.3－2021）生活用水按定额22m</w:t>
            </w:r>
            <w:r>
              <w:rPr>
                <w:rFonts w:hint="default" w:ascii="Times New Roman" w:hAnsi="Times New Roman" w:eastAsia="宋体" w:cs="Times New Roman"/>
                <w:color w:val="auto"/>
                <w:spacing w:val="0"/>
                <w:w w:val="100"/>
                <w:position w:val="0"/>
                <w:sz w:val="21"/>
                <w:szCs w:val="24"/>
                <w:highlight w:val="none"/>
                <w:vertAlign w:val="superscript"/>
                <w:lang w:val="en-US" w:eastAsia="zh-CN" w:bidi="ar-SA"/>
              </w:rPr>
              <w:t>3</w:t>
            </w:r>
            <w:r>
              <w:rPr>
                <w:rFonts w:hint="default" w:ascii="Times New Roman" w:hAnsi="Times New Roman" w:eastAsia="宋体" w:cs="Times New Roman"/>
                <w:color w:val="auto"/>
                <w:spacing w:val="0"/>
                <w:w w:val="100"/>
                <w:position w:val="0"/>
                <w:sz w:val="21"/>
                <w:szCs w:val="24"/>
                <w:highlight w:val="none"/>
                <w:lang w:val="en-US" w:eastAsia="zh-CN" w:bidi="ar-SA"/>
              </w:rPr>
              <w:t>/人·a</w:t>
            </w:r>
            <w:r>
              <w:rPr>
                <w:rFonts w:hint="default" w:ascii="Times New Roman" w:hAnsi="Times New Roman" w:eastAsia="宋体" w:cs="Times New Roman"/>
                <w:color w:val="auto"/>
                <w:spacing w:val="0"/>
                <w:w w:val="100"/>
                <w:position w:val="0"/>
                <w:sz w:val="21"/>
                <w:szCs w:val="24"/>
                <w:highlight w:val="none"/>
                <w:lang w:val="en-GB" w:eastAsia="zh-CN" w:bidi="ar-SA"/>
              </w:rPr>
              <w:t>计算，则</w:t>
            </w:r>
            <w:r>
              <w:rPr>
                <w:rFonts w:hint="eastAsia" w:ascii="Times New Roman" w:hAnsi="Times New Roman" w:eastAsia="宋体" w:cs="Times New Roman"/>
                <w:color w:val="auto"/>
                <w:spacing w:val="0"/>
                <w:w w:val="100"/>
                <w:position w:val="0"/>
                <w:sz w:val="21"/>
                <w:szCs w:val="24"/>
                <w:highlight w:val="none"/>
                <w:lang w:val="en-US" w:eastAsia="zh-CN" w:bidi="ar-SA"/>
              </w:rPr>
              <w:t>本项目扩能改造完成后</w:t>
            </w:r>
            <w:r>
              <w:rPr>
                <w:rFonts w:hint="default" w:ascii="Times New Roman" w:hAnsi="Times New Roman" w:eastAsia="宋体" w:cs="Times New Roman"/>
                <w:color w:val="auto"/>
                <w:spacing w:val="0"/>
                <w:w w:val="100"/>
                <w:position w:val="0"/>
                <w:sz w:val="21"/>
                <w:szCs w:val="24"/>
                <w:highlight w:val="none"/>
                <w:lang w:val="en-GB" w:eastAsia="zh-CN" w:bidi="ar-SA"/>
              </w:rPr>
              <w:t>生活用水量</w:t>
            </w:r>
            <w:r>
              <w:rPr>
                <w:rFonts w:hint="eastAsia" w:ascii="Times New Roman" w:hAnsi="Times New Roman" w:eastAsia="宋体" w:cs="Times New Roman"/>
                <w:color w:val="auto"/>
                <w:spacing w:val="0"/>
                <w:w w:val="100"/>
                <w:position w:val="0"/>
                <w:sz w:val="21"/>
                <w:szCs w:val="24"/>
                <w:highlight w:val="none"/>
                <w:lang w:val="en-US" w:eastAsia="zh-CN" w:bidi="ar-SA"/>
              </w:rPr>
              <w:t>仍</w:t>
            </w:r>
            <w:r>
              <w:rPr>
                <w:rFonts w:hint="default" w:ascii="Times New Roman" w:hAnsi="Times New Roman" w:eastAsia="宋体" w:cs="Times New Roman"/>
                <w:color w:val="auto"/>
                <w:spacing w:val="0"/>
                <w:w w:val="100"/>
                <w:position w:val="0"/>
                <w:sz w:val="21"/>
                <w:szCs w:val="24"/>
                <w:highlight w:val="none"/>
                <w:lang w:val="en-GB" w:eastAsia="zh-CN" w:bidi="ar-SA"/>
              </w:rPr>
              <w:t>为</w:t>
            </w:r>
            <w:r>
              <w:rPr>
                <w:rFonts w:hint="eastAsia" w:cs="Times New Roman"/>
                <w:color w:val="auto"/>
                <w:spacing w:val="0"/>
                <w:w w:val="100"/>
                <w:position w:val="0"/>
                <w:sz w:val="21"/>
                <w:szCs w:val="24"/>
                <w:highlight w:val="none"/>
                <w:lang w:val="en-US" w:eastAsia="zh-CN" w:bidi="ar-SA"/>
              </w:rPr>
              <w:t>1.54</w:t>
            </w:r>
            <w:r>
              <w:rPr>
                <w:rFonts w:hint="default" w:ascii="Times New Roman" w:hAnsi="Times New Roman" w:eastAsia="宋体" w:cs="Times New Roman"/>
                <w:color w:val="auto"/>
                <w:spacing w:val="0"/>
                <w:w w:val="100"/>
                <w:position w:val="0"/>
                <w:sz w:val="21"/>
                <w:szCs w:val="24"/>
                <w:highlight w:val="none"/>
                <w:lang w:val="en-GB" w:eastAsia="zh-CN" w:bidi="ar-SA"/>
              </w:rPr>
              <w:t>m</w:t>
            </w:r>
            <w:r>
              <w:rPr>
                <w:rFonts w:hint="default" w:ascii="Times New Roman" w:hAnsi="Times New Roman" w:eastAsia="宋体" w:cs="Times New Roman"/>
                <w:color w:val="auto"/>
                <w:spacing w:val="0"/>
                <w:w w:val="100"/>
                <w:position w:val="0"/>
                <w:sz w:val="21"/>
                <w:szCs w:val="24"/>
                <w:highlight w:val="none"/>
                <w:vertAlign w:val="superscript"/>
                <w:lang w:val="en-GB" w:eastAsia="zh-CN" w:bidi="ar-SA"/>
              </w:rPr>
              <w:t>3</w:t>
            </w:r>
            <w:r>
              <w:rPr>
                <w:rFonts w:hint="default" w:ascii="Times New Roman" w:hAnsi="Times New Roman" w:eastAsia="宋体" w:cs="Times New Roman"/>
                <w:color w:val="auto"/>
                <w:spacing w:val="0"/>
                <w:w w:val="100"/>
                <w:position w:val="0"/>
                <w:sz w:val="21"/>
                <w:szCs w:val="24"/>
                <w:highlight w:val="none"/>
                <w:lang w:val="en-GB" w:eastAsia="zh-CN" w:bidi="ar-SA"/>
              </w:rPr>
              <w:t>/d</w:t>
            </w:r>
            <w:r>
              <w:rPr>
                <w:rFonts w:hint="eastAsia" w:ascii="Times New Roman" w:hAnsi="Times New Roman" w:eastAsia="宋体" w:cs="Times New Roman"/>
                <w:color w:val="auto"/>
                <w:spacing w:val="0"/>
                <w:w w:val="100"/>
                <w:position w:val="0"/>
                <w:sz w:val="21"/>
                <w:szCs w:val="24"/>
                <w:highlight w:val="none"/>
                <w:lang w:val="en-GB" w:eastAsia="zh-CN" w:bidi="ar-SA"/>
              </w:rPr>
              <w:t>（</w:t>
            </w:r>
            <w:r>
              <w:rPr>
                <w:rFonts w:hint="eastAsia" w:ascii="Times New Roman" w:hAnsi="Times New Roman" w:eastAsia="宋体" w:cs="Times New Roman"/>
                <w:color w:val="auto"/>
                <w:spacing w:val="0"/>
                <w:w w:val="100"/>
                <w:position w:val="0"/>
                <w:sz w:val="21"/>
                <w:szCs w:val="24"/>
                <w:highlight w:val="none"/>
                <w:lang w:val="en-US" w:eastAsia="zh-CN" w:bidi="ar-SA"/>
              </w:rPr>
              <w:t>462</w:t>
            </w:r>
            <w:r>
              <w:rPr>
                <w:rFonts w:hint="default" w:ascii="Times New Roman" w:hAnsi="Times New Roman" w:eastAsia="宋体" w:cs="Times New Roman"/>
                <w:color w:val="auto"/>
                <w:spacing w:val="0"/>
                <w:w w:val="100"/>
                <w:position w:val="0"/>
                <w:sz w:val="21"/>
                <w:szCs w:val="24"/>
                <w:highlight w:val="none"/>
                <w:lang w:val="en-GB" w:eastAsia="zh-CN" w:bidi="ar-SA"/>
              </w:rPr>
              <w:t>m</w:t>
            </w:r>
            <w:r>
              <w:rPr>
                <w:rFonts w:hint="default" w:ascii="Times New Roman" w:hAnsi="Times New Roman" w:eastAsia="宋体" w:cs="Times New Roman"/>
                <w:color w:val="auto"/>
                <w:spacing w:val="0"/>
                <w:w w:val="100"/>
                <w:position w:val="0"/>
                <w:sz w:val="21"/>
                <w:szCs w:val="24"/>
                <w:highlight w:val="none"/>
                <w:vertAlign w:val="superscript"/>
                <w:lang w:val="en-GB" w:eastAsia="zh-CN" w:bidi="ar-SA"/>
              </w:rPr>
              <w:t>3</w:t>
            </w:r>
            <w:r>
              <w:rPr>
                <w:rFonts w:hint="eastAsia" w:ascii="Times New Roman" w:hAnsi="Times New Roman" w:eastAsia="宋体" w:cs="Times New Roman"/>
                <w:color w:val="auto"/>
                <w:spacing w:val="0"/>
                <w:w w:val="100"/>
                <w:position w:val="0"/>
                <w:sz w:val="21"/>
                <w:szCs w:val="24"/>
                <w:highlight w:val="none"/>
                <w:vertAlign w:val="baseline"/>
                <w:lang w:val="en-US" w:eastAsia="zh-CN" w:bidi="ar-SA"/>
              </w:rPr>
              <w:t>/a）</w:t>
            </w:r>
            <w:r>
              <w:rPr>
                <w:rFonts w:hint="default" w:ascii="Times New Roman" w:hAnsi="Times New Roman" w:eastAsia="宋体" w:cs="Times New Roman"/>
                <w:color w:val="auto"/>
                <w:spacing w:val="0"/>
                <w:w w:val="100"/>
                <w:position w:val="0"/>
                <w:sz w:val="21"/>
                <w:szCs w:val="24"/>
                <w:highlight w:val="none"/>
                <w:lang w:val="en-GB" w:eastAsia="zh-CN" w:bidi="ar-SA"/>
              </w:rPr>
              <w:t>。</w:t>
            </w:r>
          </w:p>
          <w:p w14:paraId="49DA029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生产用水</w:t>
            </w:r>
            <w:r>
              <w:rPr>
                <w:rFonts w:hint="eastAsia" w:cs="Times New Roman"/>
                <w:b w:val="0"/>
                <w:bCs/>
                <w:color w:val="auto"/>
                <w:kern w:val="2"/>
                <w:sz w:val="21"/>
                <w:szCs w:val="21"/>
                <w:highlight w:val="none"/>
                <w:lang w:val="en-US" w:eastAsia="zh-CN" w:bidi="ar-SA"/>
              </w:rPr>
              <w:t>：本</w:t>
            </w:r>
            <w:r>
              <w:rPr>
                <w:rFonts w:hint="default"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用水</w:t>
            </w:r>
            <w:r>
              <w:rPr>
                <w:rFonts w:hint="default" w:ascii="Times New Roman" w:hAnsi="Times New Roman" w:eastAsia="宋体" w:cs="Times New Roman"/>
                <w:b w:val="0"/>
                <w:bCs/>
                <w:color w:val="auto"/>
                <w:kern w:val="2"/>
                <w:sz w:val="21"/>
                <w:szCs w:val="21"/>
                <w:highlight w:val="none"/>
                <w:lang w:val="en-US" w:eastAsia="zh-CN" w:bidi="ar-SA"/>
              </w:rPr>
              <w:t>主要为</w:t>
            </w:r>
            <w:r>
              <w:rPr>
                <w:rFonts w:hint="eastAsia" w:cs="Times New Roman"/>
                <w:b w:val="0"/>
                <w:bCs/>
                <w:color w:val="auto"/>
                <w:kern w:val="2"/>
                <w:sz w:val="21"/>
                <w:szCs w:val="21"/>
                <w:highlight w:val="none"/>
                <w:lang w:val="en-US" w:eastAsia="zh-CN" w:bidi="ar-SA"/>
              </w:rPr>
              <w:t>软水制备、生产用水、设备冲洗用水、废气治理系统用水、循环冷却水系统用水和车间冲洗用水</w:t>
            </w:r>
            <w:r>
              <w:rPr>
                <w:rFonts w:hint="default" w:ascii="Times New Roman" w:hAnsi="Times New Roman" w:eastAsia="宋体" w:cs="Times New Roman"/>
                <w:b w:val="0"/>
                <w:bCs/>
                <w:color w:val="auto"/>
                <w:kern w:val="2"/>
                <w:sz w:val="21"/>
                <w:szCs w:val="21"/>
                <w:highlight w:val="none"/>
                <w:lang w:val="en-US" w:eastAsia="zh-CN" w:bidi="ar-SA"/>
              </w:rPr>
              <w:t>。</w:t>
            </w:r>
          </w:p>
          <w:p w14:paraId="57DD9B8B">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eastAsia" w:cs="Times New Roman"/>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软水制备用水</w:t>
            </w:r>
            <w:r>
              <w:rPr>
                <w:rFonts w:hint="eastAsia" w:cs="Times New Roman"/>
                <w:b w:val="0"/>
                <w:bCs/>
                <w:color w:val="auto"/>
                <w:kern w:val="2"/>
                <w:sz w:val="21"/>
                <w:szCs w:val="21"/>
                <w:highlight w:val="none"/>
                <w:lang w:val="en-US" w:eastAsia="zh-CN" w:bidi="ar-SA"/>
              </w:rPr>
              <w:t>：主要用于甘氨酸螯合物一车间生产用水、设备冲洗用水。软水制备利用厂区现有的反渗透装置，</w:t>
            </w:r>
            <w:r>
              <w:rPr>
                <w:rFonts w:hint="default" w:ascii="Times New Roman" w:hAnsi="Times New Roman" w:eastAsia="宋体" w:cs="Times New Roman"/>
                <w:b w:val="0"/>
                <w:bCs/>
                <w:color w:val="auto"/>
                <w:kern w:val="2"/>
                <w:sz w:val="21"/>
                <w:szCs w:val="21"/>
                <w:highlight w:val="none"/>
                <w:lang w:val="en-US" w:eastAsia="zh-CN" w:bidi="ar-SA"/>
              </w:rPr>
              <w:t>制</w:t>
            </w:r>
            <w:r>
              <w:rPr>
                <w:rFonts w:hint="eastAsia" w:cs="Times New Roman"/>
                <w:b w:val="0"/>
                <w:bCs/>
                <w:color w:val="auto"/>
                <w:kern w:val="2"/>
                <w:sz w:val="21"/>
                <w:szCs w:val="21"/>
                <w:highlight w:val="none"/>
                <w:lang w:val="en-US" w:eastAsia="zh-CN" w:bidi="ar-SA"/>
              </w:rPr>
              <w:t>水能力为4</w:t>
            </w:r>
            <w:r>
              <w:rPr>
                <w:rFonts w:hint="default" w:ascii="Times New Roman" w:hAnsi="Times New Roman" w:eastAsia="宋体" w:cs="Times New Roman"/>
                <w:b w:val="0"/>
                <w:bCs/>
                <w:color w:val="auto"/>
                <w:kern w:val="2"/>
                <w:sz w:val="21"/>
                <w:szCs w:val="21"/>
                <w:highlight w:val="none"/>
                <w:lang w:val="en-US" w:eastAsia="zh-CN" w:bidi="ar-SA"/>
              </w:rPr>
              <w:t>t/h，</w:t>
            </w:r>
            <w:r>
              <w:rPr>
                <w:rFonts w:hint="eastAsia" w:cs="Times New Roman"/>
                <w:b w:val="0"/>
                <w:bCs/>
                <w:color w:val="auto"/>
                <w:kern w:val="2"/>
                <w:sz w:val="21"/>
                <w:szCs w:val="21"/>
                <w:highlight w:val="none"/>
                <w:lang w:val="en-US" w:eastAsia="zh-CN" w:bidi="ar-SA"/>
              </w:rPr>
              <w:t>现有工程纯水用量28.4t/d，制水能力余量67.6d够本项目使用。</w:t>
            </w:r>
            <w:r>
              <w:rPr>
                <w:rFonts w:hint="default" w:ascii="Times New Roman" w:hAnsi="Times New Roman" w:eastAsia="宋体" w:cs="Times New Roman"/>
                <w:b w:val="0"/>
                <w:bCs/>
                <w:color w:val="auto"/>
                <w:kern w:val="2"/>
                <w:sz w:val="21"/>
                <w:szCs w:val="21"/>
                <w:highlight w:val="none"/>
                <w:lang w:val="en-US" w:eastAsia="zh-CN" w:bidi="ar-SA"/>
              </w:rPr>
              <w:t>系统采用</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二级反渗透工艺</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工艺，制水率为</w:t>
            </w:r>
            <w:r>
              <w:rPr>
                <w:rFonts w:hint="eastAsia" w:cs="Times New Roman"/>
                <w:b w:val="0"/>
                <w:bCs/>
                <w:color w:val="auto"/>
                <w:kern w:val="2"/>
                <w:sz w:val="21"/>
                <w:szCs w:val="21"/>
                <w:highlight w:val="none"/>
                <w:lang w:val="en-US" w:eastAsia="zh-CN" w:bidi="ar-SA"/>
              </w:rPr>
              <w:t>8</w:t>
            </w:r>
            <w:r>
              <w:rPr>
                <w:rFonts w:hint="eastAsia" w:ascii="Times New Roman" w:hAnsi="Times New Roman" w:eastAsia="宋体" w:cs="Times New Roman"/>
                <w:b w:val="0"/>
                <w:bCs/>
                <w:color w:val="auto"/>
                <w:kern w:val="2"/>
                <w:sz w:val="21"/>
                <w:szCs w:val="21"/>
                <w:highlight w:val="none"/>
                <w:lang w:val="en-US" w:eastAsia="zh-CN" w:bidi="ar-SA"/>
              </w:rPr>
              <w:t>0</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p>
          <w:p w14:paraId="29BEEA36">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生产用水：根据物料平衡，本项目扩能后生产过程中需新增使用去离子水</w:t>
            </w:r>
            <w:r>
              <w:rPr>
                <w:rFonts w:hint="default" w:ascii="Times New Roman" w:hAnsi="Times New Roman" w:eastAsia="宋体" w:cs="Times New Roman"/>
                <w:b w:val="0"/>
                <w:bCs/>
                <w:color w:val="auto"/>
                <w:kern w:val="2"/>
                <w:sz w:val="21"/>
                <w:szCs w:val="21"/>
                <w:highlight w:val="none"/>
                <w:lang w:val="en-US" w:eastAsia="zh-CN" w:bidi="ar-SA"/>
              </w:rPr>
              <w:t>量为</w:t>
            </w:r>
            <w:r>
              <w:rPr>
                <w:rFonts w:hint="eastAsia" w:cs="Times New Roman"/>
                <w:b w:val="0"/>
                <w:bCs/>
                <w:color w:val="auto"/>
                <w:kern w:val="2"/>
                <w:sz w:val="21"/>
                <w:szCs w:val="21"/>
                <w:highlight w:val="none"/>
                <w:lang w:val="en-US" w:eastAsia="zh-CN" w:bidi="ar-SA"/>
              </w:rPr>
              <w:t>4</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1200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p>
          <w:p w14:paraId="584A2D0D">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设备冲洗用水：正常生产时，每周进行罐体清洗，以保证产品质量稳定性。反应釜总体积为2000L，设备冲洗用水量按4m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vertAlign w:val="baseline"/>
                <w:lang w:val="en-US" w:eastAsia="zh-CN" w:bidi="ar-SA"/>
              </w:rPr>
              <w:t>/</w:t>
            </w:r>
            <w:r>
              <w:rPr>
                <w:rFonts w:hint="eastAsia" w:cs="Times New Roman"/>
                <w:b w:val="0"/>
                <w:bCs/>
                <w:color w:val="auto"/>
                <w:kern w:val="2"/>
                <w:sz w:val="21"/>
                <w:szCs w:val="21"/>
                <w:highlight w:val="none"/>
                <w:lang w:val="en-US" w:eastAsia="zh-CN" w:bidi="ar-SA"/>
              </w:rPr>
              <w:t>次计，每年约清洗45次，需新增软水水量为0.6</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180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p>
          <w:p w14:paraId="1907669F">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baseline"/>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以上两项合计纯水量4.6</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1380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cs="Times New Roman"/>
                <w:b w:val="0"/>
                <w:bCs/>
                <w:color w:val="auto"/>
                <w:kern w:val="2"/>
                <w:sz w:val="21"/>
                <w:szCs w:val="21"/>
                <w:highlight w:val="none"/>
                <w:lang w:val="en-US" w:eastAsia="zh-CN" w:bidi="ar-SA"/>
              </w:rPr>
              <w:t>，则</w:t>
            </w:r>
            <w:r>
              <w:rPr>
                <w:rFonts w:hint="eastAsia" w:cs="Times New Roman"/>
                <w:b w:val="0"/>
                <w:bCs/>
                <w:color w:val="auto"/>
                <w:kern w:val="2"/>
                <w:sz w:val="21"/>
                <w:szCs w:val="21"/>
                <w:highlight w:val="none"/>
                <w:lang w:val="en-US" w:eastAsia="zh-CN" w:bidi="ar-SA"/>
              </w:rPr>
              <w:t>软水制备用水合计</w:t>
            </w:r>
            <w:r>
              <w:rPr>
                <w:rFonts w:hint="default" w:ascii="Times New Roman" w:hAnsi="Times New Roman" w:eastAsia="宋体" w:cs="Times New Roman"/>
                <w:b w:val="0"/>
                <w:bCs/>
                <w:color w:val="auto"/>
                <w:kern w:val="2"/>
                <w:sz w:val="21"/>
                <w:szCs w:val="21"/>
                <w:highlight w:val="none"/>
                <w:lang w:val="en-US" w:eastAsia="zh-CN" w:bidi="ar-SA"/>
              </w:rPr>
              <w:t>新鲜水量为</w:t>
            </w:r>
            <w:r>
              <w:rPr>
                <w:rFonts w:hint="eastAsia" w:cs="Times New Roman"/>
                <w:b w:val="0"/>
                <w:bCs/>
                <w:color w:val="auto"/>
                <w:kern w:val="2"/>
                <w:sz w:val="21"/>
                <w:szCs w:val="21"/>
                <w:highlight w:val="none"/>
                <w:lang w:val="en-US" w:eastAsia="zh-CN" w:bidi="ar-SA"/>
              </w:rPr>
              <w:t>5.75</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1725</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p>
          <w:p w14:paraId="74AAE5EB">
            <w:pPr>
              <w:pStyle w:val="2"/>
              <w:keepNext w:val="0"/>
              <w:keepLines w:val="0"/>
              <w:pageBreakBefore w:val="0"/>
              <w:widowControl w:val="0"/>
              <w:kinsoku/>
              <w:wordWrap/>
              <w:overflowPunct/>
              <w:topLinePunct w:val="0"/>
              <w:autoSpaceDE/>
              <w:autoSpaceDN/>
              <w:bidi w:val="0"/>
              <w:adjustRightInd/>
              <w:snapToGrid/>
              <w:spacing w:line="360" w:lineRule="auto"/>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废气治理系统用水：</w:t>
            </w:r>
            <w:r>
              <w:rPr>
                <w:rFonts w:hint="eastAsia" w:cs="Times New Roman"/>
                <w:b w:val="0"/>
                <w:bCs/>
                <w:color w:val="auto"/>
                <w:kern w:val="2"/>
                <w:sz w:val="21"/>
                <w:szCs w:val="21"/>
                <w:highlight w:val="none"/>
                <w:lang w:val="en-US" w:eastAsia="zh-CN" w:bidi="ar-SA"/>
              </w:rPr>
              <w:t>反应釜尾气夹带水蒸气及喷雾干燥尾气夹带水蒸气3.86</w:t>
            </w:r>
            <w:r>
              <w:rPr>
                <w:rFonts w:hint="default" w:ascii="Times New Roman" w:hAnsi="Times New Roman" w:eastAsia="宋体" w:cs="Times New Roman"/>
                <w:b w:val="0"/>
                <w:bCs/>
                <w:color w:val="auto"/>
                <w:kern w:val="2"/>
                <w:sz w:val="21"/>
                <w:szCs w:val="21"/>
                <w:highlight w:val="none"/>
                <w:shd w:val="clear"/>
                <w:lang w:val="en-US" w:eastAsia="zh-CN" w:bidi="ar-SA"/>
              </w:rPr>
              <w:t>m</w:t>
            </w:r>
            <w:r>
              <w:rPr>
                <w:rFonts w:hint="default"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auto"/>
                <w:kern w:val="2"/>
                <w:sz w:val="21"/>
                <w:szCs w:val="21"/>
                <w:highlight w:val="none"/>
                <w:shd w:val="clear"/>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1157</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进入喷淋塔，烟气降温冷凝后全部汇入喷淋循环水箱，作为喷淋系统回用补水；但受尾气排空带水、喷淋废液定期外排等损耗影响，冷凝回用水无法满足喷淋全周期用水需求，生产运行仍需补充新鲜生产用水，</w:t>
            </w:r>
            <w:r>
              <w:rPr>
                <w:rFonts w:hint="eastAsia" w:ascii="Times New Roman" w:hAnsi="Times New Roman" w:eastAsia="宋体" w:cs="Times New Roman"/>
                <w:b w:val="0"/>
                <w:bCs/>
                <w:color w:val="auto"/>
                <w:kern w:val="2"/>
                <w:sz w:val="21"/>
                <w:szCs w:val="21"/>
                <w:highlight w:val="none"/>
                <w:lang w:val="en-US" w:eastAsia="zh-CN" w:bidi="ar-SA"/>
              </w:rPr>
              <w:t>新鲜水</w:t>
            </w:r>
            <w:r>
              <w:rPr>
                <w:rFonts w:hint="eastAsia" w:cs="Times New Roman"/>
                <w:b w:val="0"/>
                <w:bCs/>
                <w:color w:val="auto"/>
                <w:kern w:val="2"/>
                <w:sz w:val="21"/>
                <w:szCs w:val="21"/>
                <w:highlight w:val="none"/>
                <w:lang w:val="en-US" w:eastAsia="zh-CN" w:bidi="ar-SA"/>
              </w:rPr>
              <w:t>补水量为1.00</w:t>
            </w:r>
            <w:r>
              <w:rPr>
                <w:rFonts w:hint="default" w:ascii="Times New Roman" w:hAnsi="Times New Roman" w:eastAsia="宋体" w:cs="Times New Roman"/>
                <w:b w:val="0"/>
                <w:bCs/>
                <w:color w:val="auto"/>
                <w:kern w:val="2"/>
                <w:sz w:val="21"/>
                <w:szCs w:val="21"/>
                <w:highlight w:val="none"/>
                <w:shd w:val="clear"/>
                <w:lang w:val="en-US" w:eastAsia="zh-CN" w:bidi="ar-SA"/>
              </w:rPr>
              <w:t>m</w:t>
            </w:r>
            <w:r>
              <w:rPr>
                <w:rFonts w:hint="default"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auto"/>
                <w:kern w:val="2"/>
                <w:sz w:val="21"/>
                <w:szCs w:val="21"/>
                <w:highlight w:val="none"/>
                <w:shd w:val="clear"/>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300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酸洗塔使用20%硫酸量0.15</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cs="Times New Roman"/>
                <w:b w:val="0"/>
                <w:bCs/>
                <w:color w:val="auto"/>
                <w:kern w:val="2"/>
                <w:sz w:val="21"/>
                <w:szCs w:val="21"/>
                <w:highlight w:val="none"/>
                <w:lang w:val="en-US" w:eastAsia="zh-CN" w:bidi="ar-SA"/>
              </w:rPr>
              <w:t>（45</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cs="Times New Roman"/>
                <w:b w:val="0"/>
                <w:bCs/>
                <w:color w:val="auto"/>
                <w:kern w:val="2"/>
                <w:sz w:val="21"/>
                <w:szCs w:val="21"/>
                <w:highlight w:val="none"/>
                <w:lang w:val="en-US" w:eastAsia="zh-CN" w:bidi="ar-SA"/>
              </w:rPr>
              <w:t>），带入水量为0.12</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36</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p>
          <w:p w14:paraId="46C938C0">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循环冷却</w:t>
            </w:r>
            <w:r>
              <w:rPr>
                <w:rFonts w:hint="eastAsia" w:ascii="Times New Roman" w:hAnsi="Times New Roman" w:eastAsia="宋体" w:cs="Times New Roman"/>
                <w:b w:val="0"/>
                <w:bCs/>
                <w:color w:val="auto"/>
                <w:kern w:val="2"/>
                <w:sz w:val="21"/>
                <w:szCs w:val="21"/>
                <w:highlight w:val="none"/>
                <w:lang w:val="en-US" w:eastAsia="zh-CN" w:bidi="ar-SA"/>
              </w:rPr>
              <w:t>水系统</w:t>
            </w:r>
            <w:r>
              <w:rPr>
                <w:rFonts w:hint="default" w:ascii="Times New Roman" w:hAnsi="Times New Roman" w:eastAsia="宋体" w:cs="Times New Roman"/>
                <w:b w:val="0"/>
                <w:bCs/>
                <w:color w:val="auto"/>
                <w:kern w:val="2"/>
                <w:sz w:val="21"/>
                <w:szCs w:val="21"/>
                <w:highlight w:val="none"/>
                <w:lang w:val="en-US" w:eastAsia="zh-CN" w:bidi="ar-SA"/>
              </w:rPr>
              <w:t>用水</w:t>
            </w:r>
            <w:r>
              <w:rPr>
                <w:rFonts w:hint="eastAsia" w:ascii="Times New Roman" w:hAnsi="Times New Roman"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本项目循环水系统用水量约为</w:t>
            </w:r>
            <w:r>
              <w:rPr>
                <w:rFonts w:hint="eastAsia" w:cs="Times New Roman"/>
                <w:b w:val="0"/>
                <w:bCs/>
                <w:color w:val="auto"/>
                <w:kern w:val="2"/>
                <w:sz w:val="21"/>
                <w:szCs w:val="21"/>
                <w:highlight w:val="none"/>
                <w:lang w:val="en-US" w:eastAsia="zh-CN" w:bidi="ar-SA"/>
              </w:rPr>
              <w:t>432</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d（129600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系统运行</w:t>
            </w:r>
            <w:r>
              <w:rPr>
                <w:rFonts w:hint="eastAsia" w:cs="Times New Roman"/>
                <w:b w:val="0"/>
                <w:bCs/>
                <w:color w:val="auto"/>
                <w:kern w:val="2"/>
                <w:sz w:val="21"/>
                <w:szCs w:val="21"/>
                <w:highlight w:val="none"/>
                <w:lang w:val="en-US" w:eastAsia="zh-CN" w:bidi="ar-SA"/>
              </w:rPr>
              <w:t>蒸发</w:t>
            </w:r>
            <w:r>
              <w:rPr>
                <w:rFonts w:hint="eastAsia" w:ascii="Times New Roman" w:hAnsi="Times New Roman" w:eastAsia="宋体" w:cs="Times New Roman"/>
                <w:b w:val="0"/>
                <w:bCs/>
                <w:color w:val="auto"/>
                <w:kern w:val="2"/>
                <w:sz w:val="21"/>
                <w:szCs w:val="21"/>
                <w:highlight w:val="none"/>
                <w:lang w:val="en-US" w:eastAsia="zh-CN" w:bidi="ar-SA"/>
              </w:rPr>
              <w:t>损耗水量</w:t>
            </w:r>
            <w:r>
              <w:rPr>
                <w:rFonts w:hint="eastAsia" w:ascii="Times New Roman" w:hAnsi="Times New Roman" w:cs="Times New Roman"/>
                <w:b w:val="0"/>
                <w:bCs/>
                <w:color w:val="auto"/>
                <w:kern w:val="2"/>
                <w:sz w:val="21"/>
                <w:szCs w:val="21"/>
                <w:highlight w:val="none"/>
                <w:lang w:val="en-US" w:eastAsia="zh-CN" w:bidi="ar-SA"/>
              </w:rPr>
              <w:t>按1%计，</w:t>
            </w:r>
            <w:r>
              <w:rPr>
                <w:rFonts w:hint="eastAsia"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4.32</w:t>
            </w:r>
            <w:r>
              <w:rPr>
                <w:rFonts w:hint="default"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d</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废水产生量</w:t>
            </w:r>
            <w:r>
              <w:rPr>
                <w:rFonts w:hint="eastAsia" w:ascii="Times New Roman" w:hAnsi="Times New Roman" w:cs="Times New Roman"/>
                <w:b w:val="0"/>
                <w:bCs/>
                <w:color w:val="auto"/>
                <w:kern w:val="2"/>
                <w:sz w:val="21"/>
                <w:szCs w:val="21"/>
                <w:highlight w:val="none"/>
                <w:lang w:val="en-US" w:eastAsia="zh-CN" w:bidi="ar-SA"/>
              </w:rPr>
              <w:t>按损耗量的50%计，</w:t>
            </w:r>
            <w:r>
              <w:rPr>
                <w:rFonts w:hint="eastAsia"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2.16</w:t>
            </w:r>
            <w:r>
              <w:rPr>
                <w:rFonts w:hint="default"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d，</w:t>
            </w:r>
            <w:r>
              <w:rPr>
                <w:rFonts w:hint="default" w:ascii="Times New Roman" w:hAnsi="Times New Roman" w:eastAsia="宋体" w:cs="Times New Roman"/>
                <w:b w:val="0"/>
                <w:bCs/>
                <w:color w:val="auto"/>
                <w:kern w:val="2"/>
                <w:sz w:val="21"/>
                <w:szCs w:val="21"/>
                <w:highlight w:val="none"/>
                <w:lang w:val="en-US" w:eastAsia="zh-CN" w:bidi="ar-SA"/>
              </w:rPr>
              <w:t>循环冷却水系统补水</w:t>
            </w:r>
            <w:r>
              <w:rPr>
                <w:rFonts w:hint="eastAsia" w:ascii="Times New Roman" w:hAnsi="Times New Roman" w:eastAsia="宋体" w:cs="Times New Roman"/>
                <w:b w:val="0"/>
                <w:bCs/>
                <w:color w:val="auto"/>
                <w:kern w:val="2"/>
                <w:sz w:val="21"/>
                <w:szCs w:val="21"/>
                <w:highlight w:val="none"/>
                <w:lang w:val="en-US" w:eastAsia="zh-CN" w:bidi="ar-SA"/>
              </w:rPr>
              <w:t>由</w:t>
            </w:r>
            <w:r>
              <w:rPr>
                <w:rFonts w:hint="default" w:ascii="Times New Roman" w:hAnsi="Times New Roman" w:eastAsia="宋体" w:cs="Times New Roman"/>
                <w:b w:val="0"/>
                <w:bCs/>
                <w:color w:val="auto"/>
                <w:kern w:val="2"/>
                <w:sz w:val="21"/>
                <w:szCs w:val="21"/>
                <w:highlight w:val="none"/>
                <w:lang w:val="en-US" w:eastAsia="zh-CN" w:bidi="ar-SA"/>
              </w:rPr>
              <w:t>自来水供给，补充</w:t>
            </w:r>
            <w:r>
              <w:rPr>
                <w:rFonts w:hint="eastAsia" w:ascii="Times New Roman" w:hAnsi="Times New Roman" w:eastAsia="宋体" w:cs="Times New Roman"/>
                <w:b w:val="0"/>
                <w:bCs/>
                <w:color w:val="auto"/>
                <w:kern w:val="2"/>
                <w:sz w:val="21"/>
                <w:szCs w:val="21"/>
                <w:highlight w:val="none"/>
                <w:lang w:val="en-US" w:eastAsia="zh-CN" w:bidi="ar-SA"/>
              </w:rPr>
              <w:t>总</w:t>
            </w:r>
            <w:r>
              <w:rPr>
                <w:rFonts w:hint="default" w:ascii="Times New Roman" w:hAnsi="Times New Roman" w:eastAsia="宋体" w:cs="Times New Roman"/>
                <w:b w:val="0"/>
                <w:bCs/>
                <w:color w:val="auto"/>
                <w:kern w:val="2"/>
                <w:sz w:val="21"/>
                <w:szCs w:val="21"/>
                <w:highlight w:val="none"/>
                <w:lang w:val="en-US" w:eastAsia="zh-CN" w:bidi="ar-SA"/>
              </w:rPr>
              <w:t>水量为</w:t>
            </w:r>
            <w:r>
              <w:rPr>
                <w:rFonts w:hint="eastAsia" w:cs="Times New Roman"/>
                <w:b w:val="0"/>
                <w:bCs/>
                <w:color w:val="auto"/>
                <w:kern w:val="2"/>
                <w:sz w:val="21"/>
                <w:szCs w:val="21"/>
                <w:highlight w:val="none"/>
                <w:lang w:val="en-US" w:eastAsia="zh-CN" w:bidi="ar-SA"/>
              </w:rPr>
              <w:t>6.48</w:t>
            </w:r>
            <w:r>
              <w:rPr>
                <w:rFonts w:hint="default"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d（</w:t>
            </w:r>
            <w:r>
              <w:rPr>
                <w:rFonts w:hint="eastAsia" w:cs="Times New Roman"/>
                <w:b w:val="0"/>
                <w:bCs/>
                <w:color w:val="auto"/>
                <w:kern w:val="2"/>
                <w:sz w:val="21"/>
                <w:szCs w:val="21"/>
                <w:highlight w:val="none"/>
                <w:lang w:val="en-US" w:eastAsia="zh-CN" w:bidi="ar-SA"/>
              </w:rPr>
              <w:t>1944</w:t>
            </w:r>
            <w:r>
              <w:rPr>
                <w:rFonts w:hint="eastAsia"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/a）</w:t>
            </w:r>
            <w:r>
              <w:rPr>
                <w:rFonts w:hint="default" w:ascii="Times New Roman" w:hAnsi="Times New Roman" w:eastAsia="宋体" w:cs="Times New Roman"/>
                <w:b w:val="0"/>
                <w:bCs/>
                <w:color w:val="auto"/>
                <w:kern w:val="2"/>
                <w:sz w:val="21"/>
                <w:szCs w:val="21"/>
                <w:highlight w:val="none"/>
                <w:lang w:val="en-US" w:eastAsia="zh-CN" w:bidi="ar-SA"/>
              </w:rPr>
              <w:t>。</w:t>
            </w:r>
          </w:p>
          <w:p w14:paraId="39FA5AFC">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车间地面冲洗用水：本</w:t>
            </w:r>
            <w:r>
              <w:rPr>
                <w:rFonts w:hint="default"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仍在原车间进行，车间地面冲洗用水需使用</w:t>
            </w:r>
            <w:r>
              <w:rPr>
                <w:rFonts w:hint="default" w:ascii="Times New Roman" w:hAnsi="Times New Roman" w:eastAsia="宋体" w:cs="Times New Roman"/>
                <w:b w:val="0"/>
                <w:bCs/>
                <w:color w:val="auto"/>
                <w:kern w:val="2"/>
                <w:sz w:val="21"/>
                <w:szCs w:val="21"/>
                <w:highlight w:val="none"/>
                <w:lang w:val="en-US" w:eastAsia="zh-CN" w:bidi="ar-SA"/>
              </w:rPr>
              <w:t>新鲜水量</w:t>
            </w:r>
            <w:r>
              <w:rPr>
                <w:rFonts w:hint="eastAsia" w:cs="Times New Roman"/>
                <w:b w:val="0"/>
                <w:bCs/>
                <w:color w:val="auto"/>
                <w:kern w:val="2"/>
                <w:sz w:val="21"/>
                <w:szCs w:val="21"/>
                <w:highlight w:val="none"/>
                <w:lang w:val="en-US" w:eastAsia="zh-CN" w:bidi="ar-SA"/>
              </w:rPr>
              <w:t>仍约2m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/d（600m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vertAlign w:val="baseline"/>
                <w:lang w:val="en-US" w:eastAsia="zh-CN" w:bidi="ar-SA"/>
              </w:rPr>
              <w:t>/a</w:t>
            </w:r>
            <w:r>
              <w:rPr>
                <w:rFonts w:hint="eastAsia" w:cs="Times New Roman"/>
                <w:b w:val="0"/>
                <w:bCs/>
                <w:color w:val="auto"/>
                <w:kern w:val="2"/>
                <w:sz w:val="21"/>
                <w:szCs w:val="21"/>
                <w:highlight w:val="none"/>
                <w:lang w:val="en-US" w:eastAsia="zh-CN" w:bidi="ar-SA"/>
              </w:rPr>
              <w:t>）。</w:t>
            </w:r>
          </w:p>
          <w:p w14:paraId="02855603">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both"/>
              <w:textAlignment w:val="baseline"/>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cs="Times New Roman"/>
                <w:b/>
                <w:bCs w:val="0"/>
                <w:color w:val="auto"/>
                <w:kern w:val="2"/>
                <w:sz w:val="21"/>
                <w:szCs w:val="21"/>
                <w:highlight w:val="none"/>
                <w:lang w:val="en-US" w:eastAsia="zh-CN" w:bidi="ar-SA"/>
              </w:rPr>
              <w:t>②</w:t>
            </w:r>
            <w:r>
              <w:rPr>
                <w:rFonts w:hint="default" w:ascii="Times New Roman" w:hAnsi="Times New Roman" w:eastAsia="宋体" w:cs="Times New Roman"/>
                <w:b/>
                <w:bCs w:val="0"/>
                <w:color w:val="auto"/>
                <w:kern w:val="2"/>
                <w:sz w:val="21"/>
                <w:szCs w:val="21"/>
                <w:highlight w:val="none"/>
                <w:lang w:val="en-US" w:eastAsia="zh-CN" w:bidi="ar-SA"/>
              </w:rPr>
              <w:t>排水</w:t>
            </w:r>
          </w:p>
          <w:p w14:paraId="0FB8BA0D">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eastAsia" w:ascii="Times New Roman" w:hAnsi="Times New Roman" w:eastAsia="宋体" w:cs="Times New Roman"/>
                <w:b w:val="0"/>
                <w:bCs/>
                <w:color w:val="auto"/>
                <w:kern w:val="2"/>
                <w:sz w:val="21"/>
                <w:szCs w:val="21"/>
                <w:highlight w:val="none"/>
                <w:shd w:val="clear"/>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本项目</w:t>
            </w:r>
            <w:r>
              <w:rPr>
                <w:rFonts w:hint="eastAsia" w:cs="Times New Roman"/>
                <w:b w:val="0"/>
                <w:bCs/>
                <w:color w:val="auto"/>
                <w:kern w:val="2"/>
                <w:sz w:val="21"/>
                <w:szCs w:val="21"/>
                <w:highlight w:val="none"/>
                <w:lang w:val="en-US" w:eastAsia="zh-CN" w:bidi="ar-SA"/>
              </w:rPr>
              <w:t>废水主要包括生产废水和生活废水。</w:t>
            </w:r>
            <w:r>
              <w:rPr>
                <w:rFonts w:hint="eastAsia" w:ascii="Times New Roman" w:hAnsi="Times New Roman" w:eastAsia="宋体" w:cs="Times New Roman"/>
                <w:b w:val="0"/>
                <w:bCs/>
                <w:color w:val="auto"/>
                <w:kern w:val="2"/>
                <w:sz w:val="21"/>
                <w:szCs w:val="21"/>
                <w:highlight w:val="none"/>
                <w:lang w:val="en-US" w:eastAsia="zh-CN" w:bidi="ar-SA"/>
              </w:rPr>
              <w:t>生产废水包括</w:t>
            </w:r>
            <w:r>
              <w:rPr>
                <w:rFonts w:hint="eastAsia" w:ascii="Times New Roman" w:hAnsi="Times New Roman" w:cs="Times New Roman"/>
                <w:b w:val="0"/>
                <w:bCs/>
                <w:color w:val="auto"/>
                <w:kern w:val="2"/>
                <w:sz w:val="21"/>
                <w:szCs w:val="21"/>
                <w:highlight w:val="none"/>
                <w:lang w:val="en-US" w:eastAsia="zh-CN" w:bidi="ar-SA"/>
              </w:rPr>
              <w:t>软水制备废水、</w:t>
            </w:r>
            <w:r>
              <w:rPr>
                <w:rFonts w:hint="eastAsia" w:cs="Times New Roman"/>
                <w:b w:val="0"/>
                <w:bCs/>
                <w:color w:val="auto"/>
                <w:kern w:val="2"/>
                <w:sz w:val="21"/>
                <w:szCs w:val="21"/>
                <w:highlight w:val="none"/>
                <w:lang w:val="en-US" w:eastAsia="zh-CN" w:bidi="ar-SA"/>
              </w:rPr>
              <w:t>废气治理设施废水、设备冲洗废水</w:t>
            </w:r>
            <w:r>
              <w:rPr>
                <w:rFonts w:hint="eastAsia" w:ascii="Times New Roman" w:hAnsi="Times New Roman" w:eastAsia="宋体"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循环冷却</w:t>
            </w:r>
            <w:r>
              <w:rPr>
                <w:rFonts w:hint="eastAsia" w:ascii="Times New Roman" w:hAnsi="Times New Roman" w:eastAsia="宋体" w:cs="Times New Roman"/>
                <w:b w:val="0"/>
                <w:bCs/>
                <w:color w:val="auto"/>
                <w:kern w:val="2"/>
                <w:sz w:val="21"/>
                <w:szCs w:val="21"/>
                <w:highlight w:val="none"/>
                <w:lang w:val="en-US" w:eastAsia="zh-CN" w:bidi="ar-SA"/>
              </w:rPr>
              <w:t>系统排水</w:t>
            </w:r>
            <w:r>
              <w:rPr>
                <w:rFonts w:hint="eastAsia" w:ascii="Times New Roman" w:hAnsi="Times New Roman" w:cs="Times New Roman"/>
                <w:b w:val="0"/>
                <w:bCs/>
                <w:color w:val="auto"/>
                <w:kern w:val="2"/>
                <w:sz w:val="21"/>
                <w:szCs w:val="21"/>
                <w:highlight w:val="none"/>
                <w:lang w:val="en-US" w:eastAsia="zh-CN" w:bidi="ar-SA"/>
              </w:rPr>
              <w:t>和</w:t>
            </w:r>
            <w:r>
              <w:rPr>
                <w:rFonts w:hint="eastAsia" w:cs="Times New Roman"/>
                <w:b w:val="0"/>
                <w:bCs/>
                <w:color w:val="auto"/>
                <w:kern w:val="2"/>
                <w:sz w:val="21"/>
                <w:szCs w:val="21"/>
                <w:highlight w:val="none"/>
                <w:lang w:val="en-US" w:eastAsia="zh-CN" w:bidi="ar-SA"/>
              </w:rPr>
              <w:t>车间地面冲洗</w:t>
            </w:r>
            <w:r>
              <w:rPr>
                <w:rFonts w:hint="eastAsia" w:ascii="Times New Roman" w:hAnsi="Times New Roman" w:eastAsia="宋体" w:cs="Times New Roman"/>
                <w:b w:val="0"/>
                <w:bCs/>
                <w:color w:val="auto"/>
                <w:kern w:val="2"/>
                <w:sz w:val="21"/>
                <w:szCs w:val="21"/>
                <w:highlight w:val="none"/>
                <w:shd w:val="clear"/>
                <w:lang w:val="en-US" w:eastAsia="zh-CN" w:bidi="ar-SA"/>
              </w:rPr>
              <w:t>废水</w:t>
            </w:r>
            <w:r>
              <w:rPr>
                <w:rFonts w:hint="default" w:ascii="Times New Roman" w:hAnsi="Times New Roman" w:eastAsia="宋体" w:cs="Times New Roman"/>
                <w:b w:val="0"/>
                <w:bCs/>
                <w:color w:val="auto"/>
                <w:kern w:val="2"/>
                <w:sz w:val="21"/>
                <w:szCs w:val="21"/>
                <w:highlight w:val="none"/>
                <w:shd w:val="clear"/>
                <w:lang w:val="en-US" w:eastAsia="zh-CN" w:bidi="ar-SA"/>
              </w:rPr>
              <w:t>。</w:t>
            </w:r>
            <w:r>
              <w:rPr>
                <w:rFonts w:hint="eastAsia" w:ascii="Times New Roman" w:hAnsi="Times New Roman" w:eastAsia="宋体" w:cs="Times New Roman"/>
                <w:b w:val="0"/>
                <w:bCs/>
                <w:color w:val="auto"/>
                <w:kern w:val="2"/>
                <w:sz w:val="21"/>
                <w:szCs w:val="21"/>
                <w:highlight w:val="none"/>
                <w:shd w:val="clear"/>
                <w:lang w:val="en-US" w:eastAsia="zh-CN" w:bidi="ar-SA"/>
              </w:rPr>
              <w:t>本项目废水排放量</w:t>
            </w:r>
            <w:r>
              <w:rPr>
                <w:rFonts w:hint="default" w:ascii="Times New Roman" w:hAnsi="Times New Roman" w:eastAsia="宋体" w:cs="Times New Roman"/>
                <w:b w:val="0"/>
                <w:bCs/>
                <w:color w:val="auto"/>
                <w:kern w:val="2"/>
                <w:sz w:val="21"/>
                <w:szCs w:val="21"/>
                <w:highlight w:val="none"/>
                <w:shd w:val="clear"/>
                <w:lang w:val="en-US" w:eastAsia="zh-CN" w:bidi="ar-SA"/>
              </w:rPr>
              <w:t>为</w:t>
            </w:r>
            <w:r>
              <w:rPr>
                <w:rFonts w:hint="eastAsia" w:cs="Times New Roman"/>
                <w:b w:val="0"/>
                <w:bCs/>
                <w:color w:val="0000FF"/>
                <w:kern w:val="2"/>
                <w:sz w:val="21"/>
                <w:szCs w:val="21"/>
                <w:highlight w:val="none"/>
                <w:shd w:val="clear"/>
                <w:lang w:val="en-US" w:eastAsia="zh-CN" w:bidi="ar-SA"/>
              </w:rPr>
              <w:t>9.5</w:t>
            </w:r>
            <w:r>
              <w:rPr>
                <w:rFonts w:hint="default" w:ascii="Times New Roman" w:hAnsi="Times New Roman" w:eastAsia="宋体" w:cs="Times New Roman"/>
                <w:b w:val="0"/>
                <w:bCs/>
                <w:color w:val="0000FF"/>
                <w:kern w:val="2"/>
                <w:sz w:val="21"/>
                <w:szCs w:val="21"/>
                <w:highlight w:val="none"/>
                <w:shd w:val="clear"/>
                <w:lang w:val="en-US" w:eastAsia="zh-CN" w:bidi="ar-SA"/>
              </w:rPr>
              <w:t>m</w:t>
            </w:r>
            <w:r>
              <w:rPr>
                <w:rFonts w:hint="default" w:ascii="Times New Roman" w:hAnsi="Times New Roman" w:eastAsia="宋体" w:cs="Times New Roman"/>
                <w:b w:val="0"/>
                <w:bCs/>
                <w:color w:val="0000FF"/>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0000FF"/>
                <w:kern w:val="2"/>
                <w:sz w:val="21"/>
                <w:szCs w:val="21"/>
                <w:highlight w:val="none"/>
                <w:shd w:val="clear"/>
                <w:lang w:val="en-US" w:eastAsia="zh-CN" w:bidi="ar-SA"/>
              </w:rPr>
              <w:t>/d</w:t>
            </w:r>
            <w:r>
              <w:rPr>
                <w:rFonts w:hint="eastAsia" w:cs="Times New Roman"/>
                <w:b w:val="0"/>
                <w:bCs/>
                <w:color w:val="0000FF"/>
                <w:kern w:val="2"/>
                <w:sz w:val="21"/>
                <w:szCs w:val="21"/>
                <w:highlight w:val="none"/>
                <w:shd w:val="clear"/>
                <w:lang w:val="en-US" w:eastAsia="zh-CN" w:bidi="ar-SA"/>
              </w:rPr>
              <w:t>（2850</w:t>
            </w:r>
            <w:r>
              <w:rPr>
                <w:rFonts w:hint="eastAsia" w:ascii="Times New Roman" w:hAnsi="Times New Roman" w:eastAsia="宋体" w:cs="Times New Roman"/>
                <w:b w:val="0"/>
                <w:bCs/>
                <w:color w:val="0000FF"/>
                <w:kern w:val="2"/>
                <w:sz w:val="21"/>
                <w:szCs w:val="21"/>
                <w:highlight w:val="none"/>
                <w:shd w:val="clear"/>
                <w:lang w:val="en-US" w:eastAsia="zh-CN" w:bidi="ar-SA"/>
              </w:rPr>
              <w:t>m</w:t>
            </w:r>
            <w:r>
              <w:rPr>
                <w:rFonts w:hint="eastAsia" w:ascii="Times New Roman" w:hAnsi="Times New Roman" w:eastAsia="宋体" w:cs="Times New Roman"/>
                <w:b w:val="0"/>
                <w:bCs/>
                <w:color w:val="0000FF"/>
                <w:kern w:val="2"/>
                <w:sz w:val="21"/>
                <w:szCs w:val="21"/>
                <w:highlight w:val="none"/>
                <w:shd w:val="clear"/>
                <w:vertAlign w:val="superscript"/>
                <w:lang w:val="en-US" w:eastAsia="zh-CN" w:bidi="ar-SA"/>
              </w:rPr>
              <w:t>3</w:t>
            </w:r>
            <w:r>
              <w:rPr>
                <w:rFonts w:hint="eastAsia" w:ascii="Times New Roman" w:hAnsi="Times New Roman" w:eastAsia="宋体" w:cs="Times New Roman"/>
                <w:b w:val="0"/>
                <w:bCs/>
                <w:color w:val="0000FF"/>
                <w:kern w:val="2"/>
                <w:sz w:val="21"/>
                <w:szCs w:val="21"/>
                <w:highlight w:val="none"/>
                <w:shd w:val="clear"/>
                <w:lang w:val="en-US" w:eastAsia="zh-CN" w:bidi="ar-SA"/>
              </w:rPr>
              <w:t>/a</w:t>
            </w:r>
            <w:r>
              <w:rPr>
                <w:rFonts w:hint="eastAsia" w:cs="Times New Roman"/>
                <w:b w:val="0"/>
                <w:bCs/>
                <w:color w:val="0000FF"/>
                <w:kern w:val="2"/>
                <w:sz w:val="21"/>
                <w:szCs w:val="21"/>
                <w:highlight w:val="none"/>
                <w:shd w:val="clear"/>
                <w:lang w:val="en-US" w:eastAsia="zh-CN" w:bidi="ar-SA"/>
              </w:rPr>
              <w:t>）</w:t>
            </w:r>
            <w:r>
              <w:rPr>
                <w:rFonts w:hint="eastAsia" w:ascii="Times New Roman" w:hAnsi="Times New Roman" w:eastAsia="宋体" w:cs="Times New Roman"/>
                <w:b w:val="0"/>
                <w:bCs/>
                <w:color w:val="auto"/>
                <w:kern w:val="2"/>
                <w:sz w:val="21"/>
                <w:szCs w:val="21"/>
                <w:highlight w:val="none"/>
                <w:shd w:val="clear"/>
                <w:lang w:val="en-US" w:eastAsia="zh-CN" w:bidi="ar-SA"/>
              </w:rPr>
              <w:t>。</w:t>
            </w:r>
          </w:p>
          <w:p w14:paraId="159AF32E">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shd w:val="clear"/>
                <w:lang w:val="en-US" w:eastAsia="zh-CN" w:bidi="ar-SA"/>
              </w:rPr>
            </w:pPr>
            <w:r>
              <w:rPr>
                <w:rFonts w:hint="eastAsia" w:ascii="Times New Roman" w:hAnsi="Times New Roman" w:cs="Times New Roman"/>
                <w:b w:val="0"/>
                <w:bCs/>
                <w:color w:val="auto"/>
                <w:kern w:val="2"/>
                <w:sz w:val="21"/>
                <w:szCs w:val="21"/>
                <w:highlight w:val="none"/>
                <w:shd w:val="clear"/>
                <w:lang w:val="en-US" w:eastAsia="zh-CN" w:bidi="ar-SA"/>
              </w:rPr>
              <w:t>软水制备废水：废水产生量为</w:t>
            </w:r>
            <w:r>
              <w:rPr>
                <w:rFonts w:hint="eastAsia" w:cs="Times New Roman"/>
                <w:b w:val="0"/>
                <w:bCs/>
                <w:color w:val="auto"/>
                <w:kern w:val="2"/>
                <w:sz w:val="21"/>
                <w:szCs w:val="21"/>
                <w:highlight w:val="none"/>
                <w:shd w:val="clear"/>
                <w:lang w:val="en-US" w:eastAsia="zh-CN" w:bidi="ar-SA"/>
              </w:rPr>
              <w:t>1.15</w:t>
            </w:r>
            <w:r>
              <w:rPr>
                <w:rFonts w:hint="default" w:ascii="Times New Roman" w:hAnsi="Times New Roman" w:eastAsia="宋体" w:cs="Times New Roman"/>
                <w:b w:val="0"/>
                <w:bCs/>
                <w:color w:val="auto"/>
                <w:kern w:val="2"/>
                <w:sz w:val="21"/>
                <w:szCs w:val="21"/>
                <w:highlight w:val="none"/>
                <w:shd w:val="clear"/>
                <w:lang w:val="en-US" w:eastAsia="zh-CN" w:bidi="ar-SA"/>
              </w:rPr>
              <w:t>m</w:t>
            </w:r>
            <w:r>
              <w:rPr>
                <w:rFonts w:hint="default"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auto"/>
                <w:kern w:val="2"/>
                <w:sz w:val="21"/>
                <w:szCs w:val="21"/>
                <w:highlight w:val="none"/>
                <w:shd w:val="clear"/>
                <w:lang w:val="en-US" w:eastAsia="zh-CN" w:bidi="ar-SA"/>
              </w:rPr>
              <w:t>/d</w:t>
            </w:r>
            <w:r>
              <w:rPr>
                <w:rFonts w:hint="eastAsia" w:cs="Times New Roman"/>
                <w:b w:val="0"/>
                <w:bCs/>
                <w:color w:val="auto"/>
                <w:kern w:val="2"/>
                <w:sz w:val="21"/>
                <w:szCs w:val="21"/>
                <w:highlight w:val="none"/>
                <w:shd w:val="clear"/>
                <w:lang w:val="en-US" w:eastAsia="zh-CN" w:bidi="ar-SA"/>
              </w:rPr>
              <w:t>（345</w:t>
            </w:r>
            <w:r>
              <w:rPr>
                <w:rFonts w:hint="eastAsia" w:ascii="Times New Roman" w:hAnsi="Times New Roman" w:eastAsia="宋体" w:cs="Times New Roman"/>
                <w:b w:val="0"/>
                <w:bCs/>
                <w:color w:val="auto"/>
                <w:kern w:val="2"/>
                <w:sz w:val="21"/>
                <w:szCs w:val="21"/>
                <w:highlight w:val="none"/>
                <w:shd w:val="clear"/>
                <w:lang w:val="en-US" w:eastAsia="zh-CN" w:bidi="ar-SA"/>
              </w:rPr>
              <w:t>m</w:t>
            </w:r>
            <w:r>
              <w:rPr>
                <w:rFonts w:hint="eastAsia"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eastAsia" w:ascii="Times New Roman" w:hAnsi="Times New Roman" w:eastAsia="宋体" w:cs="Times New Roman"/>
                <w:b w:val="0"/>
                <w:bCs/>
                <w:color w:val="auto"/>
                <w:kern w:val="2"/>
                <w:sz w:val="21"/>
                <w:szCs w:val="21"/>
                <w:highlight w:val="none"/>
                <w:shd w:val="clear"/>
                <w:lang w:val="en-US" w:eastAsia="zh-CN" w:bidi="ar-SA"/>
              </w:rPr>
              <w:t>/a</w:t>
            </w:r>
            <w:r>
              <w:rPr>
                <w:rFonts w:hint="eastAsia" w:cs="Times New Roman"/>
                <w:b w:val="0"/>
                <w:bCs/>
                <w:color w:val="auto"/>
                <w:kern w:val="2"/>
                <w:sz w:val="21"/>
                <w:szCs w:val="21"/>
                <w:highlight w:val="none"/>
                <w:shd w:val="clear"/>
                <w:lang w:val="en-US" w:eastAsia="zh-CN" w:bidi="ar-SA"/>
              </w:rPr>
              <w:t>）</w:t>
            </w:r>
            <w:r>
              <w:rPr>
                <w:rFonts w:hint="eastAsia" w:ascii="Times New Roman" w:hAnsi="Times New Roman" w:eastAsia="宋体" w:cs="Times New Roman"/>
                <w:b w:val="0"/>
                <w:bCs/>
                <w:color w:val="auto"/>
                <w:kern w:val="2"/>
                <w:sz w:val="21"/>
                <w:szCs w:val="21"/>
                <w:highlight w:val="none"/>
                <w:shd w:val="clear"/>
                <w:lang w:val="en-US" w:eastAsia="zh-CN" w:bidi="ar-SA"/>
              </w:rPr>
              <w:t>。</w:t>
            </w:r>
          </w:p>
          <w:p w14:paraId="4B60177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设备冲洗废</w:t>
            </w:r>
            <w:r>
              <w:rPr>
                <w:rFonts w:hint="eastAsia" w:eastAsia="宋体" w:cs="Times New Roman"/>
                <w:b w:val="0"/>
                <w:bCs/>
                <w:color w:val="auto"/>
                <w:kern w:val="2"/>
                <w:sz w:val="21"/>
                <w:szCs w:val="21"/>
                <w:highlight w:val="none"/>
                <w:lang w:val="en-US" w:eastAsia="zh-CN" w:bidi="ar-SA"/>
              </w:rPr>
              <w:t>水</w:t>
            </w:r>
            <w:r>
              <w:rPr>
                <w:rFonts w:hint="eastAsia" w:cs="Times New Roman"/>
                <w:b w:val="0"/>
                <w:bCs/>
                <w:color w:val="auto"/>
                <w:kern w:val="2"/>
                <w:sz w:val="21"/>
                <w:szCs w:val="21"/>
                <w:highlight w:val="none"/>
                <w:lang w:val="en-US" w:eastAsia="zh-CN" w:bidi="ar-SA"/>
              </w:rPr>
              <w:t>：设备冲洗水合计为0.6</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180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损耗量按20%计，损耗量为0.12</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36</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，排放量为0.48</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144</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p>
          <w:p w14:paraId="0ABFB83F">
            <w:pPr>
              <w:pStyle w:val="2"/>
              <w:keepNext w:val="0"/>
              <w:keepLines w:val="0"/>
              <w:pageBreakBefore w:val="0"/>
              <w:widowControl w:val="0"/>
              <w:kinsoku/>
              <w:wordWrap/>
              <w:overflowPunct/>
              <w:topLinePunct w:val="0"/>
              <w:autoSpaceDE/>
              <w:autoSpaceDN/>
              <w:bidi w:val="0"/>
              <w:adjustRightInd/>
              <w:snapToGrid/>
              <w:spacing w:line="360" w:lineRule="auto"/>
              <w:rPr>
                <w:rFonts w:hint="default"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废气治理系统废水：喷雾干燥尾气夹带水蒸气3.86</w:t>
            </w:r>
            <w:r>
              <w:rPr>
                <w:rFonts w:hint="default" w:ascii="Times New Roman" w:hAnsi="Times New Roman" w:eastAsia="宋体" w:cs="Times New Roman"/>
                <w:b w:val="0"/>
                <w:bCs/>
                <w:color w:val="auto"/>
                <w:kern w:val="2"/>
                <w:sz w:val="21"/>
                <w:szCs w:val="21"/>
                <w:highlight w:val="none"/>
                <w:shd w:val="clear"/>
                <w:lang w:val="en-US" w:eastAsia="zh-CN" w:bidi="ar-SA"/>
              </w:rPr>
              <w:t>m</w:t>
            </w:r>
            <w:r>
              <w:rPr>
                <w:rFonts w:hint="default"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auto"/>
                <w:kern w:val="2"/>
                <w:sz w:val="21"/>
                <w:szCs w:val="21"/>
                <w:highlight w:val="none"/>
                <w:shd w:val="clear"/>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1157</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进入水喷淋+酸喷淋塔，烟气降温冷凝后全部汇入喷淋循环水箱，作为喷淋系统回用补水；但受尾气排空带水、喷淋废液定期外排等损耗影响，冷凝回用水无法满足喷淋全周期用水需求，生产运行仍需补充新鲜生产用水，</w:t>
            </w:r>
            <w:r>
              <w:rPr>
                <w:rFonts w:hint="eastAsia" w:ascii="Times New Roman" w:hAnsi="Times New Roman" w:eastAsia="宋体" w:cs="Times New Roman"/>
                <w:b w:val="0"/>
                <w:bCs/>
                <w:color w:val="auto"/>
                <w:kern w:val="2"/>
                <w:sz w:val="21"/>
                <w:szCs w:val="21"/>
                <w:highlight w:val="none"/>
                <w:lang w:val="en-US" w:eastAsia="zh-CN" w:bidi="ar-SA"/>
              </w:rPr>
              <w:t>新鲜水</w:t>
            </w:r>
            <w:r>
              <w:rPr>
                <w:rFonts w:hint="eastAsia" w:cs="Times New Roman"/>
                <w:b w:val="0"/>
                <w:bCs/>
                <w:color w:val="auto"/>
                <w:kern w:val="2"/>
                <w:sz w:val="21"/>
                <w:szCs w:val="21"/>
                <w:highlight w:val="none"/>
                <w:lang w:val="en-US" w:eastAsia="zh-CN" w:bidi="ar-SA"/>
              </w:rPr>
              <w:t>补水量为2.56</w:t>
            </w:r>
            <w:r>
              <w:rPr>
                <w:rFonts w:hint="default" w:ascii="Times New Roman" w:hAnsi="Times New Roman" w:eastAsia="宋体" w:cs="Times New Roman"/>
                <w:b w:val="0"/>
                <w:bCs/>
                <w:color w:val="auto"/>
                <w:kern w:val="2"/>
                <w:sz w:val="21"/>
                <w:szCs w:val="21"/>
                <w:highlight w:val="none"/>
                <w:shd w:val="clear"/>
                <w:lang w:val="en-US" w:eastAsia="zh-CN" w:bidi="ar-SA"/>
              </w:rPr>
              <w:t>m</w:t>
            </w:r>
            <w:r>
              <w:rPr>
                <w:rFonts w:hint="default"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auto"/>
                <w:kern w:val="2"/>
                <w:sz w:val="21"/>
                <w:szCs w:val="21"/>
                <w:highlight w:val="none"/>
                <w:shd w:val="clear"/>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768</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酸洗塔使用20%硫酸量带入水量为0.12</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/d</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36</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）。废气治理系统</w:t>
            </w:r>
            <w:r>
              <w:rPr>
                <w:rFonts w:hint="eastAsia" w:cs="Times New Roman"/>
                <w:b w:val="0"/>
                <w:bCs/>
                <w:color w:val="auto"/>
                <w:kern w:val="2"/>
                <w:sz w:val="21"/>
                <w:szCs w:val="21"/>
                <w:highlight w:val="none"/>
                <w:lang w:val="en-US" w:eastAsia="zh-CN" w:bidi="ar-SA"/>
              </w:rPr>
              <w:t>喷淋液循环液</w:t>
            </w:r>
            <w:r>
              <w:rPr>
                <w:rFonts w:hint="eastAsia" w:ascii="Times New Roman" w:hAnsi="Times New Roman" w:eastAsia="宋体" w:cs="Times New Roman"/>
                <w:b w:val="0"/>
                <w:bCs/>
                <w:color w:val="auto"/>
                <w:kern w:val="2"/>
                <w:sz w:val="21"/>
                <w:szCs w:val="21"/>
                <w:highlight w:val="none"/>
                <w:lang w:val="en-US" w:eastAsia="zh-CN" w:bidi="ar-SA"/>
              </w:rPr>
              <w:t>量约为</w:t>
            </w:r>
            <w:r>
              <w:rPr>
                <w:rFonts w:hint="eastAsia" w:cs="Times New Roman"/>
                <w:b w:val="0"/>
                <w:bCs/>
                <w:color w:val="auto"/>
                <w:kern w:val="2"/>
                <w:sz w:val="21"/>
                <w:szCs w:val="21"/>
                <w:highlight w:val="none"/>
                <w:lang w:val="en-US" w:eastAsia="zh-CN" w:bidi="ar-SA"/>
              </w:rPr>
              <w:t>420</w:t>
            </w:r>
            <w:r>
              <w:rPr>
                <w:rFonts w:hint="default" w:ascii="Times New Roman" w:hAnsi="Times New Roman" w:eastAsia="宋体" w:cs="Times New Roman"/>
                <w:b w:val="0"/>
                <w:bCs/>
                <w:color w:val="auto"/>
                <w:kern w:val="2"/>
                <w:sz w:val="21"/>
                <w:szCs w:val="21"/>
                <w:highlight w:val="none"/>
                <w:shd w:val="clear"/>
                <w:lang w:val="en-US" w:eastAsia="zh-CN" w:bidi="ar-SA"/>
              </w:rPr>
              <w:t>m</w:t>
            </w:r>
            <w:r>
              <w:rPr>
                <w:rFonts w:hint="default" w:ascii="Times New Roman" w:hAnsi="Times New Roman" w:eastAsia="宋体" w:cs="Times New Roman"/>
                <w:b w:val="0"/>
                <w:bCs/>
                <w:color w:val="auto"/>
                <w:kern w:val="2"/>
                <w:sz w:val="21"/>
                <w:szCs w:val="21"/>
                <w:highlight w:val="none"/>
                <w:shd w:val="clear"/>
                <w:vertAlign w:val="superscript"/>
                <w:lang w:val="en-US" w:eastAsia="zh-CN" w:bidi="ar-SA"/>
              </w:rPr>
              <w:t>3</w:t>
            </w:r>
            <w:r>
              <w:rPr>
                <w:rFonts w:hint="default" w:ascii="Times New Roman" w:hAnsi="Times New Roman" w:eastAsia="宋体" w:cs="Times New Roman"/>
                <w:b w:val="0"/>
                <w:bCs/>
                <w:color w:val="auto"/>
                <w:kern w:val="2"/>
                <w:sz w:val="21"/>
                <w:szCs w:val="21"/>
                <w:highlight w:val="none"/>
                <w:shd w:val="clear"/>
                <w:lang w:val="en-US" w:eastAsia="zh-CN" w:bidi="ar-SA"/>
              </w:rPr>
              <w:t>/d</w:t>
            </w:r>
            <w:r>
              <w:rPr>
                <w:rFonts w:hint="eastAsia" w:ascii="Times New Roman" w:hAnsi="Times New Roman" w:eastAsia="宋体" w:cs="Times New Roman"/>
                <w:b w:val="0"/>
                <w:bCs/>
                <w:color w:val="auto"/>
                <w:kern w:val="2"/>
                <w:sz w:val="21"/>
                <w:szCs w:val="21"/>
                <w:highlight w:val="none"/>
                <w:shd w:val="clear"/>
                <w:lang w:val="en-US" w:eastAsia="zh-CN" w:bidi="ar-SA"/>
              </w:rPr>
              <w:t>，</w:t>
            </w:r>
            <w:r>
              <w:rPr>
                <w:rFonts w:hint="eastAsia" w:cs="Times New Roman"/>
                <w:b w:val="0"/>
                <w:bCs/>
                <w:color w:val="auto"/>
                <w:kern w:val="2"/>
                <w:sz w:val="21"/>
                <w:szCs w:val="21"/>
                <w:highlight w:val="none"/>
                <w:lang w:val="en-US" w:eastAsia="zh-CN" w:bidi="ar-SA"/>
              </w:rPr>
              <w:t>损耗</w:t>
            </w:r>
            <w:r>
              <w:rPr>
                <w:rFonts w:hint="eastAsia" w:cs="Times New Roman"/>
                <w:b w:val="0"/>
                <w:bCs/>
                <w:color w:val="0000FF"/>
                <w:kern w:val="2"/>
                <w:sz w:val="21"/>
                <w:szCs w:val="21"/>
                <w:highlight w:val="none"/>
                <w:lang w:val="en-US" w:eastAsia="zh-CN" w:bidi="ar-SA"/>
              </w:rPr>
              <w:t>量按0.5%计，损耗量为2.1</w:t>
            </w:r>
            <w:r>
              <w:rPr>
                <w:rFonts w:hint="default" w:ascii="Times New Roman" w:hAnsi="Times New Roman" w:eastAsia="宋体" w:cs="Times New Roman"/>
                <w:b w:val="0"/>
                <w:bCs/>
                <w:color w:val="0000FF"/>
                <w:kern w:val="2"/>
                <w:sz w:val="21"/>
                <w:szCs w:val="21"/>
                <w:highlight w:val="none"/>
                <w:lang w:val="en-US" w:eastAsia="zh-CN" w:bidi="ar-SA"/>
              </w:rPr>
              <w:t>m</w:t>
            </w:r>
            <w:r>
              <w:rPr>
                <w:rFonts w:hint="default" w:ascii="Times New Roman" w:hAnsi="Times New Roman" w:eastAsia="宋体" w:cs="Times New Roman"/>
                <w:b w:val="0"/>
                <w:bCs/>
                <w:color w:val="0000FF"/>
                <w:kern w:val="2"/>
                <w:sz w:val="21"/>
                <w:szCs w:val="21"/>
                <w:highlight w:val="none"/>
                <w:vertAlign w:val="superscript"/>
                <w:lang w:val="en-US" w:eastAsia="zh-CN" w:bidi="ar-SA"/>
              </w:rPr>
              <w:t>3</w:t>
            </w:r>
            <w:r>
              <w:rPr>
                <w:rFonts w:hint="default" w:ascii="Times New Roman" w:hAnsi="Times New Roman" w:eastAsia="宋体" w:cs="Times New Roman"/>
                <w:b w:val="0"/>
                <w:bCs/>
                <w:color w:val="0000FF"/>
                <w:kern w:val="2"/>
                <w:sz w:val="21"/>
                <w:szCs w:val="21"/>
                <w:highlight w:val="none"/>
                <w:lang w:val="en-US" w:eastAsia="zh-CN" w:bidi="ar-SA"/>
              </w:rPr>
              <w:t>/d</w:t>
            </w:r>
            <w:r>
              <w:rPr>
                <w:rFonts w:hint="eastAsia" w:ascii="Times New Roman" w:hAnsi="Times New Roman" w:eastAsia="宋体" w:cs="Times New Roman"/>
                <w:b w:val="0"/>
                <w:bCs/>
                <w:color w:val="0000FF"/>
                <w:kern w:val="2"/>
                <w:sz w:val="21"/>
                <w:szCs w:val="21"/>
                <w:highlight w:val="none"/>
                <w:lang w:val="en-US" w:eastAsia="zh-CN" w:bidi="ar-SA"/>
              </w:rPr>
              <w:t>（</w:t>
            </w:r>
            <w:r>
              <w:rPr>
                <w:rFonts w:hint="eastAsia" w:cs="Times New Roman"/>
                <w:b w:val="0"/>
                <w:bCs/>
                <w:color w:val="0000FF"/>
                <w:kern w:val="2"/>
                <w:sz w:val="21"/>
                <w:szCs w:val="21"/>
                <w:highlight w:val="none"/>
                <w:lang w:val="en-US" w:eastAsia="zh-CN" w:bidi="ar-SA"/>
              </w:rPr>
              <w:t>630</w:t>
            </w:r>
            <w:r>
              <w:rPr>
                <w:rFonts w:hint="default" w:ascii="Times New Roman" w:hAnsi="Times New Roman" w:eastAsia="宋体" w:cs="Times New Roman"/>
                <w:b w:val="0"/>
                <w:bCs/>
                <w:color w:val="0000FF"/>
                <w:kern w:val="2"/>
                <w:sz w:val="21"/>
                <w:szCs w:val="21"/>
                <w:highlight w:val="none"/>
                <w:lang w:val="en-US" w:eastAsia="zh-CN" w:bidi="ar-SA"/>
              </w:rPr>
              <w:t>m</w:t>
            </w:r>
            <w:r>
              <w:rPr>
                <w:rFonts w:hint="default" w:ascii="Times New Roman" w:hAnsi="Times New Roman" w:eastAsia="宋体" w:cs="Times New Roman"/>
                <w:b w:val="0"/>
                <w:bCs/>
                <w:color w:val="0000FF"/>
                <w:kern w:val="2"/>
                <w:sz w:val="21"/>
                <w:szCs w:val="21"/>
                <w:highlight w:val="none"/>
                <w:vertAlign w:val="superscript"/>
                <w:lang w:val="en-US" w:eastAsia="zh-CN" w:bidi="ar-SA"/>
              </w:rPr>
              <w:t>3</w:t>
            </w:r>
            <w:r>
              <w:rPr>
                <w:rFonts w:hint="default" w:ascii="Times New Roman" w:hAnsi="Times New Roman" w:eastAsia="宋体" w:cs="Times New Roman"/>
                <w:b w:val="0"/>
                <w:bCs/>
                <w:color w:val="0000FF"/>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r>
              <w:rPr>
                <w:rFonts w:hint="eastAsia" w:cs="Times New Roman"/>
                <w:b w:val="0"/>
                <w:bCs/>
                <w:color w:val="0000FF"/>
                <w:kern w:val="2"/>
                <w:sz w:val="21"/>
                <w:szCs w:val="21"/>
                <w:highlight w:val="none"/>
                <w:lang w:val="en-US" w:eastAsia="zh-CN" w:bidi="ar-SA"/>
              </w:rPr>
              <w:t>废水排放量为2.88</w:t>
            </w:r>
            <w:r>
              <w:rPr>
                <w:rFonts w:hint="default" w:ascii="Times New Roman" w:hAnsi="Times New Roman" w:eastAsia="宋体" w:cs="Times New Roman"/>
                <w:b w:val="0"/>
                <w:bCs/>
                <w:color w:val="0000FF"/>
                <w:kern w:val="2"/>
                <w:sz w:val="21"/>
                <w:szCs w:val="21"/>
                <w:highlight w:val="none"/>
                <w:lang w:val="en-US" w:eastAsia="zh-CN" w:bidi="ar-SA"/>
              </w:rPr>
              <w:t>m</w:t>
            </w:r>
            <w:r>
              <w:rPr>
                <w:rFonts w:hint="default" w:ascii="Times New Roman" w:hAnsi="Times New Roman" w:eastAsia="宋体" w:cs="Times New Roman"/>
                <w:b w:val="0"/>
                <w:bCs/>
                <w:color w:val="0000FF"/>
                <w:kern w:val="2"/>
                <w:sz w:val="21"/>
                <w:szCs w:val="21"/>
                <w:highlight w:val="none"/>
                <w:vertAlign w:val="superscript"/>
                <w:lang w:val="en-US" w:eastAsia="zh-CN" w:bidi="ar-SA"/>
              </w:rPr>
              <w:t>3</w:t>
            </w:r>
            <w:r>
              <w:rPr>
                <w:rFonts w:hint="default" w:ascii="Times New Roman" w:hAnsi="Times New Roman" w:eastAsia="宋体" w:cs="Times New Roman"/>
                <w:b w:val="0"/>
                <w:bCs/>
                <w:color w:val="0000FF"/>
                <w:kern w:val="2"/>
                <w:sz w:val="21"/>
                <w:szCs w:val="21"/>
                <w:highlight w:val="none"/>
                <w:lang w:val="en-US" w:eastAsia="zh-CN" w:bidi="ar-SA"/>
              </w:rPr>
              <w:t>/d</w:t>
            </w:r>
            <w:r>
              <w:rPr>
                <w:rFonts w:hint="eastAsia" w:ascii="Times New Roman" w:hAnsi="Times New Roman" w:eastAsia="宋体" w:cs="Times New Roman"/>
                <w:b w:val="0"/>
                <w:bCs/>
                <w:color w:val="0000FF"/>
                <w:kern w:val="2"/>
                <w:sz w:val="21"/>
                <w:szCs w:val="21"/>
                <w:highlight w:val="none"/>
                <w:lang w:val="en-US" w:eastAsia="zh-CN" w:bidi="ar-SA"/>
              </w:rPr>
              <w:t>（</w:t>
            </w:r>
            <w:r>
              <w:rPr>
                <w:rFonts w:hint="eastAsia" w:cs="Times New Roman"/>
                <w:b w:val="0"/>
                <w:bCs/>
                <w:color w:val="0000FF"/>
                <w:kern w:val="2"/>
                <w:sz w:val="21"/>
                <w:szCs w:val="21"/>
                <w:highlight w:val="none"/>
                <w:lang w:val="en-US" w:eastAsia="zh-CN" w:bidi="ar-SA"/>
              </w:rPr>
              <w:t>864</w:t>
            </w:r>
            <w:r>
              <w:rPr>
                <w:rFonts w:hint="default" w:ascii="Times New Roman" w:hAnsi="Times New Roman" w:eastAsia="宋体" w:cs="Times New Roman"/>
                <w:b w:val="0"/>
                <w:bCs/>
                <w:color w:val="0000FF"/>
                <w:kern w:val="2"/>
                <w:sz w:val="21"/>
                <w:szCs w:val="21"/>
                <w:highlight w:val="none"/>
                <w:lang w:val="en-US" w:eastAsia="zh-CN" w:bidi="ar-SA"/>
              </w:rPr>
              <w:t>m</w:t>
            </w:r>
            <w:r>
              <w:rPr>
                <w:rFonts w:hint="default" w:ascii="Times New Roman" w:hAnsi="Times New Roman" w:eastAsia="宋体" w:cs="Times New Roman"/>
                <w:b w:val="0"/>
                <w:bCs/>
                <w:color w:val="0000FF"/>
                <w:kern w:val="2"/>
                <w:sz w:val="21"/>
                <w:szCs w:val="21"/>
                <w:highlight w:val="none"/>
                <w:vertAlign w:val="superscript"/>
                <w:lang w:val="en-US" w:eastAsia="zh-CN" w:bidi="ar-SA"/>
              </w:rPr>
              <w:t>3</w:t>
            </w:r>
            <w:r>
              <w:rPr>
                <w:rFonts w:hint="default" w:ascii="Times New Roman" w:hAnsi="Times New Roman" w:eastAsia="宋体" w:cs="Times New Roman"/>
                <w:b w:val="0"/>
                <w:bCs/>
                <w:color w:val="0000FF"/>
                <w:kern w:val="2"/>
                <w:sz w:val="21"/>
                <w:szCs w:val="21"/>
                <w:highlight w:val="none"/>
                <w:lang w:val="en-US" w:eastAsia="zh-CN" w:bidi="ar-SA"/>
              </w:rPr>
              <w:t>/a</w:t>
            </w:r>
            <w:r>
              <w:rPr>
                <w:rFonts w:hint="eastAsia" w:ascii="Times New Roman" w:hAnsi="Times New Roman" w:eastAsia="宋体" w:cs="Times New Roman"/>
                <w:b w:val="0"/>
                <w:bCs/>
                <w:color w:val="0000FF"/>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w:t>
            </w:r>
          </w:p>
          <w:p w14:paraId="20A623A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循环冷却</w:t>
            </w:r>
            <w:r>
              <w:rPr>
                <w:rFonts w:hint="eastAsia" w:ascii="Times New Roman" w:hAnsi="Times New Roman" w:eastAsia="宋体" w:cs="Times New Roman"/>
                <w:b w:val="0"/>
                <w:bCs/>
                <w:color w:val="auto"/>
                <w:kern w:val="2"/>
                <w:sz w:val="21"/>
                <w:szCs w:val="21"/>
                <w:highlight w:val="none"/>
                <w:lang w:val="en-US" w:eastAsia="zh-CN" w:bidi="ar-SA"/>
              </w:rPr>
              <w:t>水系统</w:t>
            </w:r>
            <w:r>
              <w:rPr>
                <w:rFonts w:hint="default" w:ascii="Times New Roman" w:hAnsi="Times New Roman" w:eastAsia="宋体" w:cs="Times New Roman"/>
                <w:b w:val="0"/>
                <w:bCs/>
                <w:color w:val="auto"/>
                <w:kern w:val="2"/>
                <w:sz w:val="21"/>
                <w:szCs w:val="21"/>
                <w:highlight w:val="none"/>
                <w:lang w:val="en-US" w:eastAsia="zh-CN" w:bidi="ar-SA"/>
              </w:rPr>
              <w:t>用水</w:t>
            </w:r>
            <w:r>
              <w:rPr>
                <w:rFonts w:hint="eastAsia" w:ascii="Times New Roman" w:hAnsi="Times New Roman"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本项目循环水系统用水量约为</w:t>
            </w:r>
            <w:r>
              <w:rPr>
                <w:rFonts w:hint="eastAsia" w:cs="Times New Roman"/>
                <w:b w:val="0"/>
                <w:bCs/>
                <w:color w:val="auto"/>
                <w:kern w:val="2"/>
                <w:sz w:val="21"/>
                <w:szCs w:val="21"/>
                <w:highlight w:val="none"/>
                <w:lang w:val="en-US" w:eastAsia="zh-CN" w:bidi="ar-SA"/>
              </w:rPr>
              <w:t>432</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d（129600</w:t>
            </w:r>
            <w:r>
              <w:rPr>
                <w:rFonts w:hint="default" w:ascii="Times New Roman" w:hAnsi="Times New Roman" w:eastAsia="宋体" w:cs="Times New Roman"/>
                <w:b w:val="0"/>
                <w:bCs/>
                <w:color w:val="auto"/>
                <w:kern w:val="2"/>
                <w:sz w:val="21"/>
                <w:szCs w:val="21"/>
                <w:highlight w:val="none"/>
                <w:lang w:val="en-US" w:eastAsia="zh-CN" w:bidi="ar-SA"/>
              </w:rPr>
              <w:t>m</w:t>
            </w:r>
            <w:r>
              <w:rPr>
                <w:rFonts w:hint="default"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系统运行</w:t>
            </w:r>
            <w:r>
              <w:rPr>
                <w:rFonts w:hint="eastAsia" w:cs="Times New Roman"/>
                <w:b w:val="0"/>
                <w:bCs/>
                <w:color w:val="auto"/>
                <w:kern w:val="2"/>
                <w:sz w:val="21"/>
                <w:szCs w:val="21"/>
                <w:highlight w:val="none"/>
                <w:lang w:val="en-US" w:eastAsia="zh-CN" w:bidi="ar-SA"/>
              </w:rPr>
              <w:t>蒸发</w:t>
            </w:r>
            <w:r>
              <w:rPr>
                <w:rFonts w:hint="eastAsia" w:ascii="Times New Roman" w:hAnsi="Times New Roman" w:eastAsia="宋体" w:cs="Times New Roman"/>
                <w:b w:val="0"/>
                <w:bCs/>
                <w:color w:val="auto"/>
                <w:kern w:val="2"/>
                <w:sz w:val="21"/>
                <w:szCs w:val="21"/>
                <w:highlight w:val="none"/>
                <w:lang w:val="en-US" w:eastAsia="zh-CN" w:bidi="ar-SA"/>
              </w:rPr>
              <w:t>损耗水量</w:t>
            </w:r>
            <w:r>
              <w:rPr>
                <w:rFonts w:hint="eastAsia" w:ascii="Times New Roman" w:hAnsi="Times New Roman" w:cs="Times New Roman"/>
                <w:b w:val="0"/>
                <w:bCs/>
                <w:color w:val="auto"/>
                <w:kern w:val="2"/>
                <w:sz w:val="21"/>
                <w:szCs w:val="21"/>
                <w:highlight w:val="none"/>
                <w:lang w:val="en-US" w:eastAsia="zh-CN" w:bidi="ar-SA"/>
              </w:rPr>
              <w:t>按1%计，</w:t>
            </w:r>
            <w:r>
              <w:rPr>
                <w:rFonts w:hint="eastAsia"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4.32</w:t>
            </w:r>
            <w:r>
              <w:rPr>
                <w:rFonts w:hint="default"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d</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废水产生量</w:t>
            </w:r>
            <w:r>
              <w:rPr>
                <w:rFonts w:hint="eastAsia" w:ascii="Times New Roman" w:hAnsi="Times New Roman" w:cs="Times New Roman"/>
                <w:b w:val="0"/>
                <w:bCs/>
                <w:color w:val="auto"/>
                <w:kern w:val="2"/>
                <w:sz w:val="21"/>
                <w:szCs w:val="21"/>
                <w:highlight w:val="none"/>
                <w:lang w:val="en-US" w:eastAsia="zh-CN" w:bidi="ar-SA"/>
              </w:rPr>
              <w:t>按损耗量的50%计，</w:t>
            </w:r>
            <w:r>
              <w:rPr>
                <w:rFonts w:hint="eastAsia"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2.16</w:t>
            </w:r>
            <w:r>
              <w:rPr>
                <w:rFonts w:hint="default"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d</w:t>
            </w:r>
            <w:r>
              <w:rPr>
                <w:rFonts w:hint="default" w:ascii="Times New Roman" w:hAnsi="Times New Roman" w:eastAsia="宋体" w:cs="Times New Roman"/>
                <w:b w:val="0"/>
                <w:bCs/>
                <w:color w:val="auto"/>
                <w:kern w:val="2"/>
                <w:sz w:val="21"/>
                <w:szCs w:val="21"/>
                <w:highlight w:val="none"/>
                <w:lang w:val="en-US" w:eastAsia="zh-CN" w:bidi="ar-SA"/>
              </w:rPr>
              <w:t>。</w:t>
            </w:r>
          </w:p>
          <w:p w14:paraId="088AD189">
            <w:pPr>
              <w:keepNext w:val="0"/>
              <w:keepLines w:val="0"/>
              <w:pageBreakBefore w:val="0"/>
              <w:widowControl w:val="0"/>
              <w:numPr>
                <w:ilvl w:val="0"/>
                <w:numId w:val="0"/>
              </w:numPr>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车间地面冲洗</w:t>
            </w:r>
            <w:r>
              <w:rPr>
                <w:rFonts w:hint="eastAsia" w:ascii="Times New Roman" w:hAnsi="Times New Roman" w:eastAsia="宋体" w:cs="Times New Roman"/>
                <w:b w:val="0"/>
                <w:bCs/>
                <w:color w:val="auto"/>
                <w:kern w:val="2"/>
                <w:sz w:val="21"/>
                <w:szCs w:val="21"/>
                <w:highlight w:val="none"/>
                <w:lang w:val="en-US" w:eastAsia="zh-CN" w:bidi="ar-SA"/>
              </w:rPr>
              <w:t>废水</w:t>
            </w:r>
            <w:r>
              <w:rPr>
                <w:rFonts w:hint="eastAsia" w:ascii="Times New Roman" w:hAnsi="Times New Roman"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车间地面冲洗用水需使用</w:t>
            </w:r>
            <w:r>
              <w:rPr>
                <w:rFonts w:hint="default" w:ascii="Times New Roman" w:hAnsi="Times New Roman" w:eastAsia="宋体" w:cs="Times New Roman"/>
                <w:b w:val="0"/>
                <w:bCs/>
                <w:color w:val="auto"/>
                <w:kern w:val="2"/>
                <w:sz w:val="21"/>
                <w:szCs w:val="21"/>
                <w:highlight w:val="none"/>
                <w:lang w:val="en-US" w:eastAsia="zh-CN" w:bidi="ar-SA"/>
              </w:rPr>
              <w:t>新鲜水量</w:t>
            </w:r>
            <w:r>
              <w:rPr>
                <w:rFonts w:hint="eastAsia" w:cs="Times New Roman"/>
                <w:b w:val="0"/>
                <w:bCs/>
                <w:color w:val="auto"/>
                <w:kern w:val="2"/>
                <w:sz w:val="21"/>
                <w:szCs w:val="21"/>
                <w:highlight w:val="none"/>
                <w:lang w:val="en-US" w:eastAsia="zh-CN" w:bidi="ar-SA"/>
              </w:rPr>
              <w:t>约2m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/d（600m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vertAlign w:val="baseline"/>
                <w:lang w:val="en-US" w:eastAsia="zh-CN" w:bidi="ar-SA"/>
              </w:rPr>
              <w:t>/a</w:t>
            </w:r>
            <w:r>
              <w:rPr>
                <w:rFonts w:hint="eastAsia" w:cs="Times New Roman"/>
                <w:b w:val="0"/>
                <w:bCs/>
                <w:color w:val="auto"/>
                <w:kern w:val="2"/>
                <w:sz w:val="21"/>
                <w:szCs w:val="21"/>
                <w:highlight w:val="none"/>
                <w:lang w:val="en-US" w:eastAsia="zh-CN" w:bidi="ar-SA"/>
              </w:rPr>
              <w:t>），蒸发损耗量按20%计，则车间地面冲洗</w:t>
            </w:r>
            <w:r>
              <w:rPr>
                <w:rFonts w:hint="eastAsia" w:ascii="Times New Roman" w:hAnsi="Times New Roman" w:eastAsia="宋体" w:cs="Times New Roman"/>
                <w:b w:val="0"/>
                <w:bCs/>
                <w:color w:val="auto"/>
                <w:kern w:val="2"/>
                <w:sz w:val="21"/>
                <w:szCs w:val="21"/>
                <w:highlight w:val="none"/>
                <w:lang w:val="en-US" w:eastAsia="zh-CN" w:bidi="ar-SA"/>
              </w:rPr>
              <w:t>废水</w:t>
            </w:r>
            <w:r>
              <w:rPr>
                <w:rFonts w:hint="eastAsia" w:cs="Times New Roman"/>
                <w:b w:val="0"/>
                <w:bCs/>
                <w:color w:val="auto"/>
                <w:kern w:val="2"/>
                <w:sz w:val="21"/>
                <w:szCs w:val="21"/>
                <w:highlight w:val="none"/>
                <w:lang w:val="en-US" w:eastAsia="zh-CN" w:bidi="ar-SA"/>
              </w:rPr>
              <w:t>排放</w:t>
            </w:r>
            <w:r>
              <w:rPr>
                <w:rFonts w:hint="eastAsia" w:ascii="Times New Roman" w:hAnsi="Times New Roman" w:eastAsia="宋体" w:cs="Times New Roman"/>
                <w:b w:val="0"/>
                <w:bCs/>
                <w:color w:val="auto"/>
                <w:kern w:val="2"/>
                <w:sz w:val="21"/>
                <w:szCs w:val="21"/>
                <w:highlight w:val="none"/>
                <w:lang w:val="en-US" w:eastAsia="zh-CN" w:bidi="ar-SA"/>
              </w:rPr>
              <w:t>量为</w:t>
            </w:r>
            <w:r>
              <w:rPr>
                <w:rFonts w:hint="eastAsia" w:cs="Times New Roman"/>
                <w:b w:val="0"/>
                <w:bCs/>
                <w:color w:val="auto"/>
                <w:kern w:val="2"/>
                <w:sz w:val="21"/>
                <w:szCs w:val="21"/>
                <w:highlight w:val="none"/>
                <w:lang w:val="en-US" w:eastAsia="zh-CN" w:bidi="ar-SA"/>
              </w:rPr>
              <w:t>1.6</w:t>
            </w:r>
            <w:r>
              <w:rPr>
                <w:rFonts w:hint="eastAsia"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/d（</w:t>
            </w:r>
            <w:r>
              <w:rPr>
                <w:rFonts w:hint="eastAsia" w:cs="Times New Roman"/>
                <w:b w:val="0"/>
                <w:bCs/>
                <w:color w:val="auto"/>
                <w:kern w:val="2"/>
                <w:sz w:val="21"/>
                <w:szCs w:val="21"/>
                <w:highlight w:val="none"/>
                <w:lang w:val="en-US" w:eastAsia="zh-CN" w:bidi="ar-SA"/>
              </w:rPr>
              <w:t>480</w:t>
            </w:r>
            <w:r>
              <w:rPr>
                <w:rFonts w:hint="eastAsia"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/a）</w:t>
            </w:r>
            <w:r>
              <w:rPr>
                <w:rFonts w:hint="eastAsia" w:cs="Times New Roman"/>
                <w:b w:val="0"/>
                <w:bCs/>
                <w:color w:val="auto"/>
                <w:kern w:val="2"/>
                <w:sz w:val="21"/>
                <w:szCs w:val="21"/>
                <w:highlight w:val="none"/>
                <w:lang w:val="en-US" w:eastAsia="zh-CN" w:bidi="ar-SA"/>
              </w:rPr>
              <w:t>。</w:t>
            </w:r>
          </w:p>
          <w:p w14:paraId="2412A7E3">
            <w:pPr>
              <w:keepNext w:val="0"/>
              <w:keepLines w:val="0"/>
              <w:pageBreakBefore w:val="0"/>
              <w:widowControl w:val="0"/>
              <w:kinsoku/>
              <w:wordWrap/>
              <w:overflowPunct/>
              <w:topLinePunct w:val="0"/>
              <w:autoSpaceDE/>
              <w:autoSpaceDN/>
              <w:bidi w:val="0"/>
              <w:adjustRightInd/>
              <w:snapToGrid/>
              <w:spacing w:line="360" w:lineRule="auto"/>
              <w:ind w:left="0" w:firstLine="420" w:firstLineChars="200"/>
              <w:textAlignment w:val="auto"/>
              <w:rPr>
                <w:rFonts w:hint="default"/>
                <w:color w:val="auto"/>
                <w:lang w:val="en-US" w:eastAsia="zh-CN"/>
              </w:rPr>
            </w:pPr>
            <w:r>
              <w:rPr>
                <w:rFonts w:hint="eastAsia" w:cs="Times New Roman"/>
                <w:b w:val="0"/>
                <w:bCs/>
                <w:color w:val="auto"/>
                <w:kern w:val="2"/>
                <w:sz w:val="21"/>
                <w:szCs w:val="21"/>
                <w:highlight w:val="none"/>
                <w:lang w:val="en-US" w:eastAsia="zh-CN" w:bidi="ar-SA"/>
              </w:rPr>
              <w:t>生活废水：本项目扩能改造前后生活废水量不变。生活用水需使用</w:t>
            </w:r>
            <w:r>
              <w:rPr>
                <w:rFonts w:hint="default" w:ascii="Times New Roman" w:hAnsi="Times New Roman" w:eastAsia="宋体" w:cs="Times New Roman"/>
                <w:b w:val="0"/>
                <w:bCs/>
                <w:color w:val="auto"/>
                <w:kern w:val="2"/>
                <w:sz w:val="21"/>
                <w:szCs w:val="21"/>
                <w:highlight w:val="none"/>
                <w:lang w:val="en-US" w:eastAsia="zh-CN" w:bidi="ar-SA"/>
              </w:rPr>
              <w:t>新鲜水量</w:t>
            </w:r>
            <w:r>
              <w:rPr>
                <w:rFonts w:hint="eastAsia" w:cs="Times New Roman"/>
                <w:b w:val="0"/>
                <w:bCs/>
                <w:color w:val="auto"/>
                <w:kern w:val="2"/>
                <w:sz w:val="21"/>
                <w:szCs w:val="21"/>
                <w:highlight w:val="none"/>
                <w:lang w:val="en-US" w:eastAsia="zh-CN" w:bidi="ar-SA"/>
              </w:rPr>
              <w:t>约</w:t>
            </w:r>
            <w:r>
              <w:rPr>
                <w:rFonts w:hint="eastAsia" w:cs="Times New Roman"/>
                <w:color w:val="auto"/>
                <w:spacing w:val="0"/>
                <w:w w:val="100"/>
                <w:position w:val="0"/>
                <w:sz w:val="21"/>
                <w:szCs w:val="24"/>
                <w:highlight w:val="none"/>
                <w:lang w:val="en-US" w:eastAsia="zh-CN" w:bidi="ar-SA"/>
              </w:rPr>
              <w:t>1.54</w:t>
            </w:r>
            <w:r>
              <w:rPr>
                <w:rFonts w:hint="default" w:ascii="Times New Roman" w:hAnsi="Times New Roman" w:eastAsia="宋体" w:cs="Times New Roman"/>
                <w:color w:val="auto"/>
                <w:spacing w:val="0"/>
                <w:w w:val="100"/>
                <w:position w:val="0"/>
                <w:sz w:val="21"/>
                <w:szCs w:val="24"/>
                <w:highlight w:val="none"/>
                <w:lang w:val="en-GB" w:eastAsia="zh-CN" w:bidi="ar-SA"/>
              </w:rPr>
              <w:t>m</w:t>
            </w:r>
            <w:r>
              <w:rPr>
                <w:rFonts w:hint="default" w:ascii="Times New Roman" w:hAnsi="Times New Roman" w:eastAsia="宋体" w:cs="Times New Roman"/>
                <w:color w:val="auto"/>
                <w:spacing w:val="0"/>
                <w:w w:val="100"/>
                <w:position w:val="0"/>
                <w:sz w:val="21"/>
                <w:szCs w:val="24"/>
                <w:highlight w:val="none"/>
                <w:vertAlign w:val="superscript"/>
                <w:lang w:val="en-GB" w:eastAsia="zh-CN" w:bidi="ar-SA"/>
              </w:rPr>
              <w:t>3</w:t>
            </w:r>
            <w:r>
              <w:rPr>
                <w:rFonts w:hint="default" w:ascii="Times New Roman" w:hAnsi="Times New Roman" w:eastAsia="宋体" w:cs="Times New Roman"/>
                <w:color w:val="auto"/>
                <w:spacing w:val="0"/>
                <w:w w:val="100"/>
                <w:position w:val="0"/>
                <w:sz w:val="21"/>
                <w:szCs w:val="24"/>
                <w:highlight w:val="none"/>
                <w:lang w:val="en-GB" w:eastAsia="zh-CN" w:bidi="ar-SA"/>
              </w:rPr>
              <w:t>/d</w:t>
            </w:r>
            <w:r>
              <w:rPr>
                <w:rFonts w:hint="eastAsia" w:ascii="Times New Roman" w:hAnsi="Times New Roman" w:eastAsia="宋体" w:cs="Times New Roman"/>
                <w:color w:val="auto"/>
                <w:spacing w:val="0"/>
                <w:w w:val="100"/>
                <w:position w:val="0"/>
                <w:sz w:val="21"/>
                <w:szCs w:val="24"/>
                <w:highlight w:val="none"/>
                <w:lang w:val="en-GB" w:eastAsia="zh-CN" w:bidi="ar-SA"/>
              </w:rPr>
              <w:t>（</w:t>
            </w:r>
            <w:r>
              <w:rPr>
                <w:rFonts w:hint="eastAsia" w:ascii="Times New Roman" w:hAnsi="Times New Roman" w:eastAsia="宋体" w:cs="Times New Roman"/>
                <w:color w:val="auto"/>
                <w:spacing w:val="0"/>
                <w:w w:val="100"/>
                <w:position w:val="0"/>
                <w:sz w:val="21"/>
                <w:szCs w:val="24"/>
                <w:highlight w:val="none"/>
                <w:lang w:val="en-US" w:eastAsia="zh-CN" w:bidi="ar-SA"/>
              </w:rPr>
              <w:t>462</w:t>
            </w:r>
            <w:r>
              <w:rPr>
                <w:rFonts w:hint="default" w:ascii="Times New Roman" w:hAnsi="Times New Roman" w:eastAsia="宋体" w:cs="Times New Roman"/>
                <w:color w:val="auto"/>
                <w:spacing w:val="0"/>
                <w:w w:val="100"/>
                <w:position w:val="0"/>
                <w:sz w:val="21"/>
                <w:szCs w:val="24"/>
                <w:highlight w:val="none"/>
                <w:lang w:val="en-GB" w:eastAsia="zh-CN" w:bidi="ar-SA"/>
              </w:rPr>
              <w:t>m</w:t>
            </w:r>
            <w:r>
              <w:rPr>
                <w:rFonts w:hint="default" w:ascii="Times New Roman" w:hAnsi="Times New Roman" w:eastAsia="宋体" w:cs="Times New Roman"/>
                <w:color w:val="auto"/>
                <w:spacing w:val="0"/>
                <w:w w:val="100"/>
                <w:position w:val="0"/>
                <w:sz w:val="21"/>
                <w:szCs w:val="24"/>
                <w:highlight w:val="none"/>
                <w:vertAlign w:val="superscript"/>
                <w:lang w:val="en-GB" w:eastAsia="zh-CN" w:bidi="ar-SA"/>
              </w:rPr>
              <w:t>3</w:t>
            </w:r>
            <w:r>
              <w:rPr>
                <w:rFonts w:hint="eastAsia" w:ascii="Times New Roman" w:hAnsi="Times New Roman" w:eastAsia="宋体" w:cs="Times New Roman"/>
                <w:color w:val="auto"/>
                <w:spacing w:val="0"/>
                <w:w w:val="100"/>
                <w:position w:val="0"/>
                <w:sz w:val="21"/>
                <w:szCs w:val="24"/>
                <w:highlight w:val="none"/>
                <w:vertAlign w:val="baseline"/>
                <w:lang w:val="en-US" w:eastAsia="zh-CN" w:bidi="ar-SA"/>
              </w:rPr>
              <w:t>/a）</w:t>
            </w:r>
            <w:r>
              <w:rPr>
                <w:rFonts w:hint="eastAsia" w:cs="Times New Roman"/>
                <w:b w:val="0"/>
                <w:bCs/>
                <w:color w:val="auto"/>
                <w:kern w:val="2"/>
                <w:sz w:val="21"/>
                <w:szCs w:val="21"/>
                <w:highlight w:val="none"/>
                <w:lang w:val="en-US" w:eastAsia="zh-CN" w:bidi="ar-SA"/>
              </w:rPr>
              <w:t>，损耗量按20%计，则生活</w:t>
            </w:r>
            <w:r>
              <w:rPr>
                <w:rFonts w:hint="eastAsia" w:ascii="Times New Roman" w:hAnsi="Times New Roman" w:eastAsia="宋体" w:cs="Times New Roman"/>
                <w:b w:val="0"/>
                <w:bCs/>
                <w:color w:val="auto"/>
                <w:kern w:val="2"/>
                <w:sz w:val="21"/>
                <w:szCs w:val="21"/>
                <w:highlight w:val="none"/>
                <w:lang w:val="en-US" w:eastAsia="zh-CN" w:bidi="ar-SA"/>
              </w:rPr>
              <w:t>废水</w:t>
            </w:r>
            <w:r>
              <w:rPr>
                <w:rFonts w:hint="eastAsia" w:cs="Times New Roman"/>
                <w:b w:val="0"/>
                <w:bCs/>
                <w:color w:val="auto"/>
                <w:kern w:val="2"/>
                <w:sz w:val="21"/>
                <w:szCs w:val="21"/>
                <w:highlight w:val="none"/>
                <w:lang w:val="en-US" w:eastAsia="zh-CN" w:bidi="ar-SA"/>
              </w:rPr>
              <w:t>排放</w:t>
            </w:r>
            <w:r>
              <w:rPr>
                <w:rFonts w:hint="eastAsia" w:ascii="Times New Roman" w:hAnsi="Times New Roman" w:eastAsia="宋体" w:cs="Times New Roman"/>
                <w:b w:val="0"/>
                <w:bCs/>
                <w:color w:val="auto"/>
                <w:kern w:val="2"/>
                <w:sz w:val="21"/>
                <w:szCs w:val="21"/>
                <w:highlight w:val="none"/>
                <w:lang w:val="en-US" w:eastAsia="zh-CN" w:bidi="ar-SA"/>
              </w:rPr>
              <w:t>量为</w:t>
            </w:r>
            <w:r>
              <w:rPr>
                <w:rFonts w:hint="eastAsia" w:cs="Times New Roman"/>
                <w:b w:val="0"/>
                <w:bCs/>
                <w:color w:val="auto"/>
                <w:kern w:val="2"/>
                <w:sz w:val="21"/>
                <w:szCs w:val="21"/>
                <w:highlight w:val="none"/>
                <w:lang w:val="en-US" w:eastAsia="zh-CN" w:bidi="ar-SA"/>
              </w:rPr>
              <w:t>1.23</w:t>
            </w:r>
            <w:r>
              <w:rPr>
                <w:rFonts w:hint="eastAsia"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/d（</w:t>
            </w:r>
            <w:r>
              <w:rPr>
                <w:rFonts w:hint="eastAsia" w:cs="Times New Roman"/>
                <w:b w:val="0"/>
                <w:bCs/>
                <w:color w:val="auto"/>
                <w:kern w:val="2"/>
                <w:sz w:val="21"/>
                <w:szCs w:val="21"/>
                <w:highlight w:val="none"/>
                <w:lang w:val="en-US" w:eastAsia="zh-CN" w:bidi="ar-SA"/>
              </w:rPr>
              <w:t>369</w:t>
            </w:r>
            <w:r>
              <w:rPr>
                <w:rFonts w:hint="eastAsia"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/a）</w:t>
            </w:r>
            <w:r>
              <w:rPr>
                <w:rFonts w:hint="eastAsia" w:cs="Times New Roman"/>
                <w:b w:val="0"/>
                <w:bCs/>
                <w:color w:val="auto"/>
                <w:kern w:val="2"/>
                <w:sz w:val="21"/>
                <w:szCs w:val="21"/>
                <w:highlight w:val="none"/>
                <w:lang w:val="en-US" w:eastAsia="zh-CN" w:bidi="ar-SA"/>
              </w:rPr>
              <w:t>。</w:t>
            </w:r>
          </w:p>
          <w:p w14:paraId="69B85C80">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综上</w:t>
            </w:r>
            <w:r>
              <w:rPr>
                <w:rFonts w:hint="eastAsia" w:ascii="Times New Roman" w:hAnsi="Times New Roman" w:eastAsia="宋体" w:cs="Times New Roman"/>
                <w:b w:val="0"/>
                <w:bCs/>
                <w:color w:val="auto"/>
                <w:kern w:val="2"/>
                <w:sz w:val="21"/>
                <w:szCs w:val="21"/>
                <w:highlight w:val="none"/>
                <w:lang w:val="en-US" w:eastAsia="zh-CN" w:bidi="ar-SA"/>
              </w:rPr>
              <w:t>所述</w:t>
            </w:r>
            <w:r>
              <w:rPr>
                <w:rFonts w:hint="default"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扩能改造后</w:t>
            </w:r>
            <w:r>
              <w:rPr>
                <w:rFonts w:hint="default" w:ascii="Times New Roman" w:hAnsi="Times New Roman" w:eastAsia="宋体" w:cs="Times New Roman"/>
                <w:b w:val="0"/>
                <w:bCs/>
                <w:color w:val="auto"/>
                <w:kern w:val="2"/>
                <w:sz w:val="21"/>
                <w:szCs w:val="21"/>
                <w:highlight w:val="none"/>
                <w:lang w:val="en-US" w:eastAsia="zh-CN" w:bidi="ar-SA"/>
              </w:rPr>
              <w:t>废水</w:t>
            </w:r>
            <w:r>
              <w:rPr>
                <w:rFonts w:hint="eastAsia" w:ascii="Times New Roman" w:hAnsi="Times New Roman" w:eastAsia="宋体" w:cs="Times New Roman"/>
                <w:b w:val="0"/>
                <w:bCs/>
                <w:color w:val="auto"/>
                <w:kern w:val="2"/>
                <w:sz w:val="21"/>
                <w:szCs w:val="21"/>
                <w:highlight w:val="none"/>
                <w:lang w:val="en-US" w:eastAsia="zh-CN" w:bidi="ar-SA"/>
              </w:rPr>
              <w:t>排放</w:t>
            </w:r>
            <w:r>
              <w:rPr>
                <w:rFonts w:hint="default" w:ascii="Times New Roman" w:hAnsi="Times New Roman" w:eastAsia="宋体" w:cs="Times New Roman"/>
                <w:b w:val="0"/>
                <w:bCs/>
                <w:color w:val="auto"/>
                <w:kern w:val="2"/>
                <w:sz w:val="21"/>
                <w:szCs w:val="21"/>
                <w:highlight w:val="none"/>
                <w:lang w:val="en-US" w:eastAsia="zh-CN" w:bidi="ar-SA"/>
              </w:rPr>
              <w:t>量</w:t>
            </w:r>
            <w:r>
              <w:rPr>
                <w:rFonts w:hint="eastAsia" w:ascii="Times New Roman" w:hAnsi="Times New Roman" w:cs="Times New Roman"/>
                <w:b w:val="0"/>
                <w:bCs/>
                <w:color w:val="auto"/>
                <w:kern w:val="2"/>
                <w:sz w:val="21"/>
                <w:szCs w:val="21"/>
                <w:highlight w:val="none"/>
                <w:lang w:val="en-US" w:eastAsia="zh-CN" w:bidi="ar-SA"/>
              </w:rPr>
              <w:t>合计</w:t>
            </w:r>
            <w:r>
              <w:rPr>
                <w:rFonts w:hint="default"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6.86m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/d（2058</w:t>
            </w:r>
            <w:r>
              <w:rPr>
                <w:rFonts w:hint="eastAsia" w:ascii="Times New Roman" w:hAnsi="Times New Roman" w:eastAsia="宋体" w:cs="Times New Roman"/>
                <w:b w:val="0"/>
                <w:bCs/>
                <w:color w:val="auto"/>
                <w:kern w:val="2"/>
                <w:sz w:val="21"/>
                <w:szCs w:val="21"/>
                <w:highlight w:val="none"/>
                <w:lang w:val="en-US" w:eastAsia="zh-CN" w:bidi="ar-SA"/>
              </w:rPr>
              <w:t>m</w:t>
            </w:r>
            <w:r>
              <w:rPr>
                <w:rFonts w:hint="eastAsia" w:ascii="Times New Roman" w:hAnsi="Times New Roman" w:eastAsia="宋体" w:cs="Times New Roman"/>
                <w:b w:val="0"/>
                <w:bCs/>
                <w:color w:val="auto"/>
                <w:kern w:val="2"/>
                <w:sz w:val="21"/>
                <w:szCs w:val="21"/>
                <w:highlight w:val="none"/>
                <w:vertAlign w:val="superscript"/>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/a</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排入厂</w:t>
            </w:r>
            <w:r>
              <w:rPr>
                <w:rFonts w:hint="eastAsia" w:cs="Times New Roman"/>
                <w:b w:val="0"/>
                <w:bCs/>
                <w:color w:val="auto"/>
                <w:kern w:val="2"/>
                <w:sz w:val="21"/>
                <w:szCs w:val="21"/>
                <w:highlight w:val="none"/>
                <w:lang w:val="en-US" w:eastAsia="zh-CN" w:bidi="ar-SA"/>
              </w:rPr>
              <w:t>综合</w:t>
            </w:r>
            <w:r>
              <w:rPr>
                <w:rFonts w:hint="eastAsia" w:ascii="Times New Roman" w:hAnsi="Times New Roman" w:eastAsia="宋体" w:cs="Times New Roman"/>
                <w:b w:val="0"/>
                <w:bCs/>
                <w:color w:val="auto"/>
                <w:kern w:val="2"/>
                <w:sz w:val="21"/>
                <w:szCs w:val="21"/>
                <w:highlight w:val="none"/>
                <w:lang w:val="en-US" w:eastAsia="zh-CN" w:bidi="ar-SA"/>
              </w:rPr>
              <w:t>污水处理</w:t>
            </w:r>
            <w:r>
              <w:rPr>
                <w:rFonts w:hint="eastAsia" w:cs="Times New Roman"/>
                <w:b w:val="0"/>
                <w:bCs/>
                <w:color w:val="auto"/>
                <w:kern w:val="2"/>
                <w:sz w:val="21"/>
                <w:szCs w:val="21"/>
                <w:highlight w:val="none"/>
                <w:lang w:val="en-US" w:eastAsia="zh-CN" w:bidi="ar-SA"/>
              </w:rPr>
              <w:t>站</w:t>
            </w:r>
            <w:r>
              <w:rPr>
                <w:rFonts w:hint="default" w:ascii="Times New Roman" w:hAnsi="Times New Roman" w:eastAsia="宋体" w:cs="Times New Roman"/>
                <w:b w:val="0"/>
                <w:bCs/>
                <w:color w:val="auto"/>
                <w:kern w:val="2"/>
                <w:sz w:val="21"/>
                <w:szCs w:val="21"/>
                <w:highlight w:val="none"/>
                <w:lang w:val="en-US" w:eastAsia="zh-CN" w:bidi="ar-SA"/>
              </w:rPr>
              <w:t>处理，处理达标后经</w:t>
            </w:r>
            <w:r>
              <w:rPr>
                <w:rFonts w:hint="eastAsia" w:cs="Times New Roman"/>
                <w:b w:val="0"/>
                <w:bCs/>
                <w:color w:val="auto"/>
                <w:kern w:val="2"/>
                <w:sz w:val="21"/>
                <w:szCs w:val="21"/>
                <w:highlight w:val="none"/>
                <w:lang w:val="en-US" w:eastAsia="zh-CN" w:bidi="ar-SA"/>
              </w:rPr>
              <w:t>园区</w:t>
            </w:r>
            <w:r>
              <w:rPr>
                <w:rFonts w:hint="default" w:ascii="Times New Roman" w:hAnsi="Times New Roman" w:eastAsia="宋体" w:cs="Times New Roman"/>
                <w:b w:val="0"/>
                <w:bCs/>
                <w:color w:val="auto"/>
                <w:kern w:val="2"/>
                <w:sz w:val="21"/>
                <w:szCs w:val="21"/>
                <w:highlight w:val="none"/>
                <w:lang w:val="en-US" w:eastAsia="zh-CN" w:bidi="ar-SA"/>
              </w:rPr>
              <w:t>污水管网排入</w:t>
            </w:r>
            <w:r>
              <w:rPr>
                <w:rFonts w:hint="eastAsia" w:cs="Times New Roman"/>
                <w:b w:val="0"/>
                <w:bCs/>
                <w:color w:val="auto"/>
                <w:kern w:val="2"/>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val="0"/>
                <w:bCs/>
                <w:color w:val="auto"/>
                <w:kern w:val="2"/>
                <w:sz w:val="21"/>
                <w:szCs w:val="21"/>
                <w:highlight w:val="none"/>
                <w:lang w:val="en-US" w:eastAsia="zh-CN" w:bidi="ar-SA"/>
              </w:rPr>
              <w:t>进一步处理。</w:t>
            </w:r>
          </w:p>
          <w:p w14:paraId="071BAAEC">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本项目</w:t>
            </w:r>
            <w:r>
              <w:rPr>
                <w:rFonts w:hint="default" w:ascii="Times New Roman" w:hAnsi="Times New Roman" w:eastAsia="宋体" w:cs="Times New Roman"/>
                <w:b w:val="0"/>
                <w:bCs/>
                <w:color w:val="auto"/>
                <w:kern w:val="2"/>
                <w:sz w:val="21"/>
                <w:szCs w:val="21"/>
                <w:highlight w:val="none"/>
                <w:lang w:val="en-US" w:eastAsia="zh-CN" w:bidi="ar-SA"/>
              </w:rPr>
              <w:t>给排水平衡表见表2-</w:t>
            </w:r>
            <w:r>
              <w:rPr>
                <w:rFonts w:hint="eastAsia" w:cs="Times New Roman"/>
                <w:b w:val="0"/>
                <w:bCs/>
                <w:color w:val="auto"/>
                <w:kern w:val="2"/>
                <w:sz w:val="21"/>
                <w:szCs w:val="21"/>
                <w:highlight w:val="none"/>
                <w:lang w:val="en-US" w:eastAsia="zh-CN" w:bidi="ar-SA"/>
              </w:rPr>
              <w:t>11，水量平衡图见图2-4。</w:t>
            </w:r>
          </w:p>
          <w:p w14:paraId="6D25FF9C">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 2-</w:t>
            </w:r>
            <w:r>
              <w:rPr>
                <w:rFonts w:hint="eastAsia" w:cs="Times New Roman"/>
                <w:b/>
                <w:bCs/>
                <w:color w:val="auto"/>
                <w:sz w:val="21"/>
                <w:szCs w:val="21"/>
                <w:highlight w:val="none"/>
                <w:lang w:val="en-US" w:eastAsia="zh-CN"/>
              </w:rPr>
              <w:t>11</w:t>
            </w:r>
            <w:r>
              <w:rPr>
                <w:rFonts w:hint="default" w:ascii="Times New Roman" w:hAnsi="Times New Roman" w:eastAsia="宋体" w:cs="Times New Roman"/>
                <w:b/>
                <w:bCs/>
                <w:color w:val="auto"/>
                <w:sz w:val="21"/>
                <w:szCs w:val="21"/>
                <w:highlight w:val="none"/>
                <w:lang w:val="en-US" w:eastAsia="zh-CN"/>
              </w:rPr>
              <w:t xml:space="preserve"> </w:t>
            </w:r>
            <w:r>
              <w:rPr>
                <w:rFonts w:hint="eastAsia" w:cs="Times New Roman"/>
                <w:b/>
                <w:bCs/>
                <w:color w:val="auto"/>
                <w:sz w:val="21"/>
                <w:szCs w:val="21"/>
                <w:highlight w:val="none"/>
                <w:lang w:val="en-US" w:eastAsia="zh-CN"/>
              </w:rPr>
              <w:t xml:space="preserve"> 项目</w:t>
            </w:r>
            <w:r>
              <w:rPr>
                <w:rFonts w:hint="default" w:ascii="Times New Roman" w:hAnsi="Times New Roman" w:eastAsia="宋体" w:cs="Times New Roman"/>
                <w:b/>
                <w:bCs/>
                <w:color w:val="auto"/>
                <w:sz w:val="21"/>
                <w:szCs w:val="21"/>
                <w:highlight w:val="none"/>
                <w:lang w:val="en-US" w:eastAsia="zh-CN"/>
              </w:rPr>
              <w:t xml:space="preserve">给排水水量平衡表 </w:t>
            </w:r>
            <w:r>
              <w:rPr>
                <w:rFonts w:hint="default" w:ascii="Times New Roman" w:hAnsi="Times New Roman" w:eastAsia="宋体" w:cs="Times New Roman"/>
                <w:color w:val="auto"/>
                <w:sz w:val="21"/>
                <w:szCs w:val="21"/>
                <w:highlight w:val="none"/>
                <w:lang w:val="en-US" w:eastAsia="zh-CN"/>
              </w:rPr>
              <w:t xml:space="preserve"> </w:t>
            </w:r>
            <w:r>
              <w:rPr>
                <w:rFonts w:hint="default" w:ascii="Times New Roman" w:hAnsi="Times New Roman" w:eastAsia="宋体" w:cs="Times New Roman"/>
                <w:b/>
                <w:bCs/>
                <w:color w:val="auto"/>
                <w:sz w:val="21"/>
                <w:szCs w:val="21"/>
                <w:highlight w:val="none"/>
                <w:lang w:val="en-US" w:eastAsia="zh-CN"/>
              </w:rPr>
              <w:t>单位：</w:t>
            </w:r>
            <w:r>
              <w:rPr>
                <w:rFonts w:hint="default" w:ascii="Times New Roman" w:hAnsi="Times New Roman" w:eastAsia="宋体" w:cs="Times New Roman"/>
                <w:b/>
                <w:bCs w:val="0"/>
                <w:color w:val="auto"/>
                <w:sz w:val="21"/>
                <w:szCs w:val="21"/>
                <w:highlight w:val="none"/>
                <w:lang w:val="en-US" w:eastAsia="zh-CN"/>
              </w:rPr>
              <w:t>m</w:t>
            </w:r>
            <w:r>
              <w:rPr>
                <w:rFonts w:hint="default" w:ascii="Times New Roman" w:hAnsi="Times New Roman" w:eastAsia="宋体" w:cs="Times New Roman"/>
                <w:b/>
                <w:bCs w:val="0"/>
                <w:color w:val="auto"/>
                <w:sz w:val="21"/>
                <w:szCs w:val="21"/>
                <w:highlight w:val="none"/>
                <w:vertAlign w:val="superscript"/>
                <w:lang w:val="en-US" w:eastAsia="zh-CN"/>
              </w:rPr>
              <w:t>3</w:t>
            </w:r>
            <w:r>
              <w:rPr>
                <w:rFonts w:hint="eastAsia" w:ascii="Times New Roman" w:hAnsi="Times New Roman" w:eastAsia="宋体" w:cs="Times New Roman"/>
                <w:b/>
                <w:bCs w:val="0"/>
                <w:color w:val="auto"/>
                <w:sz w:val="21"/>
                <w:szCs w:val="21"/>
                <w:highlight w:val="none"/>
                <w:lang w:val="en-US" w:eastAsia="zh-CN"/>
              </w:rPr>
              <w:t>/</w:t>
            </w:r>
            <w:r>
              <w:rPr>
                <w:rFonts w:hint="default" w:ascii="Times New Roman" w:hAnsi="Times New Roman" w:eastAsia="宋体" w:cs="Times New Roman"/>
                <w:b/>
                <w:bCs w:val="0"/>
                <w:color w:val="auto"/>
                <w:sz w:val="21"/>
                <w:szCs w:val="21"/>
                <w:highlight w:val="none"/>
                <w:lang w:val="en-US" w:eastAsia="zh-CN"/>
              </w:rPr>
              <w:t>d</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
              <w:gridCol w:w="687"/>
              <w:gridCol w:w="768"/>
              <w:gridCol w:w="675"/>
              <w:gridCol w:w="582"/>
              <w:gridCol w:w="1087"/>
              <w:gridCol w:w="638"/>
              <w:gridCol w:w="637"/>
              <w:gridCol w:w="769"/>
              <w:gridCol w:w="712"/>
              <w:gridCol w:w="956"/>
            </w:tblGrid>
            <w:tr w14:paraId="41972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vMerge w:val="restart"/>
                  <w:noWrap w:val="0"/>
                  <w:vAlign w:val="center"/>
                </w:tcPr>
                <w:p w14:paraId="1ABE6A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bidi="ar"/>
                    </w:rPr>
                  </w:pPr>
                  <w:r>
                    <w:rPr>
                      <w:rFonts w:hint="default" w:ascii="Times New Roman" w:hAnsi="Times New Roman" w:eastAsia="宋体" w:cs="Times New Roman"/>
                      <w:color w:val="auto"/>
                      <w:sz w:val="21"/>
                      <w:szCs w:val="21"/>
                      <w:highlight w:val="none"/>
                      <w:lang w:bidi="ar"/>
                    </w:rPr>
                    <w:t>序号</w:t>
                  </w:r>
                </w:p>
              </w:tc>
              <w:tc>
                <w:tcPr>
                  <w:tcW w:w="432" w:type="pct"/>
                  <w:vMerge w:val="restart"/>
                  <w:noWrap w:val="0"/>
                  <w:vAlign w:val="center"/>
                </w:tcPr>
                <w:p w14:paraId="3CE71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用水单元</w:t>
                  </w:r>
                </w:p>
              </w:tc>
              <w:tc>
                <w:tcPr>
                  <w:tcW w:w="2362" w:type="pct"/>
                  <w:gridSpan w:val="5"/>
                  <w:noWrap w:val="0"/>
                  <w:vAlign w:val="center"/>
                </w:tcPr>
                <w:p w14:paraId="51E535C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给水</w:t>
                  </w:r>
                </w:p>
              </w:tc>
              <w:tc>
                <w:tcPr>
                  <w:tcW w:w="401" w:type="pct"/>
                  <w:vMerge w:val="restart"/>
                  <w:noWrap w:val="0"/>
                  <w:vAlign w:val="center"/>
                </w:tcPr>
                <w:p w14:paraId="7820E893">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损耗量</w:t>
                  </w:r>
                </w:p>
              </w:tc>
              <w:tc>
                <w:tcPr>
                  <w:tcW w:w="933" w:type="pct"/>
                  <w:gridSpan w:val="2"/>
                  <w:noWrap w:val="0"/>
                  <w:vAlign w:val="center"/>
                </w:tcPr>
                <w:p w14:paraId="71AA087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废水量</w:t>
                  </w:r>
                </w:p>
              </w:tc>
              <w:tc>
                <w:tcPr>
                  <w:tcW w:w="602" w:type="pct"/>
                  <w:vMerge w:val="restart"/>
                  <w:noWrap w:val="0"/>
                  <w:vAlign w:val="center"/>
                </w:tcPr>
                <w:p w14:paraId="4EAD9D1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排放去向</w:t>
                  </w:r>
                </w:p>
              </w:tc>
            </w:tr>
            <w:tr w14:paraId="5359B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6" w:hRule="atLeast"/>
                <w:jc w:val="center"/>
              </w:trPr>
              <w:tc>
                <w:tcPr>
                  <w:tcW w:w="267" w:type="pct"/>
                  <w:vMerge w:val="continue"/>
                  <w:noWrap w:val="0"/>
                  <w:vAlign w:val="center"/>
                </w:tcPr>
                <w:p w14:paraId="3ECEAF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bidi="ar"/>
                    </w:rPr>
                  </w:pPr>
                </w:p>
              </w:tc>
              <w:tc>
                <w:tcPr>
                  <w:tcW w:w="432" w:type="pct"/>
                  <w:vMerge w:val="continue"/>
                  <w:noWrap w:val="0"/>
                  <w:vAlign w:val="center"/>
                </w:tcPr>
                <w:p w14:paraId="4C3C42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p>
              </w:tc>
              <w:tc>
                <w:tcPr>
                  <w:tcW w:w="483" w:type="pct"/>
                  <w:noWrap w:val="0"/>
                  <w:vAlign w:val="center"/>
                </w:tcPr>
                <w:p w14:paraId="456536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总用水量</w:t>
                  </w:r>
                </w:p>
              </w:tc>
              <w:tc>
                <w:tcPr>
                  <w:tcW w:w="425" w:type="pct"/>
                  <w:noWrap w:val="0"/>
                  <w:vAlign w:val="center"/>
                </w:tcPr>
                <w:p w14:paraId="0ABB9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新鲜水</w:t>
                  </w:r>
                </w:p>
              </w:tc>
              <w:tc>
                <w:tcPr>
                  <w:tcW w:w="366" w:type="pct"/>
                  <w:noWrap w:val="0"/>
                  <w:vAlign w:val="center"/>
                </w:tcPr>
                <w:p w14:paraId="3DE13C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串级水</w:t>
                  </w:r>
                </w:p>
              </w:tc>
              <w:tc>
                <w:tcPr>
                  <w:tcW w:w="684" w:type="pct"/>
                  <w:noWrap w:val="0"/>
                  <w:vAlign w:val="center"/>
                </w:tcPr>
                <w:p w14:paraId="59B1E5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原料带入/反应生成水</w:t>
                  </w:r>
                </w:p>
              </w:tc>
              <w:tc>
                <w:tcPr>
                  <w:tcW w:w="402" w:type="pct"/>
                  <w:noWrap w:val="0"/>
                  <w:vAlign w:val="center"/>
                </w:tcPr>
                <w:p w14:paraId="11FABE0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循环水量</w:t>
                  </w:r>
                </w:p>
              </w:tc>
              <w:tc>
                <w:tcPr>
                  <w:tcW w:w="401" w:type="pct"/>
                  <w:vMerge w:val="continue"/>
                  <w:noWrap w:val="0"/>
                  <w:vAlign w:val="center"/>
                </w:tcPr>
                <w:p w14:paraId="1914D14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p>
              </w:tc>
              <w:tc>
                <w:tcPr>
                  <w:tcW w:w="484" w:type="pct"/>
                  <w:noWrap w:val="0"/>
                  <w:vAlign w:val="center"/>
                </w:tcPr>
                <w:p w14:paraId="085E43E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串级利用量</w:t>
                  </w:r>
                </w:p>
              </w:tc>
              <w:tc>
                <w:tcPr>
                  <w:tcW w:w="448" w:type="pct"/>
                  <w:noWrap w:val="0"/>
                  <w:vAlign w:val="center"/>
                </w:tcPr>
                <w:p w14:paraId="255EB80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外排废水</w:t>
                  </w:r>
                </w:p>
              </w:tc>
              <w:tc>
                <w:tcPr>
                  <w:tcW w:w="602" w:type="pct"/>
                  <w:vMerge w:val="continue"/>
                  <w:noWrap w:val="0"/>
                  <w:vAlign w:val="center"/>
                </w:tcPr>
                <w:p w14:paraId="1E7CFFF8">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p>
              </w:tc>
            </w:tr>
            <w:tr w14:paraId="3B86F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72B720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color w:val="auto"/>
                      <w:sz w:val="21"/>
                      <w:szCs w:val="21"/>
                      <w:highlight w:val="none"/>
                      <w:lang w:bidi="ar"/>
                    </w:rPr>
                    <w:t>1</w:t>
                  </w:r>
                </w:p>
              </w:tc>
              <w:tc>
                <w:tcPr>
                  <w:tcW w:w="432" w:type="pct"/>
                  <w:noWrap w:val="0"/>
                  <w:vAlign w:val="center"/>
                </w:tcPr>
                <w:p w14:paraId="041FD82D">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default" w:ascii="Times New Roman" w:hAnsi="Times New Roman" w:eastAsia="宋体" w:cs="Times New Roman"/>
                      <w:i w:val="0"/>
                      <w:iCs w:val="0"/>
                      <w:color w:val="auto"/>
                      <w:kern w:val="2"/>
                      <w:sz w:val="21"/>
                      <w:szCs w:val="21"/>
                      <w:highlight w:val="none"/>
                      <w:u w:val="none"/>
                      <w:lang w:val="en-US" w:eastAsia="zh-CN" w:bidi="ar"/>
                    </w:rPr>
                    <w:t>软水制备</w:t>
                  </w:r>
                </w:p>
              </w:tc>
              <w:tc>
                <w:tcPr>
                  <w:tcW w:w="483" w:type="pct"/>
                  <w:noWrap w:val="0"/>
                  <w:vAlign w:val="center"/>
                </w:tcPr>
                <w:p w14:paraId="2A4032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5.75</w:t>
                  </w:r>
                </w:p>
              </w:tc>
              <w:tc>
                <w:tcPr>
                  <w:tcW w:w="425" w:type="pct"/>
                  <w:noWrap w:val="0"/>
                  <w:vAlign w:val="center"/>
                </w:tcPr>
                <w:p w14:paraId="787CA3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5.75</w:t>
                  </w:r>
                </w:p>
              </w:tc>
              <w:tc>
                <w:tcPr>
                  <w:tcW w:w="366" w:type="pct"/>
                  <w:noWrap w:val="0"/>
                  <w:vAlign w:val="center"/>
                </w:tcPr>
                <w:p w14:paraId="1A12AE7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84" w:type="pct"/>
                  <w:noWrap w:val="0"/>
                  <w:vAlign w:val="center"/>
                </w:tcPr>
                <w:p w14:paraId="0059AC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2" w:type="pct"/>
                  <w:noWrap w:val="0"/>
                  <w:vAlign w:val="center"/>
                </w:tcPr>
                <w:p w14:paraId="280B1A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1" w:type="pct"/>
                  <w:noWrap w:val="0"/>
                  <w:vAlign w:val="center"/>
                </w:tcPr>
                <w:p w14:paraId="6DA289C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84" w:type="pct"/>
                  <w:noWrap w:val="0"/>
                  <w:vAlign w:val="center"/>
                </w:tcPr>
                <w:p w14:paraId="26A67F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4.6</w:t>
                  </w:r>
                </w:p>
              </w:tc>
              <w:tc>
                <w:tcPr>
                  <w:tcW w:w="448" w:type="pct"/>
                  <w:noWrap w:val="0"/>
                  <w:vAlign w:val="center"/>
                </w:tcPr>
                <w:p w14:paraId="4899279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1.15</w:t>
                  </w:r>
                </w:p>
              </w:tc>
              <w:tc>
                <w:tcPr>
                  <w:tcW w:w="602" w:type="pct"/>
                  <w:vMerge w:val="restart"/>
                  <w:noWrap w:val="0"/>
                  <w:vAlign w:val="center"/>
                </w:tcPr>
                <w:p w14:paraId="519D466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送厂综合污水处理站，处理达标后经园区污水管网排入</w:t>
                  </w:r>
                  <w:r>
                    <w:rPr>
                      <w:rFonts w:hint="eastAsia" w:cs="Times New Roman"/>
                      <w:color w:val="auto"/>
                      <w:spacing w:val="0"/>
                      <w:kern w:val="2"/>
                      <w:sz w:val="21"/>
                      <w:szCs w:val="21"/>
                      <w:highlight w:val="none"/>
                      <w:lang w:val="en-US" w:eastAsia="zh-CN" w:bidi="ar"/>
                    </w:rPr>
                    <w:t>石家庄高新区循化环境水务有限公司（良村南污水处理厂）</w:t>
                  </w:r>
                </w:p>
              </w:tc>
            </w:tr>
            <w:tr w14:paraId="52153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267" w:type="pct"/>
                  <w:vMerge w:val="restart"/>
                  <w:noWrap w:val="0"/>
                  <w:vAlign w:val="center"/>
                </w:tcPr>
                <w:p w14:paraId="2A005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2</w:t>
                  </w:r>
                </w:p>
              </w:tc>
              <w:tc>
                <w:tcPr>
                  <w:tcW w:w="432" w:type="pct"/>
                  <w:noWrap w:val="0"/>
                  <w:vAlign w:val="center"/>
                </w:tcPr>
                <w:p w14:paraId="6D23634C">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eastAsia" w:cs="Times New Roman"/>
                      <w:i w:val="0"/>
                      <w:iCs w:val="0"/>
                      <w:color w:val="auto"/>
                      <w:kern w:val="2"/>
                      <w:sz w:val="21"/>
                      <w:szCs w:val="21"/>
                      <w:highlight w:val="none"/>
                      <w:u w:val="none"/>
                      <w:lang w:val="en-US" w:eastAsia="zh-CN" w:bidi="ar"/>
                    </w:rPr>
                    <w:t>生产用水</w:t>
                  </w:r>
                </w:p>
              </w:tc>
              <w:tc>
                <w:tcPr>
                  <w:tcW w:w="483" w:type="pct"/>
                  <w:noWrap w:val="0"/>
                  <w:vAlign w:val="center"/>
                </w:tcPr>
                <w:p w14:paraId="0FF5F94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4</w:t>
                  </w:r>
                </w:p>
              </w:tc>
              <w:tc>
                <w:tcPr>
                  <w:tcW w:w="425" w:type="pct"/>
                  <w:noWrap w:val="0"/>
                  <w:vAlign w:val="center"/>
                </w:tcPr>
                <w:p w14:paraId="6B09A3D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366" w:type="pct"/>
                  <w:noWrap w:val="0"/>
                  <w:vAlign w:val="center"/>
                </w:tcPr>
                <w:p w14:paraId="3119352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w:t>
                  </w:r>
                </w:p>
              </w:tc>
              <w:tc>
                <w:tcPr>
                  <w:tcW w:w="684" w:type="pct"/>
                  <w:noWrap w:val="0"/>
                  <w:vAlign w:val="center"/>
                </w:tcPr>
                <w:p w14:paraId="1B6A2B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402" w:type="pct"/>
                  <w:noWrap w:val="0"/>
                  <w:vAlign w:val="center"/>
                </w:tcPr>
                <w:p w14:paraId="6CD151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1" w:type="pct"/>
                  <w:noWrap w:val="0"/>
                  <w:vAlign w:val="center"/>
                </w:tcPr>
                <w:p w14:paraId="0EFD6A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eastAsia" w:cs="Times New Roman"/>
                      <w:i w:val="0"/>
                      <w:iCs w:val="0"/>
                      <w:color w:val="auto"/>
                      <w:kern w:val="0"/>
                      <w:sz w:val="21"/>
                      <w:szCs w:val="21"/>
                      <w:highlight w:val="none"/>
                      <w:u w:val="none"/>
                      <w:lang w:val="en-US" w:eastAsia="zh-CN" w:bidi="ar"/>
                    </w:rPr>
                    <w:t>0.14</w:t>
                  </w:r>
                </w:p>
              </w:tc>
              <w:tc>
                <w:tcPr>
                  <w:tcW w:w="484" w:type="pct"/>
                  <w:noWrap w:val="0"/>
                  <w:vAlign w:val="center"/>
                </w:tcPr>
                <w:p w14:paraId="07DD83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eastAsia" w:cs="Times New Roman"/>
                      <w:i w:val="0"/>
                      <w:iCs w:val="0"/>
                      <w:color w:val="auto"/>
                      <w:kern w:val="0"/>
                      <w:sz w:val="21"/>
                      <w:szCs w:val="21"/>
                      <w:highlight w:val="none"/>
                      <w:u w:val="none"/>
                      <w:lang w:val="en-US" w:eastAsia="zh-CN" w:bidi="ar"/>
                    </w:rPr>
                    <w:t>3.86</w:t>
                  </w:r>
                </w:p>
              </w:tc>
              <w:tc>
                <w:tcPr>
                  <w:tcW w:w="448" w:type="pct"/>
                  <w:noWrap w:val="0"/>
                  <w:vAlign w:val="center"/>
                </w:tcPr>
                <w:p w14:paraId="1A0969B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02" w:type="pct"/>
                  <w:vMerge w:val="continue"/>
                  <w:noWrap w:val="0"/>
                  <w:vAlign w:val="center"/>
                </w:tcPr>
                <w:p w14:paraId="0F6B552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11A76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267" w:type="pct"/>
                  <w:vMerge w:val="continue"/>
                  <w:noWrap w:val="0"/>
                  <w:vAlign w:val="center"/>
                </w:tcPr>
                <w:p w14:paraId="610D7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p>
              </w:tc>
              <w:tc>
                <w:tcPr>
                  <w:tcW w:w="432" w:type="pct"/>
                  <w:noWrap w:val="0"/>
                  <w:vAlign w:val="center"/>
                </w:tcPr>
                <w:p w14:paraId="12002644">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eastAsia" w:cs="Times New Roman"/>
                      <w:i w:val="0"/>
                      <w:iCs w:val="0"/>
                      <w:color w:val="auto"/>
                      <w:kern w:val="2"/>
                      <w:sz w:val="21"/>
                      <w:szCs w:val="21"/>
                      <w:highlight w:val="none"/>
                      <w:u w:val="none"/>
                      <w:lang w:val="en-US" w:eastAsia="zh-CN" w:bidi="ar"/>
                    </w:rPr>
                    <w:t>设备冲洗</w:t>
                  </w:r>
                </w:p>
              </w:tc>
              <w:tc>
                <w:tcPr>
                  <w:tcW w:w="483" w:type="pct"/>
                  <w:noWrap w:val="0"/>
                  <w:vAlign w:val="center"/>
                </w:tcPr>
                <w:p w14:paraId="539069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0.6</w:t>
                  </w:r>
                </w:p>
              </w:tc>
              <w:tc>
                <w:tcPr>
                  <w:tcW w:w="425" w:type="pct"/>
                  <w:noWrap w:val="0"/>
                  <w:vAlign w:val="center"/>
                </w:tcPr>
                <w:p w14:paraId="431D42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366" w:type="pct"/>
                  <w:noWrap w:val="0"/>
                  <w:vAlign w:val="center"/>
                </w:tcPr>
                <w:p w14:paraId="626A369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0.6</w:t>
                  </w:r>
                </w:p>
              </w:tc>
              <w:tc>
                <w:tcPr>
                  <w:tcW w:w="684" w:type="pct"/>
                  <w:noWrap w:val="0"/>
                  <w:vAlign w:val="center"/>
                </w:tcPr>
                <w:p w14:paraId="6BC4098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2" w:type="pct"/>
                  <w:noWrap w:val="0"/>
                  <w:vAlign w:val="center"/>
                </w:tcPr>
                <w:p w14:paraId="55659FD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1" w:type="pct"/>
                  <w:noWrap w:val="0"/>
                  <w:vAlign w:val="center"/>
                </w:tcPr>
                <w:p w14:paraId="0A6988E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0.12</w:t>
                  </w:r>
                </w:p>
              </w:tc>
              <w:tc>
                <w:tcPr>
                  <w:tcW w:w="484" w:type="pct"/>
                  <w:noWrap w:val="0"/>
                  <w:vAlign w:val="center"/>
                </w:tcPr>
                <w:p w14:paraId="1C1749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8" w:type="pct"/>
                  <w:noWrap w:val="0"/>
                  <w:vAlign w:val="center"/>
                </w:tcPr>
                <w:p w14:paraId="0F54116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0.48</w:t>
                  </w:r>
                </w:p>
              </w:tc>
              <w:tc>
                <w:tcPr>
                  <w:tcW w:w="602" w:type="pct"/>
                  <w:vMerge w:val="continue"/>
                  <w:noWrap w:val="0"/>
                  <w:vAlign w:val="center"/>
                </w:tcPr>
                <w:p w14:paraId="74CBC98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007C1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52491E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3</w:t>
                  </w:r>
                </w:p>
              </w:tc>
              <w:tc>
                <w:tcPr>
                  <w:tcW w:w="432" w:type="pct"/>
                  <w:noWrap w:val="0"/>
                  <w:vAlign w:val="center"/>
                </w:tcPr>
                <w:p w14:paraId="350AAB2F">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eastAsia" w:cs="Times New Roman"/>
                      <w:i w:val="0"/>
                      <w:iCs w:val="0"/>
                      <w:color w:val="auto"/>
                      <w:kern w:val="2"/>
                      <w:sz w:val="21"/>
                      <w:szCs w:val="21"/>
                      <w:highlight w:val="none"/>
                      <w:u w:val="none"/>
                      <w:lang w:val="en-US" w:eastAsia="zh-CN" w:bidi="ar"/>
                    </w:rPr>
                    <w:t>废气治理系统</w:t>
                  </w:r>
                </w:p>
              </w:tc>
              <w:tc>
                <w:tcPr>
                  <w:tcW w:w="483" w:type="pct"/>
                  <w:noWrap w:val="0"/>
                  <w:vAlign w:val="center"/>
                </w:tcPr>
                <w:p w14:paraId="689B0F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426.54</w:t>
                  </w:r>
                </w:p>
              </w:tc>
              <w:tc>
                <w:tcPr>
                  <w:tcW w:w="425" w:type="pct"/>
                  <w:noWrap w:val="0"/>
                  <w:vAlign w:val="center"/>
                </w:tcPr>
                <w:p w14:paraId="28E61F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1.00</w:t>
                  </w:r>
                </w:p>
              </w:tc>
              <w:tc>
                <w:tcPr>
                  <w:tcW w:w="366" w:type="pct"/>
                  <w:noWrap w:val="0"/>
                  <w:vAlign w:val="center"/>
                </w:tcPr>
                <w:p w14:paraId="1FF03B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3.86</w:t>
                  </w:r>
                </w:p>
              </w:tc>
              <w:tc>
                <w:tcPr>
                  <w:tcW w:w="684" w:type="pct"/>
                  <w:noWrap w:val="0"/>
                  <w:vAlign w:val="center"/>
                </w:tcPr>
                <w:p w14:paraId="7D522C9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0.12</w:t>
                  </w:r>
                </w:p>
              </w:tc>
              <w:tc>
                <w:tcPr>
                  <w:tcW w:w="402" w:type="pct"/>
                  <w:noWrap w:val="0"/>
                  <w:vAlign w:val="center"/>
                </w:tcPr>
                <w:p w14:paraId="1215459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420</w:t>
                  </w:r>
                </w:p>
              </w:tc>
              <w:tc>
                <w:tcPr>
                  <w:tcW w:w="401" w:type="pct"/>
                  <w:noWrap w:val="0"/>
                  <w:vAlign w:val="center"/>
                </w:tcPr>
                <w:p w14:paraId="500A4E5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0000FF"/>
                      <w:kern w:val="0"/>
                      <w:sz w:val="21"/>
                      <w:szCs w:val="21"/>
                      <w:highlight w:val="none"/>
                      <w:u w:val="none"/>
                      <w:lang w:val="en-US" w:eastAsia="zh-CN" w:bidi="ar"/>
                    </w:rPr>
                    <w:t>2.1</w:t>
                  </w:r>
                </w:p>
              </w:tc>
              <w:tc>
                <w:tcPr>
                  <w:tcW w:w="484" w:type="pct"/>
                  <w:noWrap w:val="0"/>
                  <w:vAlign w:val="center"/>
                </w:tcPr>
                <w:p w14:paraId="4A0BC7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8" w:type="pct"/>
                  <w:noWrap w:val="0"/>
                  <w:vAlign w:val="center"/>
                </w:tcPr>
                <w:p w14:paraId="305979F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0000FF"/>
                      <w:kern w:val="0"/>
                      <w:sz w:val="21"/>
                      <w:szCs w:val="21"/>
                      <w:highlight w:val="none"/>
                      <w:u w:val="none"/>
                      <w:lang w:val="en-US" w:eastAsia="zh-CN" w:bidi="ar"/>
                    </w:rPr>
                    <w:t>2.88</w:t>
                  </w:r>
                </w:p>
              </w:tc>
              <w:tc>
                <w:tcPr>
                  <w:tcW w:w="602" w:type="pct"/>
                  <w:vMerge w:val="continue"/>
                  <w:noWrap w:val="0"/>
                  <w:vAlign w:val="center"/>
                </w:tcPr>
                <w:p w14:paraId="74615FF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58E99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54DF8A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4</w:t>
                  </w:r>
                </w:p>
              </w:tc>
              <w:tc>
                <w:tcPr>
                  <w:tcW w:w="432" w:type="pct"/>
                  <w:noWrap w:val="0"/>
                  <w:vAlign w:val="center"/>
                </w:tcPr>
                <w:p w14:paraId="0698C98D">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2"/>
                      <w:sz w:val="21"/>
                      <w:szCs w:val="21"/>
                      <w:highlight w:val="none"/>
                      <w:u w:val="none"/>
                      <w:lang w:val="en-US" w:eastAsia="zh-CN" w:bidi="ar"/>
                    </w:rPr>
                    <w:t>循环冷却水系统</w:t>
                  </w:r>
                </w:p>
              </w:tc>
              <w:tc>
                <w:tcPr>
                  <w:tcW w:w="483" w:type="pct"/>
                  <w:noWrap w:val="0"/>
                  <w:vAlign w:val="center"/>
                </w:tcPr>
                <w:p w14:paraId="5F7D787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438.48</w:t>
                  </w:r>
                </w:p>
              </w:tc>
              <w:tc>
                <w:tcPr>
                  <w:tcW w:w="425" w:type="pct"/>
                  <w:noWrap w:val="0"/>
                  <w:vAlign w:val="center"/>
                </w:tcPr>
                <w:p w14:paraId="471AE2D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6.48</w:t>
                  </w:r>
                </w:p>
              </w:tc>
              <w:tc>
                <w:tcPr>
                  <w:tcW w:w="366" w:type="pct"/>
                  <w:noWrap w:val="0"/>
                  <w:vAlign w:val="center"/>
                </w:tcPr>
                <w:p w14:paraId="46051CB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84" w:type="pct"/>
                  <w:noWrap w:val="0"/>
                  <w:vAlign w:val="center"/>
                </w:tcPr>
                <w:p w14:paraId="28D2FF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2" w:type="pct"/>
                  <w:noWrap w:val="0"/>
                  <w:vAlign w:val="center"/>
                </w:tcPr>
                <w:p w14:paraId="4BD2BD6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432</w:t>
                  </w:r>
                </w:p>
              </w:tc>
              <w:tc>
                <w:tcPr>
                  <w:tcW w:w="401" w:type="pct"/>
                  <w:noWrap w:val="0"/>
                  <w:vAlign w:val="center"/>
                </w:tcPr>
                <w:p w14:paraId="30DA9C9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4.32</w:t>
                  </w:r>
                </w:p>
              </w:tc>
              <w:tc>
                <w:tcPr>
                  <w:tcW w:w="484" w:type="pct"/>
                  <w:noWrap w:val="0"/>
                  <w:vAlign w:val="center"/>
                </w:tcPr>
                <w:p w14:paraId="32AC82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8" w:type="pct"/>
                  <w:noWrap w:val="0"/>
                  <w:vAlign w:val="center"/>
                </w:tcPr>
                <w:p w14:paraId="3A6E170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2.16</w:t>
                  </w:r>
                </w:p>
              </w:tc>
              <w:tc>
                <w:tcPr>
                  <w:tcW w:w="602" w:type="pct"/>
                  <w:vMerge w:val="continue"/>
                  <w:noWrap w:val="0"/>
                  <w:vAlign w:val="center"/>
                </w:tcPr>
                <w:p w14:paraId="205C51EA">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61A4F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70D9E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5</w:t>
                  </w:r>
                </w:p>
              </w:tc>
              <w:tc>
                <w:tcPr>
                  <w:tcW w:w="432" w:type="pct"/>
                  <w:noWrap w:val="0"/>
                  <w:vAlign w:val="center"/>
                </w:tcPr>
                <w:p w14:paraId="08F4E7A9">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生活用水</w:t>
                  </w:r>
                </w:p>
              </w:tc>
              <w:tc>
                <w:tcPr>
                  <w:tcW w:w="483" w:type="pct"/>
                  <w:noWrap w:val="0"/>
                  <w:vAlign w:val="center"/>
                </w:tcPr>
                <w:p w14:paraId="31FA26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1.54</w:t>
                  </w:r>
                </w:p>
              </w:tc>
              <w:tc>
                <w:tcPr>
                  <w:tcW w:w="425" w:type="pct"/>
                  <w:noWrap w:val="0"/>
                  <w:vAlign w:val="center"/>
                </w:tcPr>
                <w:p w14:paraId="59CAD49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1.54</w:t>
                  </w:r>
                </w:p>
              </w:tc>
              <w:tc>
                <w:tcPr>
                  <w:tcW w:w="366" w:type="pct"/>
                  <w:noWrap w:val="0"/>
                  <w:vAlign w:val="center"/>
                </w:tcPr>
                <w:p w14:paraId="31ACF1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84" w:type="pct"/>
                  <w:noWrap w:val="0"/>
                  <w:vAlign w:val="center"/>
                </w:tcPr>
                <w:p w14:paraId="62FD8B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2" w:type="pct"/>
                  <w:noWrap w:val="0"/>
                  <w:vAlign w:val="center"/>
                </w:tcPr>
                <w:p w14:paraId="2C6FD86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1" w:type="pct"/>
                  <w:noWrap w:val="0"/>
                  <w:vAlign w:val="center"/>
                </w:tcPr>
                <w:p w14:paraId="609151F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0.31</w:t>
                  </w:r>
                </w:p>
              </w:tc>
              <w:tc>
                <w:tcPr>
                  <w:tcW w:w="484" w:type="pct"/>
                  <w:noWrap w:val="0"/>
                  <w:vAlign w:val="center"/>
                </w:tcPr>
                <w:p w14:paraId="7812A0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8" w:type="pct"/>
                  <w:noWrap w:val="0"/>
                  <w:vAlign w:val="center"/>
                </w:tcPr>
                <w:p w14:paraId="7B3442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1.23</w:t>
                  </w:r>
                </w:p>
              </w:tc>
              <w:tc>
                <w:tcPr>
                  <w:tcW w:w="602" w:type="pct"/>
                  <w:vMerge w:val="continue"/>
                  <w:noWrap w:val="0"/>
                  <w:vAlign w:val="center"/>
                </w:tcPr>
                <w:p w14:paraId="5DDC1DF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26701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6FC459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6</w:t>
                  </w:r>
                </w:p>
              </w:tc>
              <w:tc>
                <w:tcPr>
                  <w:tcW w:w="432" w:type="pct"/>
                  <w:noWrap w:val="0"/>
                  <w:vAlign w:val="center"/>
                </w:tcPr>
                <w:p w14:paraId="6C36E7F6">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default" w:ascii="Times New Roman" w:hAnsi="Times New Roman" w:eastAsia="宋体" w:cs="Times New Roman"/>
                      <w:b w:val="0"/>
                      <w:bCs/>
                      <w:color w:val="auto"/>
                      <w:kern w:val="2"/>
                      <w:sz w:val="21"/>
                      <w:szCs w:val="21"/>
                      <w:highlight w:val="none"/>
                      <w:lang w:val="en-US" w:eastAsia="zh-CN" w:bidi="ar-SA"/>
                    </w:rPr>
                    <w:t>车间</w:t>
                  </w:r>
                  <w:r>
                    <w:rPr>
                      <w:rFonts w:hint="eastAsia" w:cs="Times New Roman"/>
                      <w:b w:val="0"/>
                      <w:bCs/>
                      <w:color w:val="auto"/>
                      <w:kern w:val="2"/>
                      <w:sz w:val="21"/>
                      <w:szCs w:val="21"/>
                      <w:highlight w:val="none"/>
                      <w:lang w:val="en-US" w:eastAsia="zh-CN" w:bidi="ar-SA"/>
                    </w:rPr>
                    <w:t>地面冲洗</w:t>
                  </w:r>
                </w:p>
              </w:tc>
              <w:tc>
                <w:tcPr>
                  <w:tcW w:w="483" w:type="pct"/>
                  <w:noWrap w:val="0"/>
                  <w:vAlign w:val="center"/>
                </w:tcPr>
                <w:p w14:paraId="2C40E1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w:t>
                  </w:r>
                </w:p>
              </w:tc>
              <w:tc>
                <w:tcPr>
                  <w:tcW w:w="425" w:type="pct"/>
                  <w:noWrap w:val="0"/>
                  <w:vAlign w:val="center"/>
                </w:tcPr>
                <w:p w14:paraId="5D2A25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w:t>
                  </w:r>
                </w:p>
              </w:tc>
              <w:tc>
                <w:tcPr>
                  <w:tcW w:w="366" w:type="pct"/>
                  <w:noWrap w:val="0"/>
                  <w:vAlign w:val="center"/>
                </w:tcPr>
                <w:p w14:paraId="64D75DA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84" w:type="pct"/>
                  <w:noWrap w:val="0"/>
                  <w:vAlign w:val="center"/>
                </w:tcPr>
                <w:p w14:paraId="553B48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2" w:type="pct"/>
                  <w:noWrap w:val="0"/>
                  <w:vAlign w:val="center"/>
                </w:tcPr>
                <w:p w14:paraId="315EB66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1" w:type="pct"/>
                  <w:noWrap w:val="0"/>
                  <w:vAlign w:val="center"/>
                </w:tcPr>
                <w:p w14:paraId="416219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0.4</w:t>
                  </w:r>
                </w:p>
              </w:tc>
              <w:tc>
                <w:tcPr>
                  <w:tcW w:w="484" w:type="pct"/>
                  <w:noWrap w:val="0"/>
                  <w:vAlign w:val="center"/>
                </w:tcPr>
                <w:p w14:paraId="193DCA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8" w:type="pct"/>
                  <w:noWrap w:val="0"/>
                  <w:vAlign w:val="center"/>
                </w:tcPr>
                <w:p w14:paraId="2763A1E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1.6</w:t>
                  </w:r>
                </w:p>
              </w:tc>
              <w:tc>
                <w:tcPr>
                  <w:tcW w:w="602" w:type="pct"/>
                  <w:vMerge w:val="continue"/>
                  <w:noWrap w:val="0"/>
                  <w:vAlign w:val="center"/>
                </w:tcPr>
                <w:p w14:paraId="0DBE817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
                    </w:rPr>
                  </w:pPr>
                </w:p>
              </w:tc>
            </w:tr>
            <w:tr w14:paraId="5B82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00" w:type="pct"/>
                  <w:gridSpan w:val="2"/>
                  <w:noWrap w:val="0"/>
                  <w:vAlign w:val="center"/>
                </w:tcPr>
                <w:p w14:paraId="7B8575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bidi="ar"/>
                    </w:rPr>
                  </w:pPr>
                  <w:r>
                    <w:rPr>
                      <w:rFonts w:hint="default" w:ascii="Times New Roman" w:hAnsi="Times New Roman" w:eastAsia="宋体" w:cs="Times New Roman"/>
                      <w:color w:val="auto"/>
                      <w:sz w:val="21"/>
                      <w:szCs w:val="21"/>
                      <w:highlight w:val="none"/>
                      <w:lang w:val="en-US" w:eastAsia="zh-CN" w:bidi="ar"/>
                    </w:rPr>
                    <w:t>合计</w:t>
                  </w:r>
                </w:p>
              </w:tc>
              <w:tc>
                <w:tcPr>
                  <w:tcW w:w="483" w:type="pct"/>
                  <w:noWrap w:val="0"/>
                  <w:vAlign w:val="center"/>
                </w:tcPr>
                <w:p w14:paraId="3D3AA289">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877.35</w:t>
                  </w:r>
                </w:p>
              </w:tc>
              <w:tc>
                <w:tcPr>
                  <w:tcW w:w="425" w:type="pct"/>
                  <w:noWrap w:val="0"/>
                  <w:vAlign w:val="center"/>
                </w:tcPr>
                <w:p w14:paraId="2696B94B">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16.77</w:t>
                  </w:r>
                </w:p>
              </w:tc>
              <w:tc>
                <w:tcPr>
                  <w:tcW w:w="366" w:type="pct"/>
                  <w:noWrap w:val="0"/>
                  <w:vAlign w:val="center"/>
                </w:tcPr>
                <w:p w14:paraId="1EC8EE78">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8.46</w:t>
                  </w:r>
                </w:p>
              </w:tc>
              <w:tc>
                <w:tcPr>
                  <w:tcW w:w="684" w:type="pct"/>
                  <w:noWrap w:val="0"/>
                  <w:vAlign w:val="center"/>
                </w:tcPr>
                <w:p w14:paraId="7C612134">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0.12</w:t>
                  </w:r>
                </w:p>
              </w:tc>
              <w:tc>
                <w:tcPr>
                  <w:tcW w:w="402" w:type="pct"/>
                  <w:noWrap w:val="0"/>
                  <w:vAlign w:val="center"/>
                </w:tcPr>
                <w:p w14:paraId="7B446AAF">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852</w:t>
                  </w:r>
                </w:p>
              </w:tc>
              <w:tc>
                <w:tcPr>
                  <w:tcW w:w="401" w:type="pct"/>
                  <w:noWrap w:val="0"/>
                  <w:vAlign w:val="center"/>
                </w:tcPr>
                <w:p w14:paraId="47A454E4">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7.39</w:t>
                  </w:r>
                </w:p>
              </w:tc>
              <w:tc>
                <w:tcPr>
                  <w:tcW w:w="484" w:type="pct"/>
                  <w:noWrap w:val="0"/>
                  <w:vAlign w:val="center"/>
                </w:tcPr>
                <w:p w14:paraId="2101BD17">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8.46</w:t>
                  </w:r>
                </w:p>
              </w:tc>
              <w:tc>
                <w:tcPr>
                  <w:tcW w:w="448" w:type="pct"/>
                  <w:noWrap w:val="0"/>
                  <w:vAlign w:val="center"/>
                </w:tcPr>
                <w:p w14:paraId="68FB7D16">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u w:val="none"/>
                      <w:lang w:val="en-US" w:eastAsia="zh-CN" w:bidi="ar"/>
                    </w:rPr>
                    <w:t>9.5</w:t>
                  </w:r>
                </w:p>
              </w:tc>
              <w:tc>
                <w:tcPr>
                  <w:tcW w:w="602" w:type="pct"/>
                  <w:noWrap w:val="0"/>
                  <w:vAlign w:val="center"/>
                </w:tcPr>
                <w:p w14:paraId="22B8CFF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p>
              </w:tc>
            </w:tr>
          </w:tbl>
          <w:p w14:paraId="4C040930">
            <w:pPr>
              <w:keepNext w:val="0"/>
              <w:keepLines w:val="0"/>
              <w:pageBreakBefore w:val="0"/>
              <w:widowControl w:val="0"/>
              <w:kinsoku/>
              <w:wordWrap/>
              <w:overflowPunct/>
              <w:topLinePunct w:val="0"/>
              <w:autoSpaceDE/>
              <w:autoSpaceDN/>
              <w:bidi w:val="0"/>
              <w:adjustRightInd/>
              <w:snapToGrid/>
              <w:spacing w:after="0" w:line="360" w:lineRule="auto"/>
              <w:ind w:right="0"/>
              <w:jc w:val="center"/>
              <w:textAlignment w:val="auto"/>
              <w:rPr>
                <w:rFonts w:hint="eastAsia" w:cs="Times New Roman"/>
                <w:b/>
                <w:bCs/>
                <w:i w:val="0"/>
                <w:iCs w:val="0"/>
                <w:color w:val="auto"/>
                <w:kern w:val="2"/>
                <w:sz w:val="21"/>
                <w:szCs w:val="21"/>
                <w:highlight w:val="none"/>
                <w:u w:val="none"/>
                <w:lang w:val="en-US" w:eastAsia="zh-CN" w:bidi="ar"/>
              </w:rPr>
            </w:pPr>
            <w:r>
              <w:rPr>
                <w:color w:val="auto"/>
                <w:sz w:val="21"/>
                <w:highlight w:val="none"/>
              </w:rPr>
              <mc:AlternateContent>
                <mc:Choice Requires="wpg">
                  <w:drawing>
                    <wp:anchor distT="0" distB="0" distL="114300" distR="114300" simplePos="0" relativeHeight="251670528" behindDoc="0" locked="0" layoutInCell="1" allowOverlap="1">
                      <wp:simplePos x="0" y="0"/>
                      <wp:positionH relativeFrom="column">
                        <wp:posOffset>-158115</wp:posOffset>
                      </wp:positionH>
                      <wp:positionV relativeFrom="paragraph">
                        <wp:posOffset>28575</wp:posOffset>
                      </wp:positionV>
                      <wp:extent cx="5093970" cy="3826510"/>
                      <wp:effectExtent l="0" t="0" r="11430" b="21590"/>
                      <wp:wrapNone/>
                      <wp:docPr id="361" name="组合 361"/>
                      <wp:cNvGraphicFramePr/>
                      <a:graphic xmlns:a="http://schemas.openxmlformats.org/drawingml/2006/main">
                        <a:graphicData uri="http://schemas.microsoft.com/office/word/2010/wordprocessingGroup">
                          <wpg:wgp>
                            <wpg:cNvGrpSpPr/>
                            <wpg:grpSpPr>
                              <a:xfrm>
                                <a:off x="0" y="0"/>
                                <a:ext cx="5093970" cy="3826510"/>
                                <a:chOff x="3586" y="669768"/>
                                <a:chExt cx="8022" cy="6026"/>
                              </a:xfrm>
                            </wpg:grpSpPr>
                            <wpg:grpSp>
                              <wpg:cNvPr id="340" name="组合 340"/>
                              <wpg:cNvGrpSpPr/>
                              <wpg:grpSpPr>
                                <a:xfrm>
                                  <a:off x="3586" y="669768"/>
                                  <a:ext cx="8022" cy="6026"/>
                                  <a:chOff x="2765" y="676391"/>
                                  <a:chExt cx="8022" cy="6026"/>
                                </a:xfrm>
                              </wpg:grpSpPr>
                              <wpg:grpSp>
                                <wpg:cNvPr id="338" name="组合 338"/>
                                <wpg:cNvGrpSpPr/>
                                <wpg:grpSpPr>
                                  <a:xfrm>
                                    <a:off x="2765" y="676391"/>
                                    <a:ext cx="8022" cy="6026"/>
                                    <a:chOff x="2765" y="676391"/>
                                    <a:chExt cx="8022" cy="6026"/>
                                  </a:xfrm>
                                </wpg:grpSpPr>
                                <wpg:grpSp>
                                  <wpg:cNvPr id="336" name="组合 336"/>
                                  <wpg:cNvGrpSpPr/>
                                  <wpg:grpSpPr>
                                    <a:xfrm>
                                      <a:off x="2765" y="676391"/>
                                      <a:ext cx="8022" cy="6026"/>
                                      <a:chOff x="2765" y="676407"/>
                                      <a:chExt cx="8022" cy="6026"/>
                                    </a:xfrm>
                                  </wpg:grpSpPr>
                                  <wpg:grpSp>
                                    <wpg:cNvPr id="332" name="组合 332"/>
                                    <wpg:cNvGrpSpPr/>
                                    <wpg:grpSpPr>
                                      <a:xfrm rot="0">
                                        <a:off x="2765" y="676407"/>
                                        <a:ext cx="8022" cy="6026"/>
                                        <a:chOff x="2765" y="676407"/>
                                        <a:chExt cx="8022" cy="6026"/>
                                      </a:xfrm>
                                    </wpg:grpSpPr>
                                    <wpg:grpSp>
                                      <wpg:cNvPr id="330" name="组合 330"/>
                                      <wpg:cNvGrpSpPr/>
                                      <wpg:grpSpPr>
                                        <a:xfrm>
                                          <a:off x="2765" y="676407"/>
                                          <a:ext cx="8022" cy="6026"/>
                                          <a:chOff x="2765" y="676407"/>
                                          <a:chExt cx="8022" cy="6026"/>
                                        </a:xfrm>
                                      </wpg:grpSpPr>
                                      <wps:wsp>
                                        <wps:cNvPr id="255" name="流程图: 过程 48"/>
                                        <wps:cNvSpPr/>
                                        <wps:spPr>
                                          <a:xfrm>
                                            <a:off x="8515" y="678822"/>
                                            <a:ext cx="715"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6AF5F5F">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2.88</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29" name="组合 329"/>
                                        <wpg:cNvGrpSpPr/>
                                        <wpg:grpSpPr>
                                          <a:xfrm>
                                            <a:off x="2765" y="676407"/>
                                            <a:ext cx="8022" cy="6026"/>
                                            <a:chOff x="2765" y="676407"/>
                                            <a:chExt cx="8022" cy="6026"/>
                                          </a:xfrm>
                                        </wpg:grpSpPr>
                                        <wpg:grpSp>
                                          <wpg:cNvPr id="273" name="组合 273"/>
                                          <wpg:cNvGrpSpPr/>
                                          <wpg:grpSpPr>
                                            <a:xfrm>
                                              <a:off x="2765" y="676407"/>
                                              <a:ext cx="8022" cy="6027"/>
                                              <a:chOff x="2857" y="669744"/>
                                              <a:chExt cx="8022" cy="6027"/>
                                            </a:xfrm>
                                          </wpg:grpSpPr>
                                          <wps:wsp>
                                            <wps:cNvPr id="274" name="直接箭头连接符 52"/>
                                            <wps:cNvCnPr/>
                                            <wps:spPr>
                                              <a:xfrm flipV="1">
                                                <a:off x="7631" y="675572"/>
                                                <a:ext cx="1795" cy="3"/>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cNvPr id="275" name="组合 177"/>
                                            <wpg:cNvGrpSpPr/>
                                            <wpg:grpSpPr>
                                              <a:xfrm>
                                                <a:off x="2857" y="669744"/>
                                                <a:ext cx="8022" cy="6027"/>
                                                <a:chOff x="2857" y="670157"/>
                                                <a:chExt cx="8022" cy="6027"/>
                                              </a:xfrm>
                                            </wpg:grpSpPr>
                                            <wps:wsp>
                                              <wps:cNvPr id="276" name="流程图: 过程 33"/>
                                              <wps:cNvSpPr/>
                                              <wps:spPr>
                                                <a:xfrm>
                                                  <a:off x="4183" y="672720"/>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AF058D5">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1.00</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278" name="组合 164"/>
                                              <wpg:cNvGrpSpPr/>
                                              <wpg:grpSpPr>
                                                <a:xfrm rot="0">
                                                  <a:off x="2857" y="670157"/>
                                                  <a:ext cx="8022" cy="6027"/>
                                                  <a:chOff x="2518" y="670157"/>
                                                  <a:chExt cx="8022" cy="6027"/>
                                                </a:xfrm>
                                              </wpg:grpSpPr>
                                              <wps:wsp>
                                                <wps:cNvPr id="279" name="流程图: 过程 33"/>
                                                <wps:cNvSpPr/>
                                                <wps:spPr>
                                                  <a:xfrm>
                                                    <a:off x="7774" y="673769"/>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50CDCE3">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1.6</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280" name="组合 163"/>
                                                <wpg:cNvGrpSpPr/>
                                                <wpg:grpSpPr>
                                                  <a:xfrm>
                                                    <a:off x="2518" y="670157"/>
                                                    <a:ext cx="8022" cy="6027"/>
                                                    <a:chOff x="2857" y="670157"/>
                                                    <a:chExt cx="8022" cy="6027"/>
                                                  </a:xfrm>
                                                </wpg:grpSpPr>
                                                <wpg:grpSp>
                                                  <wpg:cNvPr id="281" name="组合 72"/>
                                                  <wpg:cNvGrpSpPr/>
                                                  <wpg:grpSpPr>
                                                    <a:xfrm rot="0">
                                                      <a:off x="2857" y="670157"/>
                                                      <a:ext cx="8022" cy="5865"/>
                                                      <a:chOff x="2702" y="688850"/>
                                                      <a:chExt cx="8022" cy="5865"/>
                                                    </a:xfrm>
                                                  </wpg:grpSpPr>
                                                  <wpg:grpSp>
                                                    <wpg:cNvPr id="282" name="组合 67"/>
                                                    <wpg:cNvGrpSpPr/>
                                                    <wpg:grpSpPr>
                                                      <a:xfrm>
                                                        <a:off x="2702" y="688850"/>
                                                        <a:ext cx="8022" cy="5865"/>
                                                        <a:chOff x="2702" y="688850"/>
                                                        <a:chExt cx="8022" cy="5865"/>
                                                      </a:xfrm>
                                                    </wpg:grpSpPr>
                                                    <wps:wsp>
                                                      <wps:cNvPr id="283" name="肘形连接符 250"/>
                                                      <wps:cNvCnPr/>
                                                      <wps:spPr>
                                                        <a:xfrm flipV="1">
                                                          <a:off x="5821" y="692046"/>
                                                          <a:ext cx="546" cy="237"/>
                                                        </a:xfrm>
                                                        <a:prstGeom prst="bentConnector2">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cNvPr id="284" name="组合 66"/>
                                                      <wpg:cNvGrpSpPr/>
                                                      <wpg:grpSpPr>
                                                        <a:xfrm>
                                                          <a:off x="2702" y="688850"/>
                                                          <a:ext cx="8022" cy="5865"/>
                                                          <a:chOff x="2702" y="688850"/>
                                                          <a:chExt cx="8022" cy="5865"/>
                                                        </a:xfrm>
                                                      </wpg:grpSpPr>
                                                      <wpg:grpSp>
                                                        <wpg:cNvPr id="285" name="组合 14"/>
                                                        <wpg:cNvGrpSpPr/>
                                                        <wpg:grpSpPr>
                                                          <a:xfrm rot="0">
                                                            <a:off x="2702" y="688850"/>
                                                            <a:ext cx="8022" cy="5865"/>
                                                            <a:chOff x="4565" y="688887"/>
                                                            <a:chExt cx="8022" cy="5865"/>
                                                          </a:xfrm>
                                                        </wpg:grpSpPr>
                                                        <wpg:grpSp>
                                                          <wpg:cNvPr id="286" name="组合 7"/>
                                                          <wpg:cNvGrpSpPr/>
                                                          <wpg:grpSpPr>
                                                            <a:xfrm>
                                                              <a:off x="4565" y="688887"/>
                                                              <a:ext cx="8022" cy="5865"/>
                                                              <a:chOff x="2427" y="687232"/>
                                                              <a:chExt cx="8022" cy="5865"/>
                                                            </a:xfrm>
                                                          </wpg:grpSpPr>
                                                          <wpg:grpSp>
                                                            <wpg:cNvPr id="287" name="组合 703"/>
                                                            <wpg:cNvGrpSpPr/>
                                                            <wpg:grpSpPr>
                                                              <a:xfrm rot="0">
                                                                <a:off x="2427" y="687232"/>
                                                                <a:ext cx="8022" cy="5865"/>
                                                                <a:chOff x="8802" y="738475"/>
                                                                <a:chExt cx="8022" cy="5865"/>
                                                              </a:xfrm>
                                                            </wpg:grpSpPr>
                                                            <wps:wsp>
                                                              <wps:cNvPr id="288" name="流程图: 过程 9"/>
                                                              <wps:cNvSpPr/>
                                                              <wps:spPr>
                                                                <a:xfrm>
                                                                  <a:off x="10576" y="738920"/>
                                                                  <a:ext cx="1187" cy="532"/>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573E869">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宋体"/>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软水制备</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89" name="流程图: 过程 10"/>
                                                              <wps:cNvSpPr/>
                                                              <wps:spPr>
                                                                <a:xfrm>
                                                                  <a:off x="11207" y="741109"/>
                                                                  <a:ext cx="3329" cy="530"/>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76CA60F">
                                                                    <w:pPr>
                                                                      <w:widowControl/>
                                                                      <w:spacing w:line="240" w:lineRule="auto"/>
                                                                      <w:ind w:firstLine="0" w:firstLineChars="0"/>
                                                                      <w:jc w:val="center"/>
                                                                      <w:rPr>
                                                                        <w:rFonts w:hint="eastAsia"/>
                                                                        <w:lang w:eastAsia="zh-CN"/>
                                                                      </w:rPr>
                                                                    </w:pPr>
                                                                    <w:r>
                                                                      <w:rPr>
                                                                        <w:rFonts w:hint="eastAsia"/>
                                                                        <w:color w:val="000000" w:themeColor="text1"/>
                                                                        <w:sz w:val="21"/>
                                                                        <w:szCs w:val="21"/>
                                                                        <w:lang w:val="en-US" w:eastAsia="zh-CN"/>
                                                                        <w14:textFill>
                                                                          <w14:solidFill>
                                                                            <w14:schemeClr w14:val="tx1"/>
                                                                          </w14:solidFill>
                                                                        </w14:textFill>
                                                                      </w:rPr>
                                                                      <w:t>废气治理</w:t>
                                                                    </w:r>
                                                                    <w:r>
                                                                      <w:rPr>
                                                                        <w:rFonts w:hint="eastAsia"/>
                                                                        <w:color w:val="000000" w:themeColor="text1"/>
                                                                        <w:sz w:val="21"/>
                                                                        <w:szCs w:val="21"/>
                                                                        <w:lang w:eastAsia="zh-CN"/>
                                                                        <w14:textFill>
                                                                          <w14:solidFill>
                                                                            <w14:schemeClr w14:val="tx1"/>
                                                                          </w14:solidFill>
                                                                        </w14:textFill>
                                                                      </w:rPr>
                                                                      <w:t>系统</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r>
                                                                      <w:rPr>
                                                                        <w:rFonts w:hint="eastAsia" w:cs="Times New Roman"/>
                                                                        <w:color w:val="0000FF"/>
                                                                        <w:sz w:val="21"/>
                                                                        <w:szCs w:val="21"/>
                                                                        <w:lang w:val="en-US" w:eastAsia="zh-CN"/>
                                                                      </w:rPr>
                                                                      <w:t>-2.1</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0" name="直接箭头连接符 15"/>
                                                              <wps:cNvCnPr/>
                                                              <wps:spPr>
                                                                <a:xfrm>
                                                                  <a:off x="8868" y="740954"/>
                                                                  <a:ext cx="968" cy="0"/>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291" name="流程图: 过程 16"/>
                                                              <wps:cNvSpPr/>
                                                              <wps:spPr>
                                                                <a:xfrm>
                                                                  <a:off x="12644" y="738591"/>
                                                                  <a:ext cx="2045"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FC2452D">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设备冲洗（</w:t>
                                                                    </w:r>
                                                                    <w:r>
                                                                      <w:rPr>
                                                                        <w:rFonts w:hint="eastAsia"/>
                                                                        <w:color w:val="000000" w:themeColor="text1"/>
                                                                        <w:sz w:val="21"/>
                                                                        <w:szCs w:val="21"/>
                                                                        <w:lang w:val="en-US" w:eastAsia="zh-CN"/>
                                                                        <w14:textFill>
                                                                          <w14:solidFill>
                                                                            <w14:schemeClr w14:val="tx1"/>
                                                                          </w14:solidFill>
                                                                        </w14:textFill>
                                                                      </w:rPr>
                                                                      <w:t>-0.12</w:t>
                                                                    </w:r>
                                                                    <w:r>
                                                                      <w:rPr>
                                                                        <w:rFonts w:hint="eastAsia"/>
                                                                        <w:color w:val="000000" w:themeColor="text1"/>
                                                                        <w:sz w:val="21"/>
                                                                        <w:szCs w:val="21"/>
                                                                        <w:lang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2" name="直接箭头连接符 17"/>
                                                              <wps:cNvCnPr/>
                                                              <wps:spPr>
                                                                <a:xfrm>
                                                                  <a:off x="9833" y="739192"/>
                                                                  <a:ext cx="735" cy="13"/>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293" name="直接连接符 18"/>
                                                              <wps:cNvCnPr/>
                                                              <wps:spPr>
                                                                <a:xfrm>
                                                                  <a:off x="9842" y="739201"/>
                                                                  <a:ext cx="13" cy="5123"/>
                                                                </a:xfrm>
                                                                <a:prstGeom prst="line">
                                                                  <a:avLst/>
                                                                </a:prstGeom>
                                                                <a:ln w="12700">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94" name="流程图: 过程 27"/>
                                                              <wps:cNvSpPr/>
                                                              <wps:spPr>
                                                                <a:xfrm>
                                                                  <a:off x="9809" y="738772"/>
                                                                  <a:ext cx="728" cy="53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B30E85B">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5.75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5" name="肘形连接符 31"/>
                                                              <wps:cNvCnPr/>
                                                              <wps:spPr>
                                                                <a:xfrm flipH="1">
                                                                  <a:off x="13388" y="741419"/>
                                                                  <a:ext cx="1199" cy="266"/>
                                                                </a:xfrm>
                                                                <a:prstGeom prst="bentConnector4">
                                                                  <a:avLst>
                                                                    <a:gd name="adj1" fmla="val -31276"/>
                                                                    <a:gd name="adj2" fmla="val 240977"/>
                                                                  </a:avLst>
                                                                </a:prstGeom>
                                                                <a:ln w="9525">
                                                                  <a:solidFill>
                                                                    <a:schemeClr val="tx1"/>
                                                                  </a:solidFill>
                                                                  <a:prstDash val="dash"/>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296" name="流程图: 过程 32"/>
                                                              <wps:cNvSpPr/>
                                                              <wps:spPr>
                                                                <a:xfrm>
                                                                  <a:off x="13013" y="743485"/>
                                                                  <a:ext cx="889"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961A731">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432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7" name="流程图: 过程 33"/>
                                                              <wps:cNvSpPr/>
                                                              <wps:spPr>
                                                                <a:xfrm>
                                                                  <a:off x="10121" y="742697"/>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D911E38">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6.48</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8" name="直接连接符 36"/>
                                                              <wps:cNvCnPr/>
                                                              <wps:spPr>
                                                                <a:xfrm>
                                                                  <a:off x="15329" y="738843"/>
                                                                  <a:ext cx="26" cy="5497"/>
                                                                </a:xfrm>
                                                                <a:prstGeom prst="line">
                                                                  <a:avLst/>
                                                                </a:prstGeom>
                                                                <a:ln w="12700">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299" name="直接箭头连接符 52"/>
                                                              <wps:cNvCnPr/>
                                                              <wps:spPr>
                                                                <a:xfrm flipV="1">
                                                                  <a:off x="14582" y="741259"/>
                                                                  <a:ext cx="783" cy="8"/>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00" name="流程图: 过程 48"/>
                                                              <wps:cNvSpPr/>
                                                              <wps:spPr>
                                                                <a:xfrm>
                                                                  <a:off x="13360" y="740056"/>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C0F1FC3">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3.86</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1" name="流程图: 过程 51"/>
                                                              <wps:cNvSpPr/>
                                                              <wps:spPr>
                                                                <a:xfrm>
                                                                  <a:off x="14047" y="742660"/>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7351A7E">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2.16</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2" name="流程图: 过程 73"/>
                                                              <wps:cNvSpPr/>
                                                              <wps:spPr>
                                                                <a:xfrm>
                                                                  <a:off x="15378" y="739976"/>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BCE0819">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9.5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3" name="流程图: 过程 71"/>
                                                              <wps:cNvSpPr/>
                                                              <wps:spPr>
                                                                <a:xfrm>
                                                                  <a:off x="15442" y="740743"/>
                                                                  <a:ext cx="1382" cy="2187"/>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C8F0452">
                                                                    <w:pPr>
                                                                      <w:keepNext w:val="0"/>
                                                                      <w:keepLines w:val="0"/>
                                                                      <w:pageBreakBefore w:val="0"/>
                                                                      <w:widowControl w:val="0"/>
                                                                      <w:kinsoku/>
                                                                      <w:wordWrap/>
                                                                      <w:overflowPunct/>
                                                                      <w:topLinePunct w:val="0"/>
                                                                      <w:bidi w:val="0"/>
                                                                      <w:adjustRightInd/>
                                                                      <w:snapToGrid/>
                                                                      <w:spacing w:line="240" w:lineRule="auto"/>
                                                                      <w:textAlignment w:val="auto"/>
                                                                      <w:rPr>
                                                                        <w:rFonts w:hint="eastAsia"/>
                                                                        <w:lang w:eastAsia="zh-CN"/>
                                                                      </w:rPr>
                                                                    </w:pPr>
                                                                    <w:r>
                                                                      <w:rPr>
                                                                        <w:rFonts w:hint="eastAsia" w:cs="Times New Roman"/>
                                                                        <w:color w:val="000000"/>
                                                                        <w:spacing w:val="0"/>
                                                                        <w:kern w:val="2"/>
                                                                        <w:sz w:val="21"/>
                                                                        <w:szCs w:val="21"/>
                                                                        <w:highlight w:val="none"/>
                                                                        <w:lang w:val="en-US" w:eastAsia="zh-CN" w:bidi="ar"/>
                                                                      </w:rPr>
                                                                      <w:t>送</w:t>
                                                                    </w:r>
                                                                    <w:r>
                                                                      <w:rPr>
                                                                        <w:rFonts w:hint="eastAsia" w:ascii="Times New Roman" w:hAnsi="Times New Roman" w:eastAsia="宋体" w:cs="Times New Roman"/>
                                                                        <w:color w:val="000000"/>
                                                                        <w:spacing w:val="0"/>
                                                                        <w:kern w:val="2"/>
                                                                        <w:sz w:val="21"/>
                                                                        <w:szCs w:val="21"/>
                                                                        <w:highlight w:val="none"/>
                                                                        <w:lang w:val="en-US" w:eastAsia="zh-CN" w:bidi="ar"/>
                                                                      </w:rPr>
                                                                      <w:t>厂综合污水处理站，处理达标后经</w:t>
                                                                    </w:r>
                                                                    <w:r>
                                                                      <w:rPr>
                                                                        <w:rFonts w:hint="eastAsia" w:cs="Times New Roman"/>
                                                                        <w:color w:val="000000"/>
                                                                        <w:spacing w:val="0"/>
                                                                        <w:kern w:val="2"/>
                                                                        <w:sz w:val="21"/>
                                                                        <w:szCs w:val="21"/>
                                                                        <w:highlight w:val="none"/>
                                                                        <w:lang w:val="en-US" w:eastAsia="zh-CN" w:bidi="ar"/>
                                                                      </w:rPr>
                                                                      <w:t>园区</w:t>
                                                                    </w:r>
                                                                    <w:r>
                                                                      <w:rPr>
                                                                        <w:rFonts w:hint="eastAsia" w:ascii="Times New Roman" w:hAnsi="Times New Roman" w:eastAsia="宋体" w:cs="Times New Roman"/>
                                                                        <w:color w:val="000000"/>
                                                                        <w:spacing w:val="0"/>
                                                                        <w:kern w:val="2"/>
                                                                        <w:sz w:val="21"/>
                                                                        <w:szCs w:val="21"/>
                                                                        <w:highlight w:val="none"/>
                                                                        <w:lang w:val="en-US" w:eastAsia="zh-CN" w:bidi="ar"/>
                                                                      </w:rPr>
                                                                      <w:t>污水管网排入</w:t>
                                                                    </w:r>
                                                                    <w:r>
                                                                      <w:rPr>
                                                                        <w:rFonts w:hint="eastAsia" w:cs="Times New Roman"/>
                                                                        <w:color w:val="000000"/>
                                                                        <w:spacing w:val="0"/>
                                                                        <w:kern w:val="2"/>
                                                                        <w:sz w:val="21"/>
                                                                        <w:szCs w:val="21"/>
                                                                        <w:highlight w:val="none"/>
                                                                        <w:lang w:val="en-US" w:eastAsia="zh-CN" w:bidi="ar"/>
                                                                      </w:rPr>
                                                                      <w:t>良村南污水处理厂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4" name="肘形连接符 72"/>
                                                              <wps:cNvCnPr/>
                                                              <wps:spPr>
                                                                <a:xfrm>
                                                                  <a:off x="15333" y="740376"/>
                                                                  <a:ext cx="799" cy="367"/>
                                                                </a:xfrm>
                                                                <a:prstGeom prst="bentConnector2">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05" name="流程图: 过程 147"/>
                                                              <wps:cNvSpPr/>
                                                              <wps:spPr>
                                                                <a:xfrm>
                                                                  <a:off x="8802" y="740547"/>
                                                                  <a:ext cx="1009" cy="887"/>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C78F081">
                                                                    <w:pPr>
                                                                      <w:keepNext w:val="0"/>
                                                                      <w:keepLines w:val="0"/>
                                                                      <w:pageBreakBefore w:val="0"/>
                                                                      <w:widowControl w:val="0"/>
                                                                      <w:kinsoku/>
                                                                      <w:wordWrap/>
                                                                      <w:overflowPunct/>
                                                                      <w:topLinePunct w:val="0"/>
                                                                      <w:bidi w:val="0"/>
                                                                      <w:adjustRightInd/>
                                                                      <w:snapToGrid/>
                                                                      <w:spacing w:line="360" w:lineRule="auto"/>
                                                                      <w:jc w:val="center"/>
                                                                      <w:textAlignment w:val="auto"/>
                                                                      <w:rPr>
                                                                        <w:rFonts w:hint="eastAsia"/>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新鲜水</w:t>
                                                                    </w:r>
                                                                  </w:p>
                                                                  <w:p w14:paraId="77102211">
                                                                    <w:pPr>
                                                                      <w:keepNext w:val="0"/>
                                                                      <w:keepLines w:val="0"/>
                                                                      <w:pageBreakBefore w:val="0"/>
                                                                      <w:widowControl w:val="0"/>
                                                                      <w:kinsoku/>
                                                                      <w:wordWrap/>
                                                                      <w:overflowPunct/>
                                                                      <w:topLinePunct w:val="0"/>
                                                                      <w:bidi w:val="0"/>
                                                                      <w:adjustRightInd/>
                                                                      <w:snapToGrid/>
                                                                      <w:spacing w:line="36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16.77</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6" name="流程图: 过程 48"/>
                                                              <wps:cNvSpPr/>
                                                              <wps:spPr>
                                                                <a:xfrm>
                                                                  <a:off x="12078" y="738488"/>
                                                                  <a:ext cx="636"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DC49C9B">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0.6</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7" name="流程图: 过程 16"/>
                                                              <wps:cNvSpPr/>
                                                              <wps:spPr>
                                                                <a:xfrm>
                                                                  <a:off x="12625" y="739404"/>
                                                                  <a:ext cx="2073"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2725141">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生产用水</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8" name="直接箭头连接符 44"/>
                                                              <wps:cNvCnPr>
                                                                <a:stCxn id="157" idx="3"/>
                                                              </wps:cNvCnPr>
                                                              <wps:spPr>
                                                                <a:xfrm>
                                                                  <a:off x="14689" y="738850"/>
                                                                  <a:ext cx="628" cy="8"/>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09" name="流程图: 过程 48"/>
                                                              <wps:cNvSpPr/>
                                                              <wps:spPr>
                                                                <a:xfrm>
                                                                  <a:off x="14635" y="738475"/>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8AE885F">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0.48</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0" name="肘形连接符 233"/>
                                                              <wps:cNvCnPr/>
                                                              <wps:spPr>
                                                                <a:xfrm flipV="1">
                                                                  <a:off x="11763" y="738850"/>
                                                                  <a:ext cx="881" cy="336"/>
                                                                </a:xfrm>
                                                                <a:prstGeom prst="bentConnector3">
                                                                  <a:avLst>
                                                                    <a:gd name="adj1" fmla="val 23836"/>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11" name="肘形连接符 241"/>
                                                              <wps:cNvCnPr>
                                                                <a:endCxn id="207" idx="1"/>
                                                              </wps:cNvCnPr>
                                                              <wps:spPr>
                                                                <a:xfrm>
                                                                  <a:off x="11787" y="739181"/>
                                                                  <a:ext cx="838" cy="482"/>
                                                                </a:xfrm>
                                                                <a:prstGeom prst="bentConnector3">
                                                                  <a:avLst>
                                                                    <a:gd name="adj1" fmla="val 22673"/>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12" name="流程图: 过程 48"/>
                                                              <wps:cNvSpPr/>
                                                              <wps:spPr>
                                                                <a:xfrm>
                                                                  <a:off x="12040" y="739294"/>
                                                                  <a:ext cx="80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9176798">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3" name="肘形连接符 249"/>
                                                              <wps:cNvCnPr/>
                                                              <wps:spPr>
                                                                <a:xfrm>
                                                                  <a:off x="11164" y="739491"/>
                                                                  <a:ext cx="4188" cy="1165"/>
                                                                </a:xfrm>
                                                                <a:prstGeom prst="bentConnector3">
                                                                  <a:avLst>
                                                                    <a:gd name="adj1" fmla="val -119"/>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14" name="流程图: 过程 48"/>
                                                              <wps:cNvSpPr/>
                                                              <wps:spPr>
                                                                <a:xfrm>
                                                                  <a:off x="14092" y="740307"/>
                                                                  <a:ext cx="715"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8CBC8B9">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1.15</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315" name="流程图: 过程 147"/>
                                                            <wps:cNvSpPr/>
                                                            <wps:spPr>
                                                              <a:xfrm>
                                                                <a:off x="8285" y="687844"/>
                                                                <a:ext cx="1691" cy="7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3BD8294">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进入甘氨酸亚铁产品0.14</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316" name="直接连接符 125"/>
                                                          <wps:cNvCnPr/>
                                                          <wps:spPr>
                                                            <a:xfrm>
                                                              <a:off x="9421" y="693478"/>
                                                              <a:ext cx="1692" cy="8"/>
                                                            </a:xfrm>
                                                            <a:prstGeom prst="line">
                                                              <a:avLst/>
                                                            </a:prstGeom>
                                                            <a:ln w="9525" cap="flat" cmpd="sng">
                                                              <a:solidFill>
                                                                <a:srgbClr val="000000"/>
                                                              </a:solidFill>
                                                              <a:prstDash val="solid"/>
                                                              <a:round/>
                                                              <a:headEnd type="none" w="med" len="med"/>
                                                              <a:tailEnd type="triangle" w="med" len="med"/>
                                                            </a:ln>
                                                            <a:effectLst/>
                                                          </wps:spPr>
                                                          <wps:bodyPr/>
                                                        </wps:wsp>
                                                        <wps:wsp>
                                                          <wps:cNvPr id="317" name="矩形 127"/>
                                                          <wps:cNvSpPr/>
                                                          <wps:spPr>
                                                            <a:xfrm>
                                                              <a:off x="7030" y="693218"/>
                                                              <a:ext cx="2403" cy="671"/>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BD1C6B">
                                                                <w:pPr>
                                                                  <w:keepNext w:val="0"/>
                                                                  <w:keepLines w:val="0"/>
                                                                  <w:pageBreakBefore w:val="0"/>
                                                                  <w:widowControl w:val="0"/>
                                                                  <w:kinsoku/>
                                                                  <w:wordWrap/>
                                                                  <w:overflowPunct/>
                                                                  <w:topLinePunct w:val="0"/>
                                                                  <w:bidi w:val="0"/>
                                                                  <w:adjustRightInd/>
                                                                  <w:snapToGrid/>
                                                                  <w:spacing w:line="240" w:lineRule="auto"/>
                                                                  <w:jc w:val="center"/>
                                                                  <w:textAlignment w:val="auto"/>
                                                                </w:pPr>
                                                                <w:r>
                                                                  <w:rPr>
                                                                    <w:rFonts w:hint="eastAsia"/>
                                                                    <w:color w:val="000000" w:themeColor="text1"/>
                                                                    <w:sz w:val="21"/>
                                                                    <w:szCs w:val="21"/>
                                                                    <w:lang w:eastAsia="zh-CN"/>
                                                                    <w14:textFill>
                                                                      <w14:solidFill>
                                                                        <w14:schemeClr w14:val="tx1"/>
                                                                      </w14:solidFill>
                                                                    </w14:textFill>
                                                                  </w:rPr>
                                                                  <w:t>循环冷却水系统（</w:t>
                                                                </w:r>
                                                                <w:r>
                                                                  <w:rPr>
                                                                    <w:rFonts w:hint="eastAsia"/>
                                                                    <w:color w:val="000000" w:themeColor="text1"/>
                                                                    <w:sz w:val="21"/>
                                                                    <w:szCs w:val="21"/>
                                                                    <w:lang w:val="en-US" w:eastAsia="zh-CN"/>
                                                                    <w14:textFill>
                                                                      <w14:solidFill>
                                                                        <w14:schemeClr w14:val="tx1"/>
                                                                      </w14:solidFill>
                                                                    </w14:textFill>
                                                                  </w:rPr>
                                                                  <w:t>-4.32）</w:t>
                                                                </w:r>
                                                              </w:p>
                                                            </w:txbxContent>
                                                          </wps:txbx>
                                                          <wps:bodyPr upright="1"/>
                                                        </wps:wsp>
                                                        <wps:wsp>
                                                          <wps:cNvPr id="318" name="直接连接符 128"/>
                                                          <wps:cNvCnPr/>
                                                          <wps:spPr>
                                                            <a:xfrm flipV="1">
                                                              <a:off x="5618" y="693439"/>
                                                              <a:ext cx="1429" cy="8"/>
                                                            </a:xfrm>
                                                            <a:prstGeom prst="line">
                                                              <a:avLst/>
                                                            </a:prstGeom>
                                                            <a:ln w="9525" cap="flat" cmpd="sng">
                                                              <a:solidFill>
                                                                <a:srgbClr val="000000"/>
                                                              </a:solidFill>
                                                              <a:prstDash val="solid"/>
                                                              <a:round/>
                                                              <a:headEnd type="none" w="med" len="med"/>
                                                              <a:tailEnd type="triangle" w="med" len="med"/>
                                                            </a:ln>
                                                            <a:effectLst/>
                                                          </wps:spPr>
                                                          <wps:bodyPr/>
                                                        </wps:wsp>
                                                      </wpg:grpSp>
                                                      <wps:wsp>
                                                        <wps:cNvPr id="319" name="流程图: 过程 147"/>
                                                        <wps:cNvSpPr/>
                                                        <wps:spPr>
                                                          <a:xfrm>
                                                            <a:off x="3852" y="692020"/>
                                                            <a:ext cx="2040" cy="518"/>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0AB90C2">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20%硫酸带入0.12</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320" name="肘形连接符 31"/>
                                                    <wps:cNvCnPr/>
                                                    <wps:spPr>
                                                      <a:xfrm flipH="1">
                                                        <a:off x="6390" y="693588"/>
                                                        <a:ext cx="1199" cy="266"/>
                                                      </a:xfrm>
                                                      <a:prstGeom prst="bentConnector4">
                                                        <a:avLst>
                                                          <a:gd name="adj1" fmla="val -31276"/>
                                                          <a:gd name="adj2" fmla="val 240977"/>
                                                        </a:avLst>
                                                      </a:prstGeom>
                                                      <a:ln w="9525">
                                                        <a:solidFill>
                                                          <a:schemeClr val="tx1"/>
                                                        </a:solidFill>
                                                        <a:prstDash val="dash"/>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s:wsp>
                                                  <wps:cNvPr id="321" name="流程图: 过程 16"/>
                                                  <wps:cNvSpPr/>
                                                  <wps:spPr>
                                                    <a:xfrm>
                                                      <a:off x="5257" y="673826"/>
                                                      <a:ext cx="2273"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41A0452">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车间地面冲洗</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-0.4</w:t>
                                                        </w:r>
                                                        <w:r>
                                                          <w:rPr>
                                                            <w:rFonts w:hint="eastAsia"/>
                                                            <w:color w:val="000000" w:themeColor="text1"/>
                                                            <w:sz w:val="21"/>
                                                            <w:szCs w:val="21"/>
                                                            <w:lang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2" name="直接箭头连接符 52"/>
                                                  <wps:cNvCnPr/>
                                                  <wps:spPr>
                                                    <a:xfrm>
                                                      <a:off x="3901" y="674045"/>
                                                      <a:ext cx="1368" cy="17"/>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23" name="流程图: 过程 33"/>
                                                  <wps:cNvSpPr/>
                                                  <wps:spPr>
                                                    <a:xfrm>
                                                      <a:off x="4056" y="673695"/>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2243C2A">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4" name="直接箭头连接符 52"/>
                                                  <wps:cNvCnPr/>
                                                  <wps:spPr>
                                                    <a:xfrm flipV="1">
                                                      <a:off x="7541" y="674039"/>
                                                      <a:ext cx="1869" cy="13"/>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325" name="流程图: 过程 16"/>
                                                  <wps:cNvSpPr/>
                                                  <wps:spPr>
                                                    <a:xfrm>
                                                      <a:off x="5331" y="675666"/>
                                                      <a:ext cx="2273"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F86BD77">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生活用水</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-0.31</w:t>
                                                        </w:r>
                                                        <w:r>
                                                          <w:rPr>
                                                            <w:rFonts w:hint="eastAsia"/>
                                                            <w:color w:val="000000" w:themeColor="text1"/>
                                                            <w:sz w:val="21"/>
                                                            <w:szCs w:val="21"/>
                                                            <w:lang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26" name="直接箭头连接符 52"/>
                                                  <wps:cNvCnPr/>
                                                  <wps:spPr>
                                                    <a:xfrm>
                                                      <a:off x="3894" y="675988"/>
                                                      <a:ext cx="1400" cy="18"/>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grpSp>
                                          </wpg:grpSp>
                                        </wpg:grpSp>
                                        <wps:wsp>
                                          <wps:cNvPr id="328" name="流程图: 过程 32"/>
                                          <wps:cNvSpPr/>
                                          <wps:spPr>
                                            <a:xfrm>
                                              <a:off x="7737" y="679504"/>
                                              <a:ext cx="889"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08CD3FD">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420</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331" name="直接箭头连接符 52"/>
                                      <wps:cNvCnPr/>
                                      <wps:spPr>
                                        <a:xfrm flipV="1">
                                          <a:off x="8687" y="677305"/>
                                          <a:ext cx="540" cy="179"/>
                                        </a:xfrm>
                                        <a:prstGeom prst="straightConnector1">
                                          <a:avLst/>
                                        </a:prstGeom>
                                        <a:ln w="12700">
                                          <a:solidFill>
                                            <a:schemeClr val="tx1"/>
                                          </a:solidFill>
                                          <a:prstDash val="dash"/>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s:wsp>
                                    <wps:cNvPr id="335" name="直接箭头连接符 335"/>
                                    <wps:cNvCnPr/>
                                    <wps:spPr>
                                      <a:xfrm flipH="1">
                                        <a:off x="7451" y="677866"/>
                                        <a:ext cx="6" cy="1183"/>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337" name="流程图: 过程 33"/>
                                  <wps:cNvSpPr/>
                                  <wps:spPr>
                                    <a:xfrm>
                                      <a:off x="4073" y="681713"/>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86A5F92">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1.54</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339" name="流程图: 过程 33"/>
                                <wps:cNvSpPr/>
                                <wps:spPr>
                                  <a:xfrm>
                                    <a:off x="7963" y="681785"/>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02A1AE9">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1.23</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360" name="直接箭头连接符 52"/>
                              <wps:cNvCnPr/>
                              <wps:spPr>
                                <a:xfrm>
                                  <a:off x="4626" y="672715"/>
                                  <a:ext cx="1368" cy="17"/>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12.45pt;margin-top:2.25pt;height:301.3pt;width:401.1pt;z-index:251670528;mso-width-relative:page;mso-height-relative:page;" coordorigin="3586,669768" coordsize="8022,6026" o:gfxdata="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">
                      <o:lock v:ext="edit" aspectratio="f"/>
                      <v:group id="_x0000_s1026" o:spid="_x0000_s1026" o:spt="203" style="position:absolute;left:3586;top:669768;height:6026;width:8022;" coordorigin="2765,676391" coordsize="8022,6026" o:gfxdata="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2NErw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2765;top:676391;height:6026;width:8022;" coordorigin="2765,676391" coordsize="8022,6026" o:gfxdata="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QRDWL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2765;top:676391;height:6026;width:8022;" coordorigin="2765,676407" coordsize="8022,6026" o:gfxdata="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OlwRi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2765;top:676407;height:6026;width:8022;" coordorigin="2765,676407" coordsize="8022,6026" o:gfxdata="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rAJh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2765;top:676407;height:6026;width:8022;" coordorigin="2765,676407" coordsize="8022,6026" o:gfxdata="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uMjmNvAAAANwAAAAPAAAAAAAAAAEAIAAAACIAAABkcnMvZG93bnJldi54bWxQ&#10;SwECFAAUAAAACACHTuJAMy8FnjsAAAA5AAAAFQAAAAAAAAABACAAAAALAQAAZHJzL2dyb3Vwc2hh&#10;cGV4bWwueG1sUEsFBgAAAAAGAAYAYAEAAMgDAAAAAA==&#10;">
                                <o:lock v:ext="edit" aspectratio="f"/>
                                <v:shape id="流程图: 过程 48" o:spid="_x0000_s1026" o:spt="109" type="#_x0000_t109" style="position:absolute;left:8515;top:678822;height:464;width:715;v-text-anchor:middle;" filled="f" stroked="f" coordsize="21600,21600" o:gfxdata="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RrvO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46AF5F5F">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2.88</w:t>
                                        </w:r>
                                      </w:p>
                                    </w:txbxContent>
                                  </v:textbox>
                                </v:shape>
                                <v:group id="_x0000_s1026" o:spid="_x0000_s1026" o:spt="203" style="position:absolute;left:2765;top:676407;height:6026;width:8022;" coordorigin="2765,676407" coordsize="8022,6026" o:gfxdata="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60QbN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2765;top:676407;height:6027;width:8022;" coordorigin="2857,669744" coordsize="8022,6027" o:gfxdata="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xGnvwAAANwAAAAPAAAAAAAAAAEAIAAAACIAAABkcnMvZG93bnJldi54&#10;bWxQSwECFAAUAAAACACHTuJAMy8FnjsAAAA5AAAAFQAAAAAAAAABACAAAAAOAQAAZHJzL2dyb3Vw&#10;c2hhcGV4bWwueG1sUEsFBgAAAAAGAAYAYAEAAMsDAAAAAA==&#10;">
                                    <o:lock v:ext="edit" aspectratio="f"/>
                                    <v:shape id="直接箭头连接符 52" o:spid="_x0000_s1026" o:spt="32" type="#_x0000_t32" style="position:absolute;left:7631;top:675572;flip:y;height:3;width:1795;" filled="f" stroked="t" coordsize="21600,21600" o:gfxdata="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hQ1p74A&#10;AADcAAAADwAAAAAAAAABACAAAAAiAAAAZHJzL2Rvd25yZXYueG1sUEsBAhQAFAAAAAgAh07iQDMv&#10;BZ47AAAAOQAAABAAAAAAAAAAAQAgAAAADQEAAGRycy9zaGFwZXhtbC54bWxQSwUGAAAAAAYABgBb&#10;AQAAtwMAAAAA&#10;">
                                      <v:fill on="f" focussize="0,0"/>
                                      <v:stroke weight="1pt" color="#000000 [3213]" miterlimit="8" joinstyle="miter" endarrow="block"/>
                                      <v:imagedata o:title=""/>
                                      <o:lock v:ext="edit" aspectratio="f"/>
                                    </v:shape>
                                    <v:group id="组合 177" o:spid="_x0000_s1026" o:spt="203" style="position:absolute;left:2857;top:669744;height:6027;width:8022;" coordorigin="2857,670157" coordsize="8022,6027" o:gfxdata="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7OLEi+AAAA3AAAAA8AAAAAAAAAAQAgAAAAIgAAAGRycy9kb3ducmV2Lnht&#10;bFBLAQIUABQAAAAIAIdO4kAzLwWeOwAAADkAAAAVAAAAAAAAAAEAIAAAAA0BAABkcnMvZ3JvdXBz&#10;aGFwZXhtbC54bWxQSwUGAAAAAAYABgBgAQAAygMAAAAA&#10;">
                                      <o:lock v:ext="edit" aspectratio="f"/>
                                      <v:shape id="流程图: 过程 33" o:spid="_x0000_s1026" o:spt="109" type="#_x0000_t109" style="position:absolute;left:4183;top:672720;height:472;width:889;v-text-anchor:middle;" filled="f" stroked="f" coordsize="21600,21600" o:gfxdata="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XnZ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2AF058D5">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1.00</w:t>
                                              </w:r>
                                            </w:p>
                                          </w:txbxContent>
                                        </v:textbox>
                                      </v:shape>
                                      <v:group id="组合 164" o:spid="_x0000_s1026" o:spt="203" style="position:absolute;left:2857;top:670157;height:6027;width:8022;" coordorigin="2518,670157" coordsize="8022,6027" o:gfxdata="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wz4PWvAAAANwAAAAPAAAAAAAAAAEAIAAAACIAAABkcnMvZG93bnJldi54bWxQ&#10;SwECFAAUAAAACACHTuJAMy8FnjsAAAA5AAAAFQAAAAAAAAABACAAAAALAQAAZHJzL2dyb3Vwc2hh&#10;cGV4bWwueG1sUEsFBgAAAAAGAAYAYAEAAMgDAAAAAA==&#10;">
                                        <o:lock v:ext="edit" aspectratio="f"/>
                                        <v:shape id="流程图: 过程 33" o:spid="_x0000_s1026" o:spt="109" type="#_x0000_t109" style="position:absolute;left:7774;top:673769;height:472;width:889;v-text-anchor:middle;" filled="f" stroked="f" coordsize="21600,21600" o:gfxdata="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r7tq7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350CDCE3">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1.6</w:t>
                                                </w:r>
                                              </w:p>
                                            </w:txbxContent>
                                          </v:textbox>
                                        </v:shape>
                                        <v:group id="组合 163" o:spid="_x0000_s1026" o:spt="203" style="position:absolute;left:2518;top:670157;height:6027;width:8022;" coordorigin="2857,670157" coordsize="8022,6027" o:gfxdata="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A7bP/3uQAAANwAAAAPAAAAAAAAAAEAIAAAACIAAABkcnMvZG93bnJldi54bWxQSwEC&#10;FAAUAAAACACHTuJAMy8FnjsAAAA5AAAAFQAAAAAAAAABACAAAAAIAQAAZHJzL2dyb3Vwc2hhcGV4&#10;bWwueG1sUEsFBgAAAAAGAAYAYAEAAMUDAAAAAA==&#10;">
                                          <o:lock v:ext="edit" aspectratio="f"/>
                                          <v:group id="组合 72" o:spid="_x0000_s1026" o:spt="203" style="position:absolute;left:2857;top:670157;height:5865;width:8022;" coordorigin="2702,688850" coordsize="8022,5865" o:gfxdata="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IFpsvwAAANwAAAAPAAAAAAAAAAEAIAAAACIAAABkcnMvZG93bnJldi54&#10;bWxQSwECFAAUAAAACACHTuJAMy8FnjsAAAA5AAAAFQAAAAAAAAABACAAAAAOAQAAZHJzL2dyb3Vw&#10;c2hhcGV4bWwueG1sUEsFBgAAAAAGAAYAYAEAAMsDAAAAAA==&#10;">
                                            <o:lock v:ext="edit" aspectratio="f"/>
                                            <v:group id="组合 67" o:spid="_x0000_s1026" o:spt="203" style="position:absolute;left:2702;top:688850;height:5865;width:8022;" coordorigin="2702,688850" coordsize="8022,5865" o:gfxdata="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TyxBu+AAAA3AAAAA8AAAAAAAAAAQAgAAAAIgAAAGRycy9kb3ducmV2Lnht&#10;bFBLAQIUABQAAAAIAIdO4kAzLwWeOwAAADkAAAAVAAAAAAAAAAEAIAAAAA0BAABkcnMvZ3JvdXBz&#10;aGFwZXhtbC54bWxQSwUGAAAAAAYABgBgAQAAygMAAAAA&#10;">
                                              <o:lock v:ext="edit" aspectratio="f"/>
                                              <v:shape id="肘形连接符 250" o:spid="_x0000_s1026" o:spt="33" type="#_x0000_t33" style="position:absolute;left:5821;top:692046;flip:y;height:237;width:546;" filled="f" stroked="t" coordsize="21600,21600" o:gfxdata="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hgTMvQAA&#10;ANw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group id="组合 66" o:spid="_x0000_s1026" o:spt="203" style="position:absolute;left:2702;top:688850;height:5865;width:8022;" coordorigin="2702,688850" coordsize="8022,5865" o:gfxdata="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EV/n0vwAAANwAAAAPAAAAAAAAAAEAIAAAACIAAABkcnMvZG93bnJldi54&#10;bWxQSwECFAAUAAAACACHTuJAMy8FnjsAAAA5AAAAFQAAAAAAAAABACAAAAAOAQAAZHJzL2dyb3Vw&#10;c2hhcGV4bWwueG1sUEsFBgAAAAAGAAYAYAEAAMsDAAAAAA==&#10;">
                                                <o:lock v:ext="edit" aspectratio="f"/>
                                                <v:group id="组合 14" o:spid="_x0000_s1026" o:spt="203" style="position:absolute;left:2702;top:688850;height:5865;width:8022;" coordorigin="4565,688887" coordsize="8022,5865" o:gfxdata="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rG1xvvwAAANwAAAAPAAAAAAAAAAEAIAAAACIAAABkcnMvZG93bnJldi54&#10;bWxQSwECFAAUAAAACACHTuJAMy8FnjsAAAA5AAAAFQAAAAAAAAABACAAAAAOAQAAZHJzL2dyb3Vw&#10;c2hhcGV4bWwueG1sUEsFBgAAAAAGAAYAYAEAAMsDAAAAAA==&#10;">
                                                  <o:lock v:ext="edit" aspectratio="f"/>
                                                  <v:group id="组合 7" o:spid="_x0000_s1026" o:spt="203" style="position:absolute;left:4565;top:688887;height:5865;width:8022;" coordorigin="2427,687232" coordsize="8022,5865" o:gfxdata="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ycIYvwAAANwAAAAPAAAAAAAAAAEAIAAAACIAAABkcnMvZG93bnJldi54&#10;bWxQSwECFAAUAAAACACHTuJAMy8FnjsAAAA5AAAAFQAAAAAAAAABACAAAAAOAQAAZHJzL2dyb3Vw&#10;c2hhcGV4bWwueG1sUEsFBgAAAAAGAAYAYAEAAMsDAAAAAA==&#10;">
                                                    <o:lock v:ext="edit" aspectratio="f"/>
                                                    <v:group id="组合 703" o:spid="_x0000_s1026" o:spt="203" style="position:absolute;left:2427;top:687232;height:5865;width:8022;" coordorigin="8802,738475" coordsize="8022,5865" o:gfxdata="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0hWeDvwAAANwAAAAPAAAAAAAAAAEAIAAAACIAAABkcnMvZG93bnJldi54&#10;bWxQSwECFAAUAAAACACHTuJAMy8FnjsAAAA5AAAAFQAAAAAAAAABACAAAAAOAQAAZHJzL2dyb3Vw&#10;c2hhcGV4bWwueG1sUEsFBgAAAAAGAAYAYAEAAMsDAAAAAA==&#10;">
                                                      <o:lock v:ext="edit" aspectratio="f"/>
                                                      <v:shape id="流程图: 过程 9" o:spid="_x0000_s1026" o:spt="109" type="#_x0000_t109" style="position:absolute;left:10576;top:738920;height:532;width:1187;v-text-anchor:middle;" filled="f" stroked="t" coordsize="21600,21600" o:gfxdata="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kV9QrsAAADc&#10;AAAADwAAAAAAAAABACAAAAAiAAAAZHJzL2Rvd25yZXYueG1sUEsBAhQAFAAAAAgAh07iQDMvBZ47&#10;AAAAOQAAABAAAAAAAAAAAQAgAAAACgEAAGRycy9zaGFwZXhtbC54bWxQSwUGAAAAAAYABgBbAQAA&#10;tAMAAAAA&#10;">
                                                        <v:fill on="f" focussize="0,0"/>
                                                        <v:stroke color="#000000 [3213]" miterlimit="8" joinstyle="miter"/>
                                                        <v:imagedata o:title=""/>
                                                        <o:lock v:ext="edit" aspectratio="f"/>
                                                        <v:textbox>
                                                          <w:txbxContent>
                                                            <w:p w14:paraId="4573E869">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宋体"/>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软水制备</w:t>
                                                              </w:r>
                                                            </w:p>
                                                          </w:txbxContent>
                                                        </v:textbox>
                                                      </v:shape>
                                                      <v:shape id="流程图: 过程 10" o:spid="_x0000_s1026" o:spt="109" type="#_x0000_t109" style="position:absolute;left:11207;top:741109;height:530;width:3329;v-text-anchor:middle;" filled="f" stroked="t" coordsize="21600,21600" o:gfxdata="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CdjZvQAA&#10;ANwAAAAPAAAAAAAAAAEAIAAAACIAAABkcnMvZG93bnJldi54bWxQSwECFAAUAAAACACHTuJAMy8F&#10;njsAAAA5AAAAEAAAAAAAAAABACAAAAAMAQAAZHJzL3NoYXBleG1sLnhtbFBLBQYAAAAABgAGAFsB&#10;AAC2AwAAAAA=&#10;">
                                                        <v:fill on="f" focussize="0,0"/>
                                                        <v:stroke color="#000000 [3213]" miterlimit="8" joinstyle="miter"/>
                                                        <v:imagedata o:title=""/>
                                                        <o:lock v:ext="edit" aspectratio="f"/>
                                                        <v:textbox>
                                                          <w:txbxContent>
                                                            <w:p w14:paraId="376CA60F">
                                                              <w:pPr>
                                                                <w:widowControl/>
                                                                <w:spacing w:line="240" w:lineRule="auto"/>
                                                                <w:ind w:firstLine="0" w:firstLineChars="0"/>
                                                                <w:jc w:val="center"/>
                                                                <w:rPr>
                                                                  <w:rFonts w:hint="eastAsia"/>
                                                                  <w:lang w:eastAsia="zh-CN"/>
                                                                </w:rPr>
                                                              </w:pPr>
                                                              <w:r>
                                                                <w:rPr>
                                                                  <w:rFonts w:hint="eastAsia"/>
                                                                  <w:color w:val="000000" w:themeColor="text1"/>
                                                                  <w:sz w:val="21"/>
                                                                  <w:szCs w:val="21"/>
                                                                  <w:lang w:val="en-US" w:eastAsia="zh-CN"/>
                                                                  <w14:textFill>
                                                                    <w14:solidFill>
                                                                      <w14:schemeClr w14:val="tx1"/>
                                                                    </w14:solidFill>
                                                                  </w14:textFill>
                                                                </w:rPr>
                                                                <w:t>废气治理</w:t>
                                                              </w:r>
                                                              <w:r>
                                                                <w:rPr>
                                                                  <w:rFonts w:hint="eastAsia"/>
                                                                  <w:color w:val="000000" w:themeColor="text1"/>
                                                                  <w:sz w:val="21"/>
                                                                  <w:szCs w:val="21"/>
                                                                  <w:lang w:eastAsia="zh-CN"/>
                                                                  <w14:textFill>
                                                                    <w14:solidFill>
                                                                      <w14:schemeClr w14:val="tx1"/>
                                                                    </w14:solidFill>
                                                                  </w14:textFill>
                                                                </w:rPr>
                                                                <w:t>系统</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r>
                                                                <w:rPr>
                                                                  <w:rFonts w:hint="eastAsia" w:cs="Times New Roman"/>
                                                                  <w:color w:val="0000FF"/>
                                                                  <w:sz w:val="21"/>
                                                                  <w:szCs w:val="21"/>
                                                                  <w:lang w:val="en-US" w:eastAsia="zh-CN"/>
                                                                </w:rPr>
                                                                <w:t>-2.1</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p>
                                                          </w:txbxContent>
                                                        </v:textbox>
                                                      </v:shape>
                                                      <v:shape id="直接箭头连接符 15" o:spid="_x0000_s1026" o:spt="32" type="#_x0000_t32" style="position:absolute;left:8868;top:740954;height:0;width:968;" filled="f" stroked="t" coordsize="21600,21600" o:gfxdata="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qiPcbsAAADc&#10;AAAADwAAAAAAAAABACAAAAAiAAAAZHJzL2Rvd25yZXYueG1sUEsBAhQAFAAAAAgAh07iQDMvBZ47&#10;AAAAOQAAABAAAAAAAAAAAQAgAAAACgEAAGRycy9zaGFwZXhtbC54bWxQSwUGAAAAAAYABgBbAQAA&#10;tAMAAAAA&#10;">
                                                        <v:fill on="f" focussize="0,0"/>
                                                        <v:stroke weight="1pt" color="#000000 [3213]" miterlimit="8" joinstyle="miter" endarrow="block"/>
                                                        <v:imagedata o:title=""/>
                                                        <o:lock v:ext="edit" aspectratio="f"/>
                                                      </v:shape>
                                                      <v:shape id="流程图: 过程 16" o:spid="_x0000_s1026" o:spt="109" type="#_x0000_t109" style="position:absolute;left:12644;top:738591;height:518;width:2045;v-text-anchor:middle;" filled="f" stroked="t" coordsize="21600,21600" o:gfxdata="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KmQgK/&#10;AAAA3AAAAA8AAAAAAAAAAQAgAAAAIgAAAGRycy9kb3ducmV2LnhtbFBLAQIUABQAAAAIAIdO4kAz&#10;LwWeOwAAADkAAAAQAAAAAAAAAAEAIAAAAA4BAABkcnMvc2hhcGV4bWwueG1sUEsFBgAAAAAGAAYA&#10;WwEAALgDAAAAAA==&#10;">
                                                        <v:fill on="f" focussize="0,0"/>
                                                        <v:stroke color="#000000 [3213]" miterlimit="8" joinstyle="miter"/>
                                                        <v:imagedata o:title=""/>
                                                        <o:lock v:ext="edit" aspectratio="f"/>
                                                        <v:textbox>
                                                          <w:txbxContent>
                                                            <w:p w14:paraId="5FC2452D">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设备冲洗（</w:t>
                                                              </w:r>
                                                              <w:r>
                                                                <w:rPr>
                                                                  <w:rFonts w:hint="eastAsia"/>
                                                                  <w:color w:val="000000" w:themeColor="text1"/>
                                                                  <w:sz w:val="21"/>
                                                                  <w:szCs w:val="21"/>
                                                                  <w:lang w:val="en-US" w:eastAsia="zh-CN"/>
                                                                  <w14:textFill>
                                                                    <w14:solidFill>
                                                                      <w14:schemeClr w14:val="tx1"/>
                                                                    </w14:solidFill>
                                                                  </w14:textFill>
                                                                </w:rPr>
                                                                <w:t>-0.12</w:t>
                                                              </w:r>
                                                              <w:r>
                                                                <w:rPr>
                                                                  <w:rFonts w:hint="eastAsia"/>
                                                                  <w:color w:val="000000" w:themeColor="text1"/>
                                                                  <w:sz w:val="21"/>
                                                                  <w:szCs w:val="21"/>
                                                                  <w:lang w:eastAsia="zh-CN"/>
                                                                  <w14:textFill>
                                                                    <w14:solidFill>
                                                                      <w14:schemeClr w14:val="tx1"/>
                                                                    </w14:solidFill>
                                                                  </w14:textFill>
                                                                </w:rPr>
                                                                <w:t>）</w:t>
                                                              </w:r>
                                                            </w:p>
                                                          </w:txbxContent>
                                                        </v:textbox>
                                                      </v:shape>
                                                      <v:shape id="直接箭头连接符 17" o:spid="_x0000_s1026" o:spt="32" type="#_x0000_t32" style="position:absolute;left:9833;top:739192;height:13;width:735;" filled="f" stroked="t" coordsize="21600,21600" o:gfxdata="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E2tJ2/&#10;AAAA3AAAAA8AAAAAAAAAAQAgAAAAIgAAAGRycy9kb3ducmV2LnhtbFBLAQIUABQAAAAIAIdO4kAz&#10;LwWeOwAAADkAAAAQAAAAAAAAAAEAIAAAAA4BAABkcnMvc2hhcGV4bWwueG1sUEsFBgAAAAAGAAYA&#10;WwEAALgDAAAAAA==&#10;">
                                                        <v:fill on="f" focussize="0,0"/>
                                                        <v:stroke weight="1pt" color="#000000 [3213]" miterlimit="8" joinstyle="miter" endarrow="block"/>
                                                        <v:imagedata o:title=""/>
                                                        <o:lock v:ext="edit" aspectratio="f"/>
                                                      </v:shape>
                                                      <v:line id="直接连接符 18" o:spid="_x0000_s1026" o:spt="20" style="position:absolute;left:9842;top:739201;height:5123;width:13;" filled="f" stroked="t" coordsize="21600,21600" o:gfxdata="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PDZdW/&#10;AAAA3AAAAA8AAAAAAAAAAQAgAAAAIgAAAGRycy9kb3ducmV2LnhtbFBLAQIUABQAAAAIAIdO4kAz&#10;LwWeOwAAADkAAAAQAAAAAAAAAAEAIAAAAA4BAABkcnMvc2hhcGV4bWwueG1sUEsFBgAAAAAGAAYA&#10;WwEAALgDAAAAAA==&#10;">
                                                        <v:fill on="f" focussize="0,0"/>
                                                        <v:stroke weight="1pt" color="#000000 [3213]" miterlimit="8" joinstyle="miter"/>
                                                        <v:imagedata o:title=""/>
                                                        <o:lock v:ext="edit" aspectratio="f"/>
                                                      </v:line>
                                                      <v:shape id="流程图: 过程 27" o:spid="_x0000_s1026" o:spt="109" type="#_x0000_t109" style="position:absolute;left:9809;top:738772;height:532;width:728;v-text-anchor:middle;" filled="f" stroked="f" coordsize="21600,21600" o:gfxdata="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s6TP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1B30E85B">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5.75</w:t>
                                                              </w:r>
                                                            </w:p>
                                                          </w:txbxContent>
                                                        </v:textbox>
                                                      </v:shape>
                                                      <v:shape id="肘形连接符 31" o:spid="_x0000_s1026" o:spt="35" type="#_x0000_t35" style="position:absolute;left:13388;top:741419;flip:x;height:266;width:1199;" filled="f" stroked="t" coordsize="21600,21600" o:gfxdata="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KdHq/&#10;AAAA3AAAAA8AAAAAAAAAAQAgAAAAIgAAAGRycy9kb3ducmV2LnhtbFBLAQIUABQAAAAIAIdO4kAz&#10;LwWeOwAAADkAAAAQAAAAAAAAAAEAIAAAAA4BAABkcnMvc2hhcGV4bWwueG1sUEsFBgAAAAAGAAYA&#10;WwEAALgDAAAAAA==&#10;" adj="-6756,52051">
                                                        <v:fill on="f" focussize="0,0"/>
                                                        <v:stroke color="#000000 [3213]" miterlimit="8" joinstyle="miter" dashstyle="dash" endarrow="block"/>
                                                        <v:imagedata o:title=""/>
                                                        <o:lock v:ext="edit" aspectratio="f"/>
                                                      </v:shape>
                                                      <v:shape id="流程图: 过程 32" o:spid="_x0000_s1026" o:spt="109" type="#_x0000_t109" style="position:absolute;left:13013;top:743485;height:464;width:889;v-text-anchor:middle;" filled="f" stroked="f" coordsize="21600,21600" o:gfxdata="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PLZ8j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6961A731">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432</w:t>
                                                              </w:r>
                                                            </w:p>
                                                          </w:txbxContent>
                                                        </v:textbox>
                                                      </v:shape>
                                                      <v:shape id="流程图: 过程 33" o:spid="_x0000_s1026" o:spt="109" type="#_x0000_t109" style="position:absolute;left:10121;top:742697;height:472;width:889;v-text-anchor:middle;" filled="f" stroked="f" coordsize="21600,21600" o:gfxdata="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GE6uL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7D911E38">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6.48</w:t>
                                                              </w:r>
                                                            </w:p>
                                                          </w:txbxContent>
                                                        </v:textbox>
                                                      </v:shape>
                                                      <v:line id="直接连接符 36" o:spid="_x0000_s1026" o:spt="20" style="position:absolute;left:15329;top:738843;height:5497;width:26;" filled="f" stroked="t" coordsize="21600,21600" o:gfxdata="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1n96S8AAAA&#10;3AAAAA8AAAAAAAAAAQAgAAAAIgAAAGRycy9kb3ducmV2LnhtbFBLAQIUABQAAAAIAIdO4kAzLwWe&#10;OwAAADkAAAAQAAAAAAAAAAEAIAAAAAsBAABkcnMvc2hhcGV4bWwueG1sUEsFBgAAAAAGAAYAWwEA&#10;ALUDAAAAAA==&#10;">
                                                        <v:fill on="f" focussize="0,0"/>
                                                        <v:stroke weight="1pt" color="#000000 [3213]" miterlimit="8" joinstyle="miter"/>
                                                        <v:imagedata o:title=""/>
                                                        <o:lock v:ext="edit" aspectratio="f"/>
                                                      </v:line>
                                                      <v:shape id="直接箭头连接符 52" o:spid="_x0000_s1026" o:spt="32" type="#_x0000_t32" style="position:absolute;left:14582;top:741259;flip:y;height:8;width:783;" filled="f" stroked="t" coordsize="21600,21600" o:gfxdata="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GXzDvQAA&#10;ANw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shape id="流程图: 过程 48" o:spid="_x0000_s1026" o:spt="109" type="#_x0000_t109" style="position:absolute;left:13360;top:740056;height:464;width:820;v-text-anchor:middle;" filled="f" stroked="f" coordsize="21600,21600" o:gfxdata="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FjONa2AAAA3AAAAA8A&#10;AAAAAAAAAQAgAAAAIgAAAGRycy9kb3ducmV2LnhtbFBLAQIUABQAAAAIAIdO4kAzLwWeOwAAADkA&#10;AAAQAAAAAAAAAAEAIAAAAAUBAABkcnMvc2hhcGV4bWwueG1sUEsFBgAAAAAGAAYAWwEAAK8DAAAA&#10;AA==&#10;">
                                                        <v:fill on="f" focussize="0,0"/>
                                                        <v:stroke on="f" weight="1pt" miterlimit="8" joinstyle="miter"/>
                                                        <v:imagedata o:title=""/>
                                                        <o:lock v:ext="edit" aspectratio="f"/>
                                                        <v:textbox>
                                                          <w:txbxContent>
                                                            <w:p w14:paraId="7C0F1FC3">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3.86</w:t>
                                                              </w:r>
                                                            </w:p>
                                                          </w:txbxContent>
                                                        </v:textbox>
                                                      </v:shape>
                                                      <v:shape id="流程图: 过程 51" o:spid="_x0000_s1026" o:spt="109" type="#_x0000_t109" style="position:absolute;left:14047;top:742660;height:464;width:820;v-text-anchor:middle;" filled="f" stroked="f" coordsize="21600,21600" o:gfxdata="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eL51N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67351A7E">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2.16</w:t>
                                                              </w:r>
                                                            </w:p>
                                                          </w:txbxContent>
                                                        </v:textbox>
                                                      </v:shape>
                                                      <v:shape id="流程图: 过程 73" o:spid="_x0000_s1026" o:spt="109" type="#_x0000_t109" style="position:absolute;left:15378;top:739976;height:464;width:820;v-text-anchor:middle;" filled="f" stroked="f" coordsize="21600,21600" o:gfxdata="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v0DOrsAAADc&#10;AAAADwAAAAAAAAABACAAAAAiAAAAZHJzL2Rvd25yZXYueG1sUEsBAhQAFAAAAAgAh07iQDMvBZ47&#10;AAAAOQAAABAAAAAAAAAAAQAgAAAACgEAAGRycy9zaGFwZXhtbC54bWxQSwUGAAAAAAYABgBbAQAA&#10;tAMAAAAA&#10;">
                                                        <v:fill on="f" focussize="0,0"/>
                                                        <v:stroke on="f" weight="1pt" miterlimit="8" joinstyle="miter"/>
                                                        <v:imagedata o:title=""/>
                                                        <o:lock v:ext="edit" aspectratio="f"/>
                                                        <v:textbox>
                                                          <w:txbxContent>
                                                            <w:p w14:paraId="3BCE0819">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9.5</w:t>
                                                              </w:r>
                                                            </w:p>
                                                          </w:txbxContent>
                                                        </v:textbox>
                                                      </v:shape>
                                                      <v:shape id="流程图: 过程 71" o:spid="_x0000_s1026" o:spt="109" type="#_x0000_t109" style="position:absolute;left:15442;top:740743;height:2187;width:1382;v-text-anchor:middle;" filled="f" stroked="t" coordsize="21600,21600" o:gfxdata="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T4/S8AAAA&#10;3AAAAA8AAAAAAAAAAQAgAAAAIgAAAGRycy9kb3ducmV2LnhtbFBLAQIUABQAAAAIAIdO4kAzLwWe&#10;OwAAADkAAAAQAAAAAAAAAAEAIAAAAAsBAABkcnMvc2hhcGV4bWwueG1sUEsFBgAAAAAGAAYAWwEA&#10;ALUDAAAAAA==&#10;">
                                                        <v:fill on="f" focussize="0,0"/>
                                                        <v:stroke color="#000000 [3213]" miterlimit="8" joinstyle="miter"/>
                                                        <v:imagedata o:title=""/>
                                                        <o:lock v:ext="edit" aspectratio="f"/>
                                                        <v:textbox>
                                                          <w:txbxContent>
                                                            <w:p w14:paraId="6C8F0452">
                                                              <w:pPr>
                                                                <w:keepNext w:val="0"/>
                                                                <w:keepLines w:val="0"/>
                                                                <w:pageBreakBefore w:val="0"/>
                                                                <w:widowControl w:val="0"/>
                                                                <w:kinsoku/>
                                                                <w:wordWrap/>
                                                                <w:overflowPunct/>
                                                                <w:topLinePunct w:val="0"/>
                                                                <w:bidi w:val="0"/>
                                                                <w:adjustRightInd/>
                                                                <w:snapToGrid/>
                                                                <w:spacing w:line="240" w:lineRule="auto"/>
                                                                <w:textAlignment w:val="auto"/>
                                                                <w:rPr>
                                                                  <w:rFonts w:hint="eastAsia"/>
                                                                  <w:lang w:eastAsia="zh-CN"/>
                                                                </w:rPr>
                                                              </w:pPr>
                                                              <w:r>
                                                                <w:rPr>
                                                                  <w:rFonts w:hint="eastAsia" w:cs="Times New Roman"/>
                                                                  <w:color w:val="000000"/>
                                                                  <w:spacing w:val="0"/>
                                                                  <w:kern w:val="2"/>
                                                                  <w:sz w:val="21"/>
                                                                  <w:szCs w:val="21"/>
                                                                  <w:highlight w:val="none"/>
                                                                  <w:lang w:val="en-US" w:eastAsia="zh-CN" w:bidi="ar"/>
                                                                </w:rPr>
                                                                <w:t>送</w:t>
                                                              </w:r>
                                                              <w:r>
                                                                <w:rPr>
                                                                  <w:rFonts w:hint="eastAsia" w:ascii="Times New Roman" w:hAnsi="Times New Roman" w:eastAsia="宋体" w:cs="Times New Roman"/>
                                                                  <w:color w:val="000000"/>
                                                                  <w:spacing w:val="0"/>
                                                                  <w:kern w:val="2"/>
                                                                  <w:sz w:val="21"/>
                                                                  <w:szCs w:val="21"/>
                                                                  <w:highlight w:val="none"/>
                                                                  <w:lang w:val="en-US" w:eastAsia="zh-CN" w:bidi="ar"/>
                                                                </w:rPr>
                                                                <w:t>厂综合污水处理站，处理达标后经</w:t>
                                                              </w:r>
                                                              <w:r>
                                                                <w:rPr>
                                                                  <w:rFonts w:hint="eastAsia" w:cs="Times New Roman"/>
                                                                  <w:color w:val="000000"/>
                                                                  <w:spacing w:val="0"/>
                                                                  <w:kern w:val="2"/>
                                                                  <w:sz w:val="21"/>
                                                                  <w:szCs w:val="21"/>
                                                                  <w:highlight w:val="none"/>
                                                                  <w:lang w:val="en-US" w:eastAsia="zh-CN" w:bidi="ar"/>
                                                                </w:rPr>
                                                                <w:t>园区</w:t>
                                                              </w:r>
                                                              <w:r>
                                                                <w:rPr>
                                                                  <w:rFonts w:hint="eastAsia" w:ascii="Times New Roman" w:hAnsi="Times New Roman" w:eastAsia="宋体" w:cs="Times New Roman"/>
                                                                  <w:color w:val="000000"/>
                                                                  <w:spacing w:val="0"/>
                                                                  <w:kern w:val="2"/>
                                                                  <w:sz w:val="21"/>
                                                                  <w:szCs w:val="21"/>
                                                                  <w:highlight w:val="none"/>
                                                                  <w:lang w:val="en-US" w:eastAsia="zh-CN" w:bidi="ar"/>
                                                                </w:rPr>
                                                                <w:t>污水管网排入</w:t>
                                                              </w:r>
                                                              <w:r>
                                                                <w:rPr>
                                                                  <w:rFonts w:hint="eastAsia" w:cs="Times New Roman"/>
                                                                  <w:color w:val="000000"/>
                                                                  <w:spacing w:val="0"/>
                                                                  <w:kern w:val="2"/>
                                                                  <w:sz w:val="21"/>
                                                                  <w:szCs w:val="21"/>
                                                                  <w:highlight w:val="none"/>
                                                                  <w:lang w:val="en-US" w:eastAsia="zh-CN" w:bidi="ar"/>
                                                                </w:rPr>
                                                                <w:t>良村南污水处理厂</w:t>
                                                              </w:r>
                                                            </w:p>
                                                          </w:txbxContent>
                                                        </v:textbox>
                                                      </v:shape>
                                                      <v:shape id="肘形连接符 72" o:spid="_x0000_s1026" o:spt="33" type="#_x0000_t33" style="position:absolute;left:15333;top:740376;height:367;width:799;" filled="f" stroked="t" coordsize="21600,21600" o:gfxdata="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Yzii8AAAA&#10;3AAAAA8AAAAAAAAAAQAgAAAAIgAAAGRycy9kb3ducmV2LnhtbFBLAQIUABQAAAAIAIdO4kAzLwWe&#10;OwAAADkAAAAQAAAAAAAAAAEAIAAAAAsBAABkcnMvc2hhcGV4bWwueG1sUEsFBgAAAAAGAAYAWwEA&#10;ALUDAAAAAA==&#10;">
                                                        <v:fill on="f" focussize="0,0"/>
                                                        <v:stroke weight="1pt" color="#000000 [3213]" miterlimit="8" joinstyle="miter" endarrow="block"/>
                                                        <v:imagedata o:title=""/>
                                                        <o:lock v:ext="edit" aspectratio="f"/>
                                                      </v:shape>
                                                      <v:shape id="流程图: 过程 147" o:spid="_x0000_s1026" o:spt="109" type="#_x0000_t109" style="position:absolute;left:8802;top:740547;height:887;width:1009;v-text-anchor:middle;" filled="f" stroked="f" coordsize="21600,21600" o:gfxdata="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RSbTr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7C78F081">
                                                              <w:pPr>
                                                                <w:keepNext w:val="0"/>
                                                                <w:keepLines w:val="0"/>
                                                                <w:pageBreakBefore w:val="0"/>
                                                                <w:widowControl w:val="0"/>
                                                                <w:kinsoku/>
                                                                <w:wordWrap/>
                                                                <w:overflowPunct/>
                                                                <w:topLinePunct w:val="0"/>
                                                                <w:bidi w:val="0"/>
                                                                <w:adjustRightInd/>
                                                                <w:snapToGrid/>
                                                                <w:spacing w:line="360" w:lineRule="auto"/>
                                                                <w:jc w:val="center"/>
                                                                <w:textAlignment w:val="auto"/>
                                                                <w:rPr>
                                                                  <w:rFonts w:hint="eastAsia"/>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新鲜水</w:t>
                                                              </w:r>
                                                            </w:p>
                                                            <w:p w14:paraId="77102211">
                                                              <w:pPr>
                                                                <w:keepNext w:val="0"/>
                                                                <w:keepLines w:val="0"/>
                                                                <w:pageBreakBefore w:val="0"/>
                                                                <w:widowControl w:val="0"/>
                                                                <w:kinsoku/>
                                                                <w:wordWrap/>
                                                                <w:overflowPunct/>
                                                                <w:topLinePunct w:val="0"/>
                                                                <w:bidi w:val="0"/>
                                                                <w:adjustRightInd/>
                                                                <w:snapToGrid/>
                                                                <w:spacing w:line="36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16.77</w:t>
                                                              </w:r>
                                                            </w:p>
                                                          </w:txbxContent>
                                                        </v:textbox>
                                                      </v:shape>
                                                      <v:shape id="流程图: 过程 48" o:spid="_x0000_s1026" o:spt="109" type="#_x0000_t109" style="position:absolute;left:12078;top:738488;height:464;width:636;v-text-anchor:middle;" filled="f" stroked="f" coordsize="21600,21600" o:gfxdata="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HGBTm8AAAA&#10;3AAAAA8AAAAAAAAAAQAgAAAAIgAAAGRycy9kb3ducmV2LnhtbFBLAQIUABQAAAAIAIdO4kAzLwWe&#10;OwAAADkAAAAQAAAAAAAAAAEAIAAAAAsBAABkcnMvc2hhcGV4bWwueG1sUEsFBgAAAAAGAAYAWwEA&#10;ALUDAAAAAA==&#10;">
                                                        <v:fill on="f" focussize="0,0"/>
                                                        <v:stroke on="f" weight="1pt" miterlimit="8" joinstyle="miter"/>
                                                        <v:imagedata o:title=""/>
                                                        <o:lock v:ext="edit" aspectratio="f"/>
                                                        <v:textbox>
                                                          <w:txbxContent>
                                                            <w:p w14:paraId="2DC49C9B">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0.6</w:t>
                                                              </w:r>
                                                            </w:p>
                                                          </w:txbxContent>
                                                        </v:textbox>
                                                      </v:shape>
                                                      <v:shape id="流程图: 过程 16" o:spid="_x0000_s1026" o:spt="109" type="#_x0000_t109" style="position:absolute;left:12625;top:739404;height:518;width:2073;v-text-anchor:middle;" filled="f" stroked="t" coordsize="21600,21600" o:gfxdata="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zo5fe8AAAA&#10;3AAAAA8AAAAAAAAAAQAgAAAAIgAAAGRycy9kb3ducmV2LnhtbFBLAQIUABQAAAAIAIdO4kAzLwWe&#10;OwAAADkAAAAQAAAAAAAAAAEAIAAAAAsBAABkcnMvc2hhcGV4bWwueG1sUEsFBgAAAAAGAAYAWwEA&#10;ALUDAAAAAA==&#10;">
                                                        <v:fill on="f" focussize="0,0"/>
                                                        <v:stroke color="#000000 [3213]" miterlimit="8" joinstyle="miter"/>
                                                        <v:imagedata o:title=""/>
                                                        <o:lock v:ext="edit" aspectratio="f"/>
                                                        <v:textbox>
                                                          <w:txbxContent>
                                                            <w:p w14:paraId="52725141">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生产用水</w:t>
                                                              </w:r>
                                                            </w:p>
                                                          </w:txbxContent>
                                                        </v:textbox>
                                                      </v:shape>
                                                      <v:shape id="直接箭头连接符 44" o:spid="_x0000_s1026" o:spt="32" type="#_x0000_t32" style="position:absolute;left:14689;top:738850;height:8;width:628;" filled="f" stroked="t" coordsize="21600,21600" o:gfxdata="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41GW28AAAA&#10;3AAAAA8AAAAAAAAAAQAgAAAAIgAAAGRycy9kb3ducmV2LnhtbFBLAQIUABQAAAAIAIdO4kAzLwWe&#10;OwAAADkAAAAQAAAAAAAAAAEAIAAAAAsBAABkcnMvc2hhcGV4bWwueG1sUEsFBgAAAAAGAAYAWwEA&#10;ALUDAAAAAA==&#10;">
                                                        <v:fill on="f" focussize="0,0"/>
                                                        <v:stroke weight="1pt" color="#000000 [3213]" miterlimit="8" joinstyle="miter" endarrow="block"/>
                                                        <v:imagedata o:title=""/>
                                                        <o:lock v:ext="edit" aspectratio="f"/>
                                                      </v:shape>
                                                      <v:shape id="流程图: 过程 48" o:spid="_x0000_s1026" o:spt="109" type="#_x0000_t109" style="position:absolute;left:14635;top:738475;height:464;width:820;v-text-anchor:middle;" filled="f" stroked="f" coordsize="21600,21600" o:gfxdata="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FmRS7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68AE885F">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0.48</w:t>
                                                              </w:r>
                                                            </w:p>
                                                          </w:txbxContent>
                                                        </v:textbox>
                                                      </v:shape>
                                                      <v:shape id="肘形连接符 233" o:spid="_x0000_s1026" o:spt="34" type="#_x0000_t34" style="position:absolute;left:11763;top:738850;flip:y;height:336;width:881;" filled="f" stroked="t" coordsize="21600,21600" o:gfxdata="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78PvQAA&#10;ANwAAAAPAAAAAAAAAAEAIAAAACIAAABkcnMvZG93bnJldi54bWxQSwECFAAUAAAACACHTuJAMy8F&#10;njsAAAA5AAAAEAAAAAAAAAABACAAAAAMAQAAZHJzL3NoYXBleG1sLnhtbFBLBQYAAAAABgAGAFsB&#10;AAC2AwAAAAA=&#10;" adj="5149">
                                                        <v:fill on="f" focussize="0,0"/>
                                                        <v:stroke weight="1pt" color="#000000 [3213]" miterlimit="8" joinstyle="miter" endarrow="block"/>
                                                        <v:imagedata o:title=""/>
                                                        <o:lock v:ext="edit" aspectratio="f"/>
                                                      </v:shape>
                                                      <v:shape id="肘形连接符 241" o:spid="_x0000_s1026" o:spt="34" type="#_x0000_t34" style="position:absolute;left:11787;top:739181;height:482;width:838;" filled="f" stroked="t" coordsize="21600,21600" o:gfxdata="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fA4374A&#10;AADcAAAADwAAAAAAAAABACAAAAAiAAAAZHJzL2Rvd25yZXYueG1sUEsBAhQAFAAAAAgAh07iQDMv&#10;BZ47AAAAOQAAABAAAAAAAAAAAQAgAAAADQEAAGRycy9zaGFwZXhtbC54bWxQSwUGAAAAAAYABgBb&#10;AQAAtwMAAAAA&#10;" adj="4897">
                                                        <v:fill on="f" focussize="0,0"/>
                                                        <v:stroke weight="1pt" color="#000000 [3213]" miterlimit="8" joinstyle="miter" endarrow="block"/>
                                                        <v:imagedata o:title=""/>
                                                        <o:lock v:ext="edit" aspectratio="f"/>
                                                      </v:shape>
                                                      <v:shape id="流程图: 过程 48" o:spid="_x0000_s1026" o:spt="109" type="#_x0000_t109" style="position:absolute;left:12040;top:739294;height:464;width:800;v-text-anchor:middle;" filled="f" stroked="f" coordsize="21600,21600" o:gfxdata="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JJXn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09176798">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4</w:t>
                                                              </w:r>
                                                            </w:p>
                                                          </w:txbxContent>
                                                        </v:textbox>
                                                      </v:shape>
                                                      <v:shape id="肘形连接符 249" o:spid="_x0000_s1026" o:spt="34" type="#_x0000_t34" style="position:absolute;left:11164;top:739491;height:1165;width:4188;" filled="f" stroked="t" coordsize="21600,21600" o:gfxdata="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PvWOK/&#10;AAAA3AAAAA8AAAAAAAAAAQAgAAAAIgAAAGRycy9kb3ducmV2LnhtbFBLAQIUABQAAAAIAIdO4kAz&#10;LwWeOwAAADkAAAAQAAAAAAAAAAEAIAAAAA4BAABkcnMvc2hhcGV4bWwueG1sUEsFBgAAAAAGAAYA&#10;WwEAALgDAAAAAA==&#10;" adj="-26">
                                                        <v:fill on="f" focussize="0,0"/>
                                                        <v:stroke weight="1pt" color="#000000 [3213]" miterlimit="8" joinstyle="miter" endarrow="block"/>
                                                        <v:imagedata o:title=""/>
                                                        <o:lock v:ext="edit" aspectratio="f"/>
                                                      </v:shape>
                                                      <v:shape id="流程图: 过程 48" o:spid="_x0000_s1026" o:spt="109" type="#_x0000_t109" style="position:absolute;left:14092;top:740307;height:464;width:715;v-text-anchor:middle;" filled="f" stroked="f" coordsize="21600,21600" o:gfxdata="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4GoCL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48CBC8B9">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1.15</w:t>
                                                              </w:r>
                                                            </w:p>
                                                          </w:txbxContent>
                                                        </v:textbox>
                                                      </v:shape>
                                                    </v:group>
                                                    <v:shape id="流程图: 过程 147" o:spid="_x0000_s1026" o:spt="109" type="#_x0000_t109" style="position:absolute;left:8285;top:687844;height:764;width:1691;v-text-anchor:middle;" filled="f" stroked="f" coordsize="21600,21600" o:gfxdata="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M0Nk7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43BD8294">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进入甘氨酸亚铁产品0.14</w:t>
                                                            </w:r>
                                                          </w:p>
                                                        </w:txbxContent>
                                                      </v:textbox>
                                                    </v:shape>
                                                  </v:group>
                                                  <v:line id="直接连接符 125" o:spid="_x0000_s1026" o:spt="20" style="position:absolute;left:9421;top:693478;height:8;width:1692;" filled="f" stroked="t" coordsize="21600,21600" o:gfxdata="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4FO2W/&#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127" o:spid="_x0000_s1026" o:spt="1" style="position:absolute;left:7030;top:693218;height:671;width:2403;" fillcolor="#FFFFFF" filled="t" stroked="t" coordsize="21600,21600" o:gfxdata="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BRhX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FBD1C6B">
                                                          <w:pPr>
                                                            <w:keepNext w:val="0"/>
                                                            <w:keepLines w:val="0"/>
                                                            <w:pageBreakBefore w:val="0"/>
                                                            <w:widowControl w:val="0"/>
                                                            <w:kinsoku/>
                                                            <w:wordWrap/>
                                                            <w:overflowPunct/>
                                                            <w:topLinePunct w:val="0"/>
                                                            <w:bidi w:val="0"/>
                                                            <w:adjustRightInd/>
                                                            <w:snapToGrid/>
                                                            <w:spacing w:line="240" w:lineRule="auto"/>
                                                            <w:jc w:val="center"/>
                                                            <w:textAlignment w:val="auto"/>
                                                          </w:pPr>
                                                          <w:r>
                                                            <w:rPr>
                                                              <w:rFonts w:hint="eastAsia"/>
                                                              <w:color w:val="000000" w:themeColor="text1"/>
                                                              <w:sz w:val="21"/>
                                                              <w:szCs w:val="21"/>
                                                              <w:lang w:eastAsia="zh-CN"/>
                                                              <w14:textFill>
                                                                <w14:solidFill>
                                                                  <w14:schemeClr w14:val="tx1"/>
                                                                </w14:solidFill>
                                                              </w14:textFill>
                                                            </w:rPr>
                                                            <w:t>循环冷却水系统（</w:t>
                                                          </w:r>
                                                          <w:r>
                                                            <w:rPr>
                                                              <w:rFonts w:hint="eastAsia"/>
                                                              <w:color w:val="000000" w:themeColor="text1"/>
                                                              <w:sz w:val="21"/>
                                                              <w:szCs w:val="21"/>
                                                              <w:lang w:val="en-US" w:eastAsia="zh-CN"/>
                                                              <w14:textFill>
                                                                <w14:solidFill>
                                                                  <w14:schemeClr w14:val="tx1"/>
                                                                </w14:solidFill>
                                                              </w14:textFill>
                                                            </w:rPr>
                                                            <w:t>-4.32）</w:t>
                                                          </w:r>
                                                        </w:p>
                                                      </w:txbxContent>
                                                    </v:textbox>
                                                  </v:rect>
                                                  <v:line id="直接连接符 128" o:spid="_x0000_s1026" o:spt="20" style="position:absolute;left:5618;top:693439;flip:y;height:8;width:1429;" filled="f" stroked="t" coordsize="21600,21600" o:gfxdata="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loBj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v:shape id="流程图: 过程 147" o:spid="_x0000_s1026" o:spt="109" type="#_x0000_t109" style="position:absolute;left:3852;top:692020;height:518;width:2040;v-text-anchor:middle;" filled="f" stroked="f" coordsize="21600,21600" o:gfxdata="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YAHlr4A&#10;AADcAAAADwAAAAAAAAABACAAAAAiAAAAZHJzL2Rvd25yZXYueG1sUEsBAhQAFAAAAAgAh07iQDMv&#10;BZ47AAAAOQAAABAAAAAAAAAAAQAgAAAADQEAAGRycy9zaGFwZXhtbC54bWxQSwUGAAAAAAYABgBb&#10;AQAAtwMAAAAA&#10;">
                                                  <v:fill on="f" focussize="0,0"/>
                                                  <v:stroke on="f" weight="1pt" miterlimit="8" joinstyle="miter"/>
                                                  <v:imagedata o:title=""/>
                                                  <o:lock v:ext="edit" aspectratio="f"/>
                                                  <v:textbox>
                                                    <w:txbxContent>
                                                      <w:p w14:paraId="70AB90C2">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20%硫酸带入0.12</w:t>
                                                        </w:r>
                                                      </w:p>
                                                    </w:txbxContent>
                                                  </v:textbox>
                                                </v:shape>
                                              </v:group>
                                            </v:group>
                                            <v:shape id="肘形连接符 31" o:spid="_x0000_s1026" o:spt="35" type="#_x0000_t35" style="position:absolute;left:6390;top:693588;flip:x;height:266;width:1199;" filled="f" stroked="t" coordsize="21600,21600" o:gfxdata="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DIxGYtwAAANwAAAAP&#10;AAAAAAAAAAEAIAAAACIAAABkcnMvZG93bnJldi54bWxQSwECFAAUAAAACACHTuJAMy8FnjsAAAA5&#10;AAAAEAAAAAAAAAABACAAAAAGAQAAZHJzL3NoYXBleG1sLnhtbFBLBQYAAAAABgAGAFsBAACwAwAA&#10;AAA=&#10;" adj="-6756,52051">
                                              <v:fill on="f" focussize="0,0"/>
                                              <v:stroke color="#000000 [3213]" miterlimit="8" joinstyle="miter" dashstyle="dash" endarrow="block"/>
                                              <v:imagedata o:title=""/>
                                              <o:lock v:ext="edit" aspectratio="f"/>
                                            </v:shape>
                                          </v:group>
                                          <v:shape id="流程图: 过程 16" o:spid="_x0000_s1026" o:spt="109" type="#_x0000_t109" style="position:absolute;left:5257;top:673826;height:518;width:2273;v-text-anchor:middle;" filled="f" stroked="t" coordsize="21600,21600" o:gfxdata="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IR4vQAA&#10;ANwAAAAPAAAAAAAAAAEAIAAAACIAAABkcnMvZG93bnJldi54bWxQSwECFAAUAAAACACHTuJAMy8F&#10;njsAAAA5AAAAEAAAAAAAAAABACAAAAAMAQAAZHJzL3NoYXBleG1sLnhtbFBLBQYAAAAABgAGAFsB&#10;AAC2AwAAAAA=&#10;">
                                            <v:fill on="f" focussize="0,0"/>
                                            <v:stroke color="#000000 [3213]" miterlimit="8" joinstyle="miter"/>
                                            <v:imagedata o:title=""/>
                                            <o:lock v:ext="edit" aspectratio="f"/>
                                            <v:textbox>
                                              <w:txbxContent>
                                                <w:p w14:paraId="641A0452">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车间地面冲洗</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-0.4</w:t>
                                                  </w:r>
                                                  <w:r>
                                                    <w:rPr>
                                                      <w:rFonts w:hint="eastAsia"/>
                                                      <w:color w:val="000000" w:themeColor="text1"/>
                                                      <w:sz w:val="21"/>
                                                      <w:szCs w:val="21"/>
                                                      <w:lang w:eastAsia="zh-CN"/>
                                                      <w14:textFill>
                                                        <w14:solidFill>
                                                          <w14:schemeClr w14:val="tx1"/>
                                                        </w14:solidFill>
                                                      </w14:textFill>
                                                    </w:rPr>
                                                    <w:t>）</w:t>
                                                  </w:r>
                                                </w:p>
                                              </w:txbxContent>
                                            </v:textbox>
                                          </v:shape>
                                          <v:shape id="直接箭头连接符 52" o:spid="_x0000_s1026" o:spt="32" type="#_x0000_t32" style="position:absolute;left:3901;top:674045;height:17;width:1368;" filled="f" stroked="t" coordsize="21600,21600" o:gfxdata="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aHLnvQAA&#10;ANw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shape id="流程图: 过程 33" o:spid="_x0000_s1026" o:spt="109" type="#_x0000_t109" style="position:absolute;left:4056;top:673695;height:472;width:889;v-text-anchor:middle;" filled="f" stroked="f" coordsize="21600,21600" o:gfxdata="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BPrB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12243C2A">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2</w:t>
                                                  </w:r>
                                                </w:p>
                                              </w:txbxContent>
                                            </v:textbox>
                                          </v:shape>
                                          <v:shape id="直接箭头连接符 52" o:spid="_x0000_s1026" o:spt="32" type="#_x0000_t32" style="position:absolute;left:7541;top:674039;flip:y;height:13;width:1869;" filled="f" stroked="t" coordsize="21600,21600" o:gfxdata="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RhUnvQAA&#10;ANw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shape id="流程图: 过程 16" o:spid="_x0000_s1026" o:spt="109" type="#_x0000_t109" style="position:absolute;left:5331;top:675666;height:518;width:2273;v-text-anchor:middle;" filled="f" stroked="t" coordsize="21600,21600" o:gfxdata="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w4J7vQAA&#10;ANwAAAAPAAAAAAAAAAEAIAAAACIAAABkcnMvZG93bnJldi54bWxQSwECFAAUAAAACACHTuJAMy8F&#10;njsAAAA5AAAAEAAAAAAAAAABACAAAAAMAQAAZHJzL3NoYXBleG1sLnhtbFBLBQYAAAAABgAGAFsB&#10;AAC2AwAAAAA=&#10;">
                                            <v:fill on="f" focussize="0,0"/>
                                            <v:stroke color="#000000 [3213]" miterlimit="8" joinstyle="miter"/>
                                            <v:imagedata o:title=""/>
                                            <o:lock v:ext="edit" aspectratio="f"/>
                                            <v:textbox>
                                              <w:txbxContent>
                                                <w:p w14:paraId="3F86BD77">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生活用水</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-0.31</w:t>
                                                  </w:r>
                                                  <w:r>
                                                    <w:rPr>
                                                      <w:rFonts w:hint="eastAsia"/>
                                                      <w:color w:val="000000" w:themeColor="text1"/>
                                                      <w:sz w:val="21"/>
                                                      <w:szCs w:val="21"/>
                                                      <w:lang w:eastAsia="zh-CN"/>
                                                      <w14:textFill>
                                                        <w14:solidFill>
                                                          <w14:schemeClr w14:val="tx1"/>
                                                        </w14:solidFill>
                                                      </w14:textFill>
                                                    </w:rPr>
                                                    <w:t>）</w:t>
                                                  </w:r>
                                                </w:p>
                                              </w:txbxContent>
                                            </v:textbox>
                                          </v:shape>
                                          <v:shape id="直接箭头连接符 52" o:spid="_x0000_s1026" o:spt="32" type="#_x0000_t32" style="position:absolute;left:3894;top:675988;height:18;width:1400;" filled="f" stroked="t" coordsize="21600,21600" o:gfxdata="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U3TkvQAA&#10;ANw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group>
                                      </v:group>
                                    </v:group>
                                  </v:group>
                                  <v:shape id="流程图: 过程 32" o:spid="_x0000_s1026" o:spt="109" type="#_x0000_t109" style="position:absolute;left:7737;top:679504;height:464;width:889;v-text-anchor:middle;" filled="f" stroked="f" coordsize="21600,21600" o:gfxdata="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EoGiwtwAAANwAAAAP&#10;AAAAAAAAAAEAIAAAACIAAABkcnMvZG93bnJldi54bWxQSwECFAAUAAAACACHTuJAMy8FnjsAAAA5&#10;AAAAEAAAAAAAAAABACAAAAAGAQAAZHJzL3NoYXBleG1sLnhtbFBLBQYAAAAABgAGAFsBAACwAwAA&#10;AAA=&#10;">
                                    <v:fill on="f" focussize="0,0"/>
                                    <v:stroke on="f" weight="1pt" miterlimit="8" joinstyle="miter"/>
                                    <v:imagedata o:title=""/>
                                    <o:lock v:ext="edit" aspectratio="f"/>
                                    <v:textbox>
                                      <w:txbxContent>
                                        <w:p w14:paraId="208CD3FD">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420</w:t>
                                          </w:r>
                                        </w:p>
                                      </w:txbxContent>
                                    </v:textbox>
                                  </v:shape>
                                </v:group>
                              </v:group>
                              <v:shape id="直接箭头连接符 52" o:spid="_x0000_s1026" o:spt="32" type="#_x0000_t32" style="position:absolute;left:8687;top:677305;flip:y;height:179;width:540;" filled="f" stroked="t" coordsize="21600,21600" o:gfxdata="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g1EFL4A&#10;AADcAAAADwAAAAAAAAABACAAAAAiAAAAZHJzL2Rvd25yZXYueG1sUEsBAhQAFAAAAAgAh07iQDMv&#10;BZ47AAAAOQAAABAAAAAAAAAAAQAgAAAADQEAAGRycy9zaGFwZXhtbC54bWxQSwUGAAAAAAYABgBb&#10;AQAAtwMAAAAA&#10;">
                                <v:fill on="f" focussize="0,0"/>
                                <v:stroke weight="1pt" color="#000000 [3213]" miterlimit="8" joinstyle="miter" dashstyle="dash" endarrow="block"/>
                                <v:imagedata o:title=""/>
                                <o:lock v:ext="edit" aspectratio="f"/>
                              </v:shape>
                            </v:group>
                            <v:shape id="_x0000_s1026" o:spid="_x0000_s1026" o:spt="32" type="#_x0000_t32" style="position:absolute;left:7451;top:677866;flip:x;height:1183;width:6;" filled="f" stroked="t" coordsize="21600,21600" o:gfxdata="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a+7G&#10;wAAAANwAAAAPAAAAAAAAAAEAIAAAACIAAABkcnMvZG93bnJldi54bWxQSwECFAAUAAAACACHTuJA&#10;My8FnjsAAAA5AAAAEAAAAAAAAAABACAAAAAPAQAAZHJzL3NoYXBleG1sLnhtbFBLBQYAAAAABgAG&#10;AFsBAAC5AwAAAAA=&#10;">
                              <v:fill on="f" focussize="0,0"/>
                              <v:stroke weight="1pt" color="#000000 [3213]" miterlimit="8" joinstyle="miter" endarrow="open"/>
                              <v:imagedata o:title=""/>
                              <o:lock v:ext="edit" aspectratio="f"/>
                            </v:shape>
                          </v:group>
                          <v:shape id="流程图: 过程 33" o:spid="_x0000_s1026" o:spt="109" type="#_x0000_t109" style="position:absolute;left:4073;top:681713;height:472;width:889;v-text-anchor:middle;" filled="f" stroked="f" coordsize="21600,21600" o:gfxdata="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5mof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686A5F92">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1.54</w:t>
                                  </w:r>
                                </w:p>
                              </w:txbxContent>
                            </v:textbox>
                          </v:shape>
                        </v:group>
                        <v:shape id="流程图: 过程 33" o:spid="_x0000_s1026" o:spt="109" type="#_x0000_t109" style="position:absolute;left:7963;top:681785;height:472;width:889;v-text-anchor:middle;" filled="f" stroked="f" coordsize="21600,21600" o:gfxdata="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NVv2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202A1AE9">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1.23</w:t>
                                </w:r>
                              </w:p>
                            </w:txbxContent>
                          </v:textbox>
                        </v:shape>
                      </v:group>
                      <v:shape id="直接箭头连接符 52" o:spid="_x0000_s1026" o:spt="32" type="#_x0000_t32" style="position:absolute;left:4626;top:672715;height:17;width:1368;" filled="f" stroked="t" coordsize="21600,21600" o:gfxdata="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nPDLugAAANwA&#10;AAAPAAAAAAAAAAEAIAAAACIAAABkcnMvZG93bnJldi54bWxQSwECFAAUAAAACACHTuJAMy8FnjsA&#10;AAA5AAAAEAAAAAAAAAABACAAAAAJAQAAZHJzL3NoYXBleG1sLnhtbFBLBQYAAAAABgAGAFsBAACz&#10;AwAAAAA=&#10;">
                        <v:fill on="f" focussize="0,0"/>
                        <v:stroke weight="1pt" color="#000000 [3213]" miterlimit="8" joinstyle="miter" endarrow="block"/>
                        <v:imagedata o:title=""/>
                        <o:lock v:ext="edit" aspectratio="f"/>
                      </v:shape>
                    </v:group>
                  </w:pict>
                </mc:Fallback>
              </mc:AlternateContent>
            </w:r>
          </w:p>
          <w:p w14:paraId="3E11EFA8">
            <w:pPr>
              <w:pStyle w:val="2"/>
              <w:rPr>
                <w:rFonts w:hint="eastAsia" w:cs="Times New Roman"/>
                <w:b/>
                <w:bCs/>
                <w:i w:val="0"/>
                <w:iCs w:val="0"/>
                <w:color w:val="auto"/>
                <w:kern w:val="2"/>
                <w:sz w:val="21"/>
                <w:szCs w:val="21"/>
                <w:highlight w:val="none"/>
                <w:u w:val="none"/>
                <w:lang w:val="en-US" w:eastAsia="zh-CN" w:bidi="ar"/>
              </w:rPr>
            </w:pPr>
          </w:p>
          <w:p w14:paraId="6D37D360">
            <w:pPr>
              <w:pStyle w:val="2"/>
              <w:rPr>
                <w:rFonts w:hint="eastAsia" w:cs="Times New Roman"/>
                <w:b/>
                <w:bCs/>
                <w:i w:val="0"/>
                <w:iCs w:val="0"/>
                <w:color w:val="auto"/>
                <w:kern w:val="2"/>
                <w:sz w:val="21"/>
                <w:szCs w:val="21"/>
                <w:highlight w:val="none"/>
                <w:u w:val="none"/>
                <w:lang w:val="en-US" w:eastAsia="zh-CN" w:bidi="ar"/>
              </w:rPr>
            </w:pPr>
          </w:p>
          <w:p w14:paraId="4B11E75E">
            <w:pPr>
              <w:pStyle w:val="2"/>
              <w:rPr>
                <w:rFonts w:hint="eastAsia" w:cs="Times New Roman"/>
                <w:b/>
                <w:bCs/>
                <w:i w:val="0"/>
                <w:iCs w:val="0"/>
                <w:color w:val="auto"/>
                <w:kern w:val="2"/>
                <w:sz w:val="21"/>
                <w:szCs w:val="21"/>
                <w:highlight w:val="none"/>
                <w:u w:val="none"/>
                <w:lang w:val="en-US" w:eastAsia="zh-CN" w:bidi="ar"/>
              </w:rPr>
            </w:pPr>
          </w:p>
          <w:p w14:paraId="165BACEA">
            <w:pPr>
              <w:pStyle w:val="2"/>
              <w:rPr>
                <w:rFonts w:hint="eastAsia" w:cs="Times New Roman"/>
                <w:b/>
                <w:bCs/>
                <w:i w:val="0"/>
                <w:iCs w:val="0"/>
                <w:color w:val="auto"/>
                <w:kern w:val="2"/>
                <w:sz w:val="21"/>
                <w:szCs w:val="21"/>
                <w:highlight w:val="none"/>
                <w:u w:val="none"/>
                <w:lang w:val="en-US" w:eastAsia="zh-CN" w:bidi="ar"/>
              </w:rPr>
            </w:pPr>
          </w:p>
          <w:p w14:paraId="4A389F24">
            <w:pPr>
              <w:pStyle w:val="2"/>
              <w:rPr>
                <w:rFonts w:hint="eastAsia" w:cs="Times New Roman"/>
                <w:b/>
                <w:bCs/>
                <w:i w:val="0"/>
                <w:iCs w:val="0"/>
                <w:color w:val="auto"/>
                <w:kern w:val="2"/>
                <w:sz w:val="21"/>
                <w:szCs w:val="21"/>
                <w:highlight w:val="none"/>
                <w:u w:val="none"/>
                <w:lang w:val="en-US" w:eastAsia="zh-CN" w:bidi="ar"/>
              </w:rPr>
            </w:pPr>
          </w:p>
          <w:p w14:paraId="7DCB4747">
            <w:pPr>
              <w:pStyle w:val="2"/>
              <w:rPr>
                <w:rFonts w:hint="eastAsia" w:cs="Times New Roman"/>
                <w:b/>
                <w:bCs/>
                <w:i w:val="0"/>
                <w:iCs w:val="0"/>
                <w:color w:val="auto"/>
                <w:kern w:val="2"/>
                <w:sz w:val="21"/>
                <w:szCs w:val="21"/>
                <w:highlight w:val="none"/>
                <w:u w:val="none"/>
                <w:lang w:val="en-US" w:eastAsia="zh-CN" w:bidi="ar"/>
              </w:rPr>
            </w:pPr>
          </w:p>
          <w:p w14:paraId="0699C036">
            <w:pPr>
              <w:pStyle w:val="2"/>
              <w:rPr>
                <w:rFonts w:hint="eastAsia" w:cs="Times New Roman"/>
                <w:b/>
                <w:bCs/>
                <w:i w:val="0"/>
                <w:iCs w:val="0"/>
                <w:color w:val="auto"/>
                <w:kern w:val="2"/>
                <w:sz w:val="21"/>
                <w:szCs w:val="21"/>
                <w:highlight w:val="none"/>
                <w:u w:val="none"/>
                <w:lang w:val="en-US" w:eastAsia="zh-CN" w:bidi="ar"/>
              </w:rPr>
            </w:pPr>
          </w:p>
          <w:p w14:paraId="770F3B60">
            <w:pPr>
              <w:pStyle w:val="2"/>
              <w:rPr>
                <w:rFonts w:hint="eastAsia" w:cs="Times New Roman"/>
                <w:b/>
                <w:bCs/>
                <w:i w:val="0"/>
                <w:iCs w:val="0"/>
                <w:color w:val="auto"/>
                <w:kern w:val="2"/>
                <w:sz w:val="21"/>
                <w:szCs w:val="21"/>
                <w:highlight w:val="none"/>
                <w:u w:val="none"/>
                <w:lang w:val="en-US" w:eastAsia="zh-CN" w:bidi="ar"/>
              </w:rPr>
            </w:pPr>
          </w:p>
          <w:p w14:paraId="3F103D84">
            <w:pPr>
              <w:pStyle w:val="2"/>
              <w:rPr>
                <w:rFonts w:hint="eastAsia" w:cs="Times New Roman"/>
                <w:b/>
                <w:bCs/>
                <w:i w:val="0"/>
                <w:iCs w:val="0"/>
                <w:color w:val="auto"/>
                <w:kern w:val="2"/>
                <w:sz w:val="21"/>
                <w:szCs w:val="21"/>
                <w:highlight w:val="none"/>
                <w:u w:val="none"/>
                <w:lang w:val="en-US" w:eastAsia="zh-CN" w:bidi="ar"/>
              </w:rPr>
            </w:pPr>
          </w:p>
          <w:p w14:paraId="1FF7437E">
            <w:pPr>
              <w:pStyle w:val="2"/>
              <w:rPr>
                <w:rFonts w:hint="eastAsia" w:cs="Times New Roman"/>
                <w:b/>
                <w:bCs/>
                <w:i w:val="0"/>
                <w:iCs w:val="0"/>
                <w:color w:val="auto"/>
                <w:kern w:val="2"/>
                <w:sz w:val="21"/>
                <w:szCs w:val="21"/>
                <w:highlight w:val="none"/>
                <w:u w:val="none"/>
                <w:lang w:val="en-US" w:eastAsia="zh-CN" w:bidi="ar"/>
              </w:rPr>
            </w:pPr>
          </w:p>
          <w:p w14:paraId="2DE9AA12">
            <w:pPr>
              <w:pStyle w:val="2"/>
              <w:rPr>
                <w:rFonts w:hint="eastAsia" w:cs="Times New Roman"/>
                <w:b/>
                <w:bCs/>
                <w:i w:val="0"/>
                <w:iCs w:val="0"/>
                <w:color w:val="auto"/>
                <w:kern w:val="2"/>
                <w:sz w:val="21"/>
                <w:szCs w:val="21"/>
                <w:highlight w:val="none"/>
                <w:u w:val="none"/>
                <w:lang w:val="en-US" w:eastAsia="zh-CN" w:bidi="ar"/>
              </w:rPr>
            </w:pPr>
          </w:p>
          <w:p w14:paraId="28AE03BD">
            <w:pPr>
              <w:pStyle w:val="2"/>
              <w:rPr>
                <w:rFonts w:hint="eastAsia" w:cs="Times New Roman"/>
                <w:b/>
                <w:bCs/>
                <w:i w:val="0"/>
                <w:iCs w:val="0"/>
                <w:color w:val="auto"/>
                <w:kern w:val="2"/>
                <w:sz w:val="21"/>
                <w:szCs w:val="21"/>
                <w:highlight w:val="none"/>
                <w:u w:val="none"/>
                <w:lang w:val="en-US" w:eastAsia="zh-CN" w:bidi="ar"/>
              </w:rPr>
            </w:pPr>
          </w:p>
          <w:p w14:paraId="720BE104">
            <w:pPr>
              <w:keepNext w:val="0"/>
              <w:keepLines w:val="0"/>
              <w:pageBreakBefore w:val="0"/>
              <w:widowControl w:val="0"/>
              <w:kinsoku/>
              <w:wordWrap/>
              <w:overflowPunct/>
              <w:topLinePunct w:val="0"/>
              <w:autoSpaceDE/>
              <w:autoSpaceDN/>
              <w:bidi w:val="0"/>
              <w:adjustRightInd/>
              <w:snapToGrid/>
              <w:spacing w:after="0" w:line="360" w:lineRule="auto"/>
              <w:ind w:right="0"/>
              <w:jc w:val="center"/>
              <w:textAlignment w:val="auto"/>
              <w:rPr>
                <w:rFonts w:hint="eastAsia" w:ascii="Times New Roman" w:hAnsi="Times New Roman" w:eastAsia="宋体" w:cs="Times New Roman"/>
                <w:b/>
                <w:bCs/>
                <w:color w:val="auto"/>
                <w:kern w:val="0"/>
                <w:sz w:val="21"/>
                <w:szCs w:val="21"/>
                <w:highlight w:val="none"/>
                <w:lang w:val="en-US" w:eastAsia="zh-CN" w:bidi="ar-SA"/>
              </w:rPr>
            </w:pPr>
            <w:r>
              <w:rPr>
                <w:rFonts w:hint="eastAsia" w:cs="Times New Roman"/>
                <w:b/>
                <w:bCs/>
                <w:i w:val="0"/>
                <w:iCs w:val="0"/>
                <w:color w:val="auto"/>
                <w:kern w:val="2"/>
                <w:sz w:val="21"/>
                <w:szCs w:val="21"/>
                <w:highlight w:val="none"/>
                <w:u w:val="none"/>
                <w:lang w:val="en-US" w:eastAsia="zh-CN" w:bidi="ar"/>
              </w:rPr>
              <w:t xml:space="preserve">   图 2-3 本项目扩能改造完成后甘氨酸亚铁项目水量平衡图   （单位m</w:t>
            </w:r>
            <w:r>
              <w:rPr>
                <w:rFonts w:hint="eastAsia" w:cs="Times New Roman"/>
                <w:b/>
                <w:bCs/>
                <w:i w:val="0"/>
                <w:iCs w:val="0"/>
                <w:color w:val="auto"/>
                <w:kern w:val="2"/>
                <w:sz w:val="21"/>
                <w:szCs w:val="21"/>
                <w:highlight w:val="none"/>
                <w:u w:val="none"/>
                <w:vertAlign w:val="superscript"/>
                <w:lang w:val="en-US" w:eastAsia="zh-CN" w:bidi="ar"/>
              </w:rPr>
              <w:t>3</w:t>
            </w:r>
            <w:r>
              <w:rPr>
                <w:rFonts w:hint="eastAsia" w:cs="Times New Roman"/>
                <w:b/>
                <w:bCs/>
                <w:i w:val="0"/>
                <w:iCs w:val="0"/>
                <w:color w:val="auto"/>
                <w:kern w:val="2"/>
                <w:sz w:val="21"/>
                <w:szCs w:val="21"/>
                <w:highlight w:val="none"/>
                <w:u w:val="none"/>
                <w:lang w:val="en-US" w:eastAsia="zh-CN" w:bidi="ar"/>
              </w:rPr>
              <w:t>/d）</w:t>
            </w:r>
          </w:p>
          <w:p w14:paraId="5DDE0FD8">
            <w:pPr>
              <w:keepNext w:val="0"/>
              <w:keepLines w:val="0"/>
              <w:pageBreakBefore w:val="0"/>
              <w:widowControl w:val="0"/>
              <w:kinsoku/>
              <w:wordWrap/>
              <w:overflowPunct/>
              <w:topLinePunct w:val="0"/>
              <w:autoSpaceDE/>
              <w:autoSpaceDN/>
              <w:bidi w:val="0"/>
              <w:adjustRightInd/>
              <w:snapToGrid/>
              <w:spacing w:after="0" w:line="360" w:lineRule="auto"/>
              <w:ind w:left="0" w:leftChars="0" w:right="0" w:firstLine="422" w:firstLineChars="200"/>
              <w:jc w:val="both"/>
              <w:textAlignment w:val="auto"/>
              <w:rPr>
                <w:rFonts w:hint="eastAsia" w:ascii="Times New Roman" w:hAnsi="Times New Roman" w:eastAsia="宋体" w:cs="Times New Roman"/>
                <w:b/>
                <w:bCs/>
                <w:color w:val="auto"/>
                <w:kern w:val="0"/>
                <w:sz w:val="21"/>
                <w:szCs w:val="21"/>
                <w:highlight w:val="none"/>
                <w:lang w:val="en-US" w:eastAsia="zh-CN" w:bidi="ar-SA"/>
              </w:rPr>
            </w:pPr>
            <w:r>
              <w:rPr>
                <w:rFonts w:hint="eastAsia" w:ascii="Times New Roman" w:hAnsi="Times New Roman" w:eastAsia="宋体" w:cs="Times New Roman"/>
                <w:b/>
                <w:bCs/>
                <w:color w:val="auto"/>
                <w:kern w:val="0"/>
                <w:sz w:val="21"/>
                <w:szCs w:val="21"/>
                <w:highlight w:val="none"/>
                <w:lang w:val="en-US" w:eastAsia="zh-CN" w:bidi="ar-SA"/>
              </w:rPr>
              <w:t>（</w:t>
            </w:r>
            <w:r>
              <w:rPr>
                <w:rFonts w:hint="eastAsia" w:cs="Times New Roman"/>
                <w:b/>
                <w:bCs/>
                <w:color w:val="auto"/>
                <w:kern w:val="0"/>
                <w:sz w:val="21"/>
                <w:szCs w:val="21"/>
                <w:highlight w:val="none"/>
                <w:lang w:val="en-US" w:eastAsia="zh-CN" w:bidi="ar-SA"/>
              </w:rPr>
              <w:t>七</w:t>
            </w:r>
            <w:r>
              <w:rPr>
                <w:rFonts w:hint="eastAsia" w:ascii="Times New Roman" w:hAnsi="Times New Roman" w:eastAsia="宋体" w:cs="Times New Roman"/>
                <w:b/>
                <w:bCs/>
                <w:color w:val="auto"/>
                <w:kern w:val="0"/>
                <w:sz w:val="21"/>
                <w:szCs w:val="21"/>
                <w:highlight w:val="none"/>
                <w:lang w:val="en-US" w:eastAsia="zh-CN" w:bidi="ar-SA"/>
              </w:rPr>
              <w:t>）劳动定员及工作制度</w:t>
            </w:r>
          </w:p>
          <w:p w14:paraId="0457441F">
            <w:pPr>
              <w:keepNext w:val="0"/>
              <w:keepLines w:val="0"/>
              <w:pageBreakBefore w:val="0"/>
              <w:widowControl w:val="0"/>
              <w:kinsoku/>
              <w:wordWrap/>
              <w:overflowPunct/>
              <w:topLinePunct w:val="0"/>
              <w:autoSpaceDE/>
              <w:autoSpaceDN/>
              <w:bidi w:val="0"/>
              <w:adjustRightInd/>
              <w:snapToGrid/>
              <w:spacing w:after="0" w:line="360" w:lineRule="auto"/>
              <w:ind w:left="0" w:leftChars="0" w:right="0" w:firstLine="396" w:firstLineChars="200"/>
              <w:jc w:val="both"/>
              <w:textAlignment w:val="auto"/>
              <w:rPr>
                <w:rFonts w:hint="default" w:ascii="Times New Roman" w:hAnsi="Times New Roman" w:eastAsia="宋体" w:cs="Times New Roman"/>
                <w:b w:val="0"/>
                <w:bCs w:val="0"/>
                <w:color w:val="auto"/>
                <w:spacing w:val="-6"/>
                <w:kern w:val="0"/>
                <w:sz w:val="21"/>
                <w:szCs w:val="21"/>
                <w:highlight w:val="none"/>
                <w:lang w:val="en-US" w:eastAsia="zh-CN" w:bidi="ar-SA"/>
              </w:rPr>
            </w:pPr>
            <w:r>
              <w:rPr>
                <w:rFonts w:hint="default" w:ascii="Times New Roman" w:hAnsi="Times New Roman" w:eastAsia="宋体" w:cs="Times New Roman"/>
                <w:b w:val="0"/>
                <w:bCs w:val="0"/>
                <w:color w:val="auto"/>
                <w:spacing w:val="-6"/>
                <w:kern w:val="0"/>
                <w:sz w:val="21"/>
                <w:szCs w:val="21"/>
                <w:highlight w:val="none"/>
                <w:lang w:val="en-US" w:eastAsia="zh-CN" w:bidi="ar-SA"/>
              </w:rPr>
              <w:t>本项目</w:t>
            </w:r>
            <w:r>
              <w:rPr>
                <w:rFonts w:hint="eastAsia" w:cs="Times New Roman"/>
                <w:b w:val="0"/>
                <w:bCs w:val="0"/>
                <w:color w:val="auto"/>
                <w:spacing w:val="-6"/>
                <w:kern w:val="0"/>
                <w:sz w:val="21"/>
                <w:szCs w:val="21"/>
                <w:highlight w:val="none"/>
                <w:lang w:val="en-US" w:eastAsia="zh-CN" w:bidi="ar-SA"/>
              </w:rPr>
              <w:t>劳动定员由现有21人调配，不新增人员</w:t>
            </w:r>
            <w:r>
              <w:rPr>
                <w:rFonts w:hint="default" w:ascii="Times New Roman" w:hAnsi="Times New Roman" w:eastAsia="宋体" w:cs="Times New Roman"/>
                <w:b w:val="0"/>
                <w:bCs w:val="0"/>
                <w:color w:val="auto"/>
                <w:spacing w:val="-6"/>
                <w:kern w:val="0"/>
                <w:sz w:val="21"/>
                <w:szCs w:val="21"/>
                <w:highlight w:val="none"/>
                <w:lang w:val="en-US" w:eastAsia="zh-CN" w:bidi="ar-SA"/>
              </w:rPr>
              <w:t>，采用</w:t>
            </w:r>
            <w:r>
              <w:rPr>
                <w:rFonts w:hint="eastAsia" w:ascii="Times New Roman" w:hAnsi="Times New Roman" w:eastAsia="宋体" w:cs="Times New Roman"/>
                <w:b w:val="0"/>
                <w:bCs w:val="0"/>
                <w:color w:val="auto"/>
                <w:spacing w:val="-6"/>
                <w:kern w:val="0"/>
                <w:sz w:val="21"/>
                <w:szCs w:val="21"/>
                <w:highlight w:val="none"/>
                <w:lang w:val="en-US" w:eastAsia="zh-CN" w:bidi="ar-SA"/>
              </w:rPr>
              <w:t>四</w:t>
            </w:r>
            <w:r>
              <w:rPr>
                <w:rFonts w:hint="default" w:ascii="Times New Roman" w:hAnsi="Times New Roman" w:eastAsia="宋体" w:cs="Times New Roman"/>
                <w:b w:val="0"/>
                <w:bCs w:val="0"/>
                <w:color w:val="auto"/>
                <w:spacing w:val="-6"/>
                <w:kern w:val="0"/>
                <w:sz w:val="21"/>
                <w:szCs w:val="21"/>
                <w:highlight w:val="none"/>
                <w:lang w:val="en-US" w:eastAsia="zh-CN" w:bidi="ar-SA"/>
              </w:rPr>
              <w:t>班</w:t>
            </w:r>
            <w:r>
              <w:rPr>
                <w:rFonts w:hint="eastAsia" w:ascii="Times New Roman" w:hAnsi="Times New Roman" w:eastAsia="宋体" w:cs="Times New Roman"/>
                <w:b w:val="0"/>
                <w:bCs w:val="0"/>
                <w:color w:val="auto"/>
                <w:spacing w:val="-6"/>
                <w:kern w:val="0"/>
                <w:sz w:val="21"/>
                <w:szCs w:val="21"/>
                <w:highlight w:val="none"/>
                <w:lang w:val="en-US" w:eastAsia="zh-CN" w:bidi="ar-SA"/>
              </w:rPr>
              <w:t>三</w:t>
            </w:r>
            <w:r>
              <w:rPr>
                <w:rFonts w:hint="default" w:ascii="Times New Roman" w:hAnsi="Times New Roman" w:eastAsia="宋体" w:cs="Times New Roman"/>
                <w:b w:val="0"/>
                <w:bCs w:val="0"/>
                <w:color w:val="auto"/>
                <w:spacing w:val="-6"/>
                <w:kern w:val="0"/>
                <w:sz w:val="21"/>
                <w:szCs w:val="21"/>
                <w:highlight w:val="none"/>
                <w:lang w:val="en-US" w:eastAsia="zh-CN" w:bidi="ar-SA"/>
              </w:rPr>
              <w:t>运转制</w:t>
            </w:r>
            <w:r>
              <w:rPr>
                <w:rFonts w:hint="eastAsia" w:cs="Times New Roman"/>
                <w:b w:val="0"/>
                <w:bCs w:val="0"/>
                <w:color w:val="auto"/>
                <w:spacing w:val="-6"/>
                <w:kern w:val="0"/>
                <w:sz w:val="21"/>
                <w:szCs w:val="21"/>
                <w:highlight w:val="none"/>
                <w:lang w:val="en-US" w:eastAsia="zh-CN" w:bidi="ar-SA"/>
              </w:rPr>
              <w:t>，</w:t>
            </w:r>
            <w:r>
              <w:rPr>
                <w:rFonts w:hint="default" w:ascii="Times New Roman" w:hAnsi="Times New Roman" w:eastAsia="宋体" w:cs="Times New Roman"/>
                <w:b w:val="0"/>
                <w:bCs w:val="0"/>
                <w:color w:val="auto"/>
                <w:spacing w:val="-6"/>
                <w:kern w:val="0"/>
                <w:sz w:val="21"/>
                <w:szCs w:val="21"/>
                <w:highlight w:val="none"/>
                <w:lang w:val="en-US" w:eastAsia="zh-CN" w:bidi="ar-SA"/>
              </w:rPr>
              <w:t>年工作</w:t>
            </w:r>
            <w:r>
              <w:rPr>
                <w:rFonts w:hint="eastAsia" w:ascii="Times New Roman" w:hAnsi="Times New Roman" w:eastAsia="宋体" w:cs="Times New Roman"/>
                <w:b w:val="0"/>
                <w:bCs w:val="0"/>
                <w:color w:val="auto"/>
                <w:spacing w:val="-6"/>
                <w:kern w:val="0"/>
                <w:sz w:val="21"/>
                <w:szCs w:val="21"/>
                <w:highlight w:val="none"/>
                <w:lang w:val="en-US" w:eastAsia="zh-CN" w:bidi="ar-SA"/>
              </w:rPr>
              <w:t>300</w:t>
            </w:r>
            <w:r>
              <w:rPr>
                <w:rFonts w:hint="default" w:ascii="Times New Roman" w:hAnsi="Times New Roman" w:eastAsia="宋体" w:cs="Times New Roman"/>
                <w:b w:val="0"/>
                <w:bCs w:val="0"/>
                <w:color w:val="auto"/>
                <w:spacing w:val="-6"/>
                <w:kern w:val="0"/>
                <w:sz w:val="21"/>
                <w:szCs w:val="21"/>
                <w:highlight w:val="none"/>
                <w:lang w:val="en-US" w:eastAsia="zh-CN" w:bidi="ar-SA"/>
              </w:rPr>
              <w:t>天</w:t>
            </w:r>
            <w:r>
              <w:rPr>
                <w:rFonts w:hint="eastAsia" w:ascii="Times New Roman" w:hAnsi="Times New Roman" w:eastAsia="宋体" w:cs="Times New Roman"/>
                <w:b w:val="0"/>
                <w:bCs w:val="0"/>
                <w:color w:val="auto"/>
                <w:spacing w:val="-6"/>
                <w:kern w:val="0"/>
                <w:sz w:val="21"/>
                <w:szCs w:val="21"/>
                <w:highlight w:val="none"/>
                <w:lang w:val="en-US" w:eastAsia="zh-CN" w:bidi="ar-SA"/>
              </w:rPr>
              <w:t>。</w:t>
            </w:r>
          </w:p>
          <w:p w14:paraId="6AC29FF0">
            <w:pPr>
              <w:keepNext w:val="0"/>
              <w:keepLines w:val="0"/>
              <w:pageBreakBefore w:val="0"/>
              <w:widowControl w:val="0"/>
              <w:kinsoku/>
              <w:wordWrap/>
              <w:overflowPunct/>
              <w:topLinePunct w:val="0"/>
              <w:autoSpaceDE/>
              <w:autoSpaceDN/>
              <w:bidi w:val="0"/>
              <w:adjustRightInd/>
              <w:snapToGrid/>
              <w:spacing w:after="0" w:line="360" w:lineRule="auto"/>
              <w:ind w:left="0" w:leftChars="0" w:right="0" w:firstLine="422" w:firstLineChars="200"/>
              <w:jc w:val="both"/>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eastAsia" w:ascii="Times New Roman" w:hAnsi="Times New Roman" w:eastAsia="宋体" w:cs="Times New Roman"/>
                <w:b/>
                <w:bCs/>
                <w:color w:val="auto"/>
                <w:kern w:val="0"/>
                <w:sz w:val="21"/>
                <w:szCs w:val="21"/>
                <w:highlight w:val="none"/>
                <w:lang w:val="en-US" w:eastAsia="zh-CN" w:bidi="ar-SA"/>
              </w:rPr>
              <w:t>（</w:t>
            </w:r>
            <w:r>
              <w:rPr>
                <w:rFonts w:hint="eastAsia" w:cs="Times New Roman"/>
                <w:b/>
                <w:bCs/>
                <w:color w:val="auto"/>
                <w:kern w:val="0"/>
                <w:sz w:val="21"/>
                <w:szCs w:val="21"/>
                <w:highlight w:val="none"/>
                <w:lang w:val="en-US" w:eastAsia="zh-CN" w:bidi="ar-SA"/>
              </w:rPr>
              <w:t>八</w:t>
            </w:r>
            <w:r>
              <w:rPr>
                <w:rFonts w:hint="eastAsia" w:ascii="Times New Roman" w:hAnsi="Times New Roman" w:eastAsia="宋体" w:cs="Times New Roman"/>
                <w:b/>
                <w:bCs/>
                <w:color w:val="auto"/>
                <w:kern w:val="0"/>
                <w:sz w:val="21"/>
                <w:szCs w:val="21"/>
                <w:highlight w:val="none"/>
                <w:lang w:val="en-US" w:eastAsia="zh-CN" w:bidi="ar-SA"/>
              </w:rPr>
              <w:t>）</w:t>
            </w:r>
            <w:r>
              <w:rPr>
                <w:rFonts w:hint="default" w:ascii="Times New Roman" w:hAnsi="Times New Roman" w:eastAsia="宋体" w:cs="Times New Roman"/>
                <w:b/>
                <w:bCs/>
                <w:color w:val="auto"/>
                <w:kern w:val="0"/>
                <w:sz w:val="21"/>
                <w:szCs w:val="21"/>
                <w:highlight w:val="none"/>
                <w:lang w:val="en-US" w:eastAsia="zh-CN" w:bidi="ar-SA"/>
              </w:rPr>
              <w:t>平面布置</w:t>
            </w:r>
          </w:p>
          <w:p w14:paraId="5DD12E76">
            <w:pPr>
              <w:adjustRightInd w:val="0"/>
              <w:snapToGrid w:val="0"/>
              <w:ind w:firstLine="420" w:firstLineChars="200"/>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本项目利用现有甘氨酸螯合物一车间进行提升改造，车间楼高约8m，共1.5层，其中反应区域共1层，辅助区域2层，总占地面积1040m</w:t>
            </w:r>
            <w:r>
              <w:rPr>
                <w:rFonts w:hint="eastAsia" w:cs="Times New Roman"/>
                <w:b w:val="0"/>
                <w:bCs w:val="0"/>
                <w:color w:val="auto"/>
                <w:sz w:val="21"/>
                <w:szCs w:val="21"/>
                <w:highlight w:val="none"/>
                <w:vertAlign w:val="superscript"/>
                <w:lang w:val="en-US" w:eastAsia="zh-CN"/>
              </w:rPr>
              <w:t>2</w:t>
            </w:r>
            <w:r>
              <w:rPr>
                <w:rFonts w:hint="eastAsia" w:cs="Times New Roman"/>
                <w:b w:val="0"/>
                <w:bCs w:val="0"/>
                <w:color w:val="auto"/>
                <w:sz w:val="21"/>
                <w:szCs w:val="21"/>
                <w:highlight w:val="none"/>
                <w:lang w:val="en-US" w:eastAsia="zh-CN"/>
              </w:rPr>
              <w:t>，总建筑面积约1560m</w:t>
            </w:r>
            <w:r>
              <w:rPr>
                <w:rFonts w:hint="eastAsia" w:cs="Times New Roman"/>
                <w:b w:val="0"/>
                <w:bCs w:val="0"/>
                <w:color w:val="auto"/>
                <w:sz w:val="21"/>
                <w:szCs w:val="21"/>
                <w:highlight w:val="none"/>
                <w:vertAlign w:val="superscript"/>
                <w:lang w:val="en-US" w:eastAsia="zh-CN"/>
              </w:rPr>
              <w:t>2</w:t>
            </w:r>
            <w:r>
              <w:rPr>
                <w:rFonts w:hint="eastAsia" w:cs="Times New Roman"/>
                <w:b w:val="0"/>
                <w:bCs w:val="0"/>
                <w:color w:val="auto"/>
                <w:sz w:val="21"/>
                <w:szCs w:val="21"/>
                <w:highlight w:val="none"/>
                <w:lang w:val="en-US" w:eastAsia="zh-CN"/>
              </w:rPr>
              <w:t>。各层布设情况如下：</w:t>
            </w:r>
          </w:p>
          <w:p w14:paraId="66CC235D">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val="en-US" w:eastAsia="zh-CN"/>
              </w:rPr>
              <w:t>甘氨酸螯合物一车间</w:t>
            </w:r>
            <w:r>
              <w:rPr>
                <w:rFonts w:hint="default"/>
                <w:color w:val="auto"/>
                <w:sz w:val="21"/>
                <w:szCs w:val="21"/>
                <w:highlight w:val="none"/>
                <w:lang w:val="en-US" w:eastAsia="zh-CN"/>
              </w:rPr>
              <w:t>布设情况：</w:t>
            </w:r>
            <w:r>
              <w:rPr>
                <w:rFonts w:hint="eastAsia"/>
                <w:color w:val="auto"/>
                <w:sz w:val="21"/>
                <w:szCs w:val="21"/>
                <w:highlight w:val="none"/>
                <w:lang w:val="en-US" w:eastAsia="zh-CN"/>
              </w:rPr>
              <w:t>车间西北侧为原料库，西南侧为一般区，依次设置反应釜、喷雾干燥等设备，中间区域为洁净区，车间东侧为库房。</w:t>
            </w:r>
          </w:p>
          <w:p w14:paraId="5C45920D">
            <w:pPr>
              <w:adjustRightInd w:val="0"/>
              <w:snapToGrid w:val="0"/>
              <w:ind w:firstLine="420" w:firstLineChars="200"/>
              <w:rPr>
                <w:rFonts w:hint="default"/>
                <w:b/>
                <w:bCs/>
                <w:color w:val="auto"/>
                <w:highlight w:val="none"/>
                <w:lang w:val="en-US" w:eastAsia="zh-CN"/>
              </w:rPr>
            </w:pPr>
            <w:r>
              <w:rPr>
                <w:rFonts w:hint="eastAsia" w:cs="Times New Roman"/>
                <w:b w:val="0"/>
                <w:bCs w:val="0"/>
                <w:color w:val="auto"/>
                <w:sz w:val="21"/>
                <w:szCs w:val="21"/>
                <w:highlight w:val="none"/>
                <w:lang w:val="en-US" w:eastAsia="zh-CN"/>
              </w:rPr>
              <w:t>本项目具体平面布设情况见附图4。</w:t>
            </w:r>
          </w:p>
        </w:tc>
      </w:tr>
    </w:tbl>
    <w:p w14:paraId="00B969CD">
      <w:pPr>
        <w:pStyle w:val="35"/>
        <w:rPr>
          <w:color w:val="auto"/>
          <w:highlight w:val="none"/>
        </w:rPr>
        <w:sectPr>
          <w:footerReference r:id="rId11" w:type="default"/>
          <w:pgSz w:w="11906" w:h="16838"/>
          <w:pgMar w:top="1701" w:right="1531" w:bottom="1701"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23"/>
        <w:gridCol w:w="8161"/>
      </w:tblGrid>
      <w:tr w14:paraId="1421C9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18" w:hRule="atLeast"/>
          <w:jc w:val="center"/>
        </w:trPr>
        <w:tc>
          <w:tcPr>
            <w:tcW w:w="823" w:type="dxa"/>
            <w:noWrap w:val="0"/>
            <w:vAlign w:val="center"/>
          </w:tcPr>
          <w:p w14:paraId="744AE79B">
            <w:pPr>
              <w:widowControl w:val="0"/>
              <w:adjustRightInd/>
              <w:snapToGrid/>
              <w:spacing w:before="0" w:beforeAutospacing="0" w:after="0" w:afterAutospacing="0" w:line="240" w:lineRule="auto"/>
              <w:jc w:val="center"/>
              <w:rPr>
                <w:rFonts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工艺流程和产排污环节</w:t>
            </w:r>
          </w:p>
        </w:tc>
        <w:tc>
          <w:tcPr>
            <w:tcW w:w="8161" w:type="dxa"/>
            <w:noWrap w:val="0"/>
            <w:vAlign w:val="top"/>
          </w:tcPr>
          <w:p w14:paraId="57F4FE3B">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本次扩能改造完成后甘氨酸亚铁产能：300吨/年，</w:t>
            </w:r>
            <w:r>
              <w:rPr>
                <w:rFonts w:hint="default" w:ascii="Times New Roman" w:hAnsi="Times New Roman" w:eastAsia="宋体" w:cs="Times New Roman"/>
                <w:b w:val="0"/>
                <w:bCs w:val="0"/>
                <w:color w:val="auto"/>
                <w:sz w:val="21"/>
                <w:szCs w:val="21"/>
                <w:highlight w:val="none"/>
                <w:lang w:val="en-US" w:eastAsia="zh-CN"/>
              </w:rPr>
              <w:t>具体生产工艺流程及排污节点情况如下。</w:t>
            </w:r>
          </w:p>
          <w:p w14:paraId="49119AC7">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（1）工艺原理</w:t>
            </w:r>
          </w:p>
          <w:p w14:paraId="7F2C63D1">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cs="Times New Roman"/>
                <w:b w:val="0"/>
                <w:bCs w:val="0"/>
                <w:color w:val="auto"/>
                <w:sz w:val="21"/>
                <w:szCs w:val="21"/>
                <w:highlight w:val="none"/>
                <w:lang w:val="en-US" w:eastAsia="zh-CN"/>
              </w:rPr>
            </w:pPr>
            <w:r>
              <w:rPr>
                <w:rFonts w:hint="default" w:ascii="Times New Roman" w:hAnsi="Times New Roman" w:cs="Times New Roman" w:eastAsiaTheme="minorEastAsia"/>
                <w:b w:val="0"/>
                <w:bCs w:val="0"/>
                <w:color w:val="auto"/>
                <w:sz w:val="21"/>
                <w:szCs w:val="21"/>
                <w:highlight w:val="none"/>
                <w:lang w:val="en-US" w:eastAsia="zh-CN"/>
              </w:rPr>
              <w:t>甘氨酸</w:t>
            </w:r>
            <w:r>
              <w:rPr>
                <w:rFonts w:hint="eastAsia" w:cs="Times New Roman" w:eastAsiaTheme="minorEastAsia"/>
                <w:b w:val="0"/>
                <w:bCs w:val="0"/>
                <w:color w:val="auto"/>
                <w:sz w:val="21"/>
                <w:szCs w:val="21"/>
                <w:highlight w:val="none"/>
                <w:lang w:val="en-US" w:eastAsia="zh-CN"/>
              </w:rPr>
              <w:t>亚铁</w:t>
            </w:r>
            <w:r>
              <w:rPr>
                <w:rFonts w:hint="default" w:ascii="Times New Roman" w:hAnsi="Times New Roman" w:cs="Times New Roman" w:eastAsiaTheme="minorEastAsia"/>
                <w:b w:val="0"/>
                <w:bCs w:val="0"/>
                <w:color w:val="auto"/>
                <w:sz w:val="21"/>
                <w:szCs w:val="21"/>
                <w:highlight w:val="none"/>
                <w:lang w:val="en-US" w:eastAsia="zh-CN"/>
              </w:rPr>
              <w:t>生产</w:t>
            </w:r>
            <w:r>
              <w:rPr>
                <w:rFonts w:hint="eastAsia" w:cs="Times New Roman" w:eastAsiaTheme="minorEastAsia"/>
                <w:b w:val="0"/>
                <w:bCs w:val="0"/>
                <w:color w:val="auto"/>
                <w:sz w:val="21"/>
                <w:szCs w:val="21"/>
                <w:highlight w:val="none"/>
                <w:lang w:val="en-US" w:eastAsia="zh-CN"/>
              </w:rPr>
              <w:t>12</w:t>
            </w:r>
            <w:r>
              <w:rPr>
                <w:rFonts w:hint="default" w:ascii="Times New Roman" w:hAnsi="Times New Roman" w:cs="Times New Roman" w:eastAsiaTheme="minorEastAsia"/>
                <w:b w:val="0"/>
                <w:bCs w:val="0"/>
                <w:color w:val="auto"/>
                <w:sz w:val="21"/>
                <w:szCs w:val="21"/>
                <w:highlight w:val="none"/>
                <w:lang w:val="en-US" w:eastAsia="zh-CN"/>
              </w:rPr>
              <w:t>h/批次，每天生产</w:t>
            </w:r>
            <w:r>
              <w:rPr>
                <w:rFonts w:hint="eastAsia" w:cs="Times New Roman" w:eastAsiaTheme="minorEastAsia"/>
                <w:b w:val="0"/>
                <w:bCs w:val="0"/>
                <w:color w:val="auto"/>
                <w:sz w:val="21"/>
                <w:szCs w:val="21"/>
                <w:highlight w:val="none"/>
                <w:lang w:val="en-US" w:eastAsia="zh-CN"/>
              </w:rPr>
              <w:t>2</w:t>
            </w:r>
            <w:r>
              <w:rPr>
                <w:rFonts w:hint="default" w:ascii="Times New Roman" w:hAnsi="Times New Roman" w:cs="Times New Roman" w:eastAsiaTheme="minorEastAsia"/>
                <w:b w:val="0"/>
                <w:bCs w:val="0"/>
                <w:color w:val="auto"/>
                <w:sz w:val="21"/>
                <w:szCs w:val="21"/>
                <w:highlight w:val="none"/>
                <w:lang w:val="en-US" w:eastAsia="zh-CN"/>
              </w:rPr>
              <w:t>批次，</w:t>
            </w:r>
            <w:r>
              <w:rPr>
                <w:rFonts w:hint="eastAsia" w:cs="Times New Roman" w:eastAsiaTheme="minorEastAsia"/>
                <w:b w:val="0"/>
                <w:bCs w:val="0"/>
                <w:color w:val="auto"/>
                <w:sz w:val="21"/>
                <w:szCs w:val="21"/>
                <w:highlight w:val="none"/>
                <w:lang w:val="en-US" w:eastAsia="zh-CN"/>
              </w:rPr>
              <w:t>每批次500kg，收率92%</w:t>
            </w:r>
            <w:r>
              <w:rPr>
                <w:rFonts w:hint="default" w:ascii="Times New Roman" w:hAnsi="Times New Roman" w:cs="Times New Roman" w:eastAsiaTheme="minorEastAsia"/>
                <w:b w:val="0"/>
                <w:bCs w:val="0"/>
                <w:color w:val="auto"/>
                <w:sz w:val="21"/>
                <w:szCs w:val="21"/>
                <w:highlight w:val="none"/>
                <w:lang w:val="en-US" w:eastAsia="zh-CN"/>
              </w:rPr>
              <w:t>，年生产时间300d，年生产量300t</w:t>
            </w:r>
            <w:r>
              <w:rPr>
                <w:rFonts w:hint="eastAsia" w:cs="Times New Roman" w:eastAsiaTheme="minorEastAsia"/>
                <w:b w:val="0"/>
                <w:bCs w:val="0"/>
                <w:color w:val="auto"/>
                <w:sz w:val="21"/>
                <w:szCs w:val="21"/>
                <w:highlight w:val="none"/>
                <w:lang w:val="en-US" w:eastAsia="zh-CN"/>
              </w:rPr>
              <w:t>。</w:t>
            </w:r>
            <w:r>
              <w:rPr>
                <w:rFonts w:hint="eastAsia" w:cs="Times New Roman"/>
                <w:b w:val="0"/>
                <w:bCs w:val="0"/>
                <w:color w:val="auto"/>
                <w:sz w:val="21"/>
                <w:szCs w:val="21"/>
                <w:highlight w:val="none"/>
                <w:lang w:val="en-US" w:eastAsia="zh-CN"/>
              </w:rPr>
              <w:t>分别经反应、离心过滤、喷雾干燥、粉碎包装等工序得到产品。</w:t>
            </w:r>
          </w:p>
          <w:p w14:paraId="54674262">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default" w:ascii="Calibri" w:hAnsi="Calibri" w:eastAsia="宋体" w:cs="Calibri"/>
                <w:color w:val="auto"/>
                <w:sz w:val="21"/>
                <w:szCs w:val="21"/>
                <w:highlight w:val="none"/>
                <w:lang w:eastAsia="zh-CN"/>
              </w:rPr>
              <w:t>①</w:t>
            </w:r>
            <w:r>
              <w:rPr>
                <w:rFonts w:hint="eastAsia" w:cs="Times New Roman"/>
                <w:b w:val="0"/>
                <w:bCs w:val="0"/>
                <w:color w:val="auto"/>
                <w:sz w:val="21"/>
                <w:szCs w:val="21"/>
                <w:highlight w:val="none"/>
                <w:lang w:val="en-US" w:eastAsia="zh-CN"/>
              </w:rPr>
              <w:t>主要化学反应方程式：</w:t>
            </w:r>
          </w:p>
          <w:p w14:paraId="27EF00C5">
            <w:pPr>
              <w:pStyle w:val="2"/>
              <w:keepNext w:val="0"/>
              <w:keepLines w:val="0"/>
              <w:pageBreakBefore w:val="0"/>
              <w:widowControl w:val="0"/>
              <w:kinsoku/>
              <w:wordWrap/>
              <w:overflowPunct/>
              <w:topLinePunct w:val="0"/>
              <w:autoSpaceDE/>
              <w:autoSpaceDN/>
              <w:bidi w:val="0"/>
              <w:adjustRightInd/>
              <w:snapToGrid/>
              <w:spacing w:line="360" w:lineRule="auto"/>
              <w:rPr>
                <w:rFonts w:hint="eastAsia"/>
                <w:color w:val="auto"/>
                <w:sz w:val="21"/>
                <w:szCs w:val="21"/>
                <w:highlight w:val="none"/>
                <w:lang w:val="en-US" w:eastAsia="zh-CN"/>
              </w:rPr>
            </w:pPr>
            <w:r>
              <w:rPr>
                <w:rFonts w:hint="eastAsia" w:eastAsia="宋体"/>
                <w:color w:val="auto"/>
                <w:sz w:val="21"/>
                <w:szCs w:val="21"/>
                <w:highlight w:val="none"/>
                <w:lang w:eastAsia="zh-CN"/>
              </w:rPr>
              <w:t>甘氨酸</w:t>
            </w:r>
            <w:r>
              <w:rPr>
                <w:rFonts w:hint="eastAsia"/>
                <w:color w:val="auto"/>
                <w:sz w:val="21"/>
                <w:szCs w:val="21"/>
                <w:highlight w:val="none"/>
                <w:lang w:val="en-US" w:eastAsia="zh-CN"/>
              </w:rPr>
              <w:t>亚铁</w:t>
            </w:r>
            <w:r>
              <w:rPr>
                <w:rFonts w:hint="eastAsia" w:eastAsia="宋体"/>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2NH</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CH</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 xml:space="preserve">COOH + Fe </w:t>
            </w:r>
            <w:r>
              <w:rPr>
                <w:rFonts w:hint="eastAsia"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2H</w:t>
            </w:r>
            <w:r>
              <w:rPr>
                <w:rFonts w:hint="default"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lang w:val="en-US" w:eastAsia="zh-CN"/>
              </w:rPr>
              <w:t>O</w:t>
            </w:r>
            <w:r>
              <w:rPr>
                <w:rFonts w:hint="eastAsia" w:ascii="Times New Roman" w:hAnsi="Times New Roman" w:cs="Times New Roman"/>
                <w:color w:val="auto"/>
                <w:sz w:val="21"/>
                <w:szCs w:val="21"/>
                <w:highlight w:val="none"/>
                <w:lang w:val="en-US" w:eastAsia="zh-CN"/>
              </w:rPr>
              <w:t>→Fe(NH</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CH</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COO)</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 xml:space="preserve"> </w:t>
            </w:r>
            <w:r>
              <w:rPr>
                <w:rFonts w:hint="default" w:ascii="Times New Roman" w:hAnsi="Times New Roman" w:eastAsia="宋体" w:cs="Times New Roman"/>
                <w:b/>
                <w:bCs/>
                <w:color w:val="auto"/>
                <w:spacing w:val="-23"/>
                <w:sz w:val="21"/>
                <w:szCs w:val="21"/>
                <w:highlight w:val="none"/>
              </w:rPr>
              <w:t>⋅</w:t>
            </w:r>
            <w:r>
              <w:rPr>
                <w:rFonts w:hint="default" w:ascii="Times New Roman" w:hAnsi="Times New Roman" w:eastAsia="宋体" w:cs="Times New Roman"/>
                <w:color w:val="auto"/>
                <w:sz w:val="21"/>
                <w:szCs w:val="21"/>
                <w:highlight w:val="none"/>
              </w:rPr>
              <w:t>2H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O</w:t>
            </w:r>
            <w:r>
              <w:rPr>
                <w:rFonts w:hint="eastAsia" w:ascii="Times New Roman" w:hAnsi="Times New Roman" w:cs="Times New Roman"/>
                <w:color w:val="auto"/>
                <w:sz w:val="21"/>
                <w:szCs w:val="21"/>
                <w:highlight w:val="none"/>
                <w:lang w:val="en-US" w:eastAsia="zh-CN"/>
              </w:rPr>
              <w:t>+ H</w:t>
            </w:r>
            <w:r>
              <w:rPr>
                <w:rFonts w:hint="eastAsia"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lang w:val="en-US" w:eastAsia="zh-CN"/>
              </w:rPr>
              <w:t>↑</w:t>
            </w:r>
            <w:r>
              <w:rPr>
                <w:rFonts w:hint="eastAsia"/>
                <w:color w:val="auto"/>
                <w:sz w:val="21"/>
                <w:szCs w:val="21"/>
                <w:highlight w:val="none"/>
                <w:lang w:val="en-US" w:eastAsia="zh-CN"/>
              </w:rPr>
              <w:t xml:space="preserve">放热 </w:t>
            </w:r>
          </w:p>
          <w:p w14:paraId="56D0F9C8">
            <w:pPr>
              <w:pStyle w:val="2"/>
              <w:keepNext w:val="0"/>
              <w:keepLines w:val="0"/>
              <w:pageBreakBefore w:val="0"/>
              <w:widowControl w:val="0"/>
              <w:kinsoku/>
              <w:wordWrap/>
              <w:overflowPunct/>
              <w:topLinePunct w:val="0"/>
              <w:autoSpaceDE/>
              <w:autoSpaceDN/>
              <w:bidi w:val="0"/>
              <w:adjustRightInd/>
              <w:snapToGrid/>
              <w:spacing w:line="360" w:lineRule="auto"/>
              <w:rPr>
                <w:rFonts w:hint="default"/>
                <w:color w:val="auto"/>
                <w:sz w:val="21"/>
                <w:szCs w:val="21"/>
                <w:highlight w:val="none"/>
                <w:lang w:val="en-US" w:eastAsia="zh-CN"/>
              </w:rPr>
            </w:pPr>
            <w:r>
              <w:rPr>
                <w:rFonts w:hint="eastAsia"/>
                <w:color w:val="auto"/>
                <w:sz w:val="21"/>
                <w:szCs w:val="21"/>
                <w:highlight w:val="none"/>
                <w:lang w:val="en-US" w:eastAsia="zh-CN"/>
              </w:rPr>
              <w:t xml:space="preserve">                75          56   18           240             2</w:t>
            </w:r>
          </w:p>
          <w:p w14:paraId="0ECCBA9B">
            <w:pPr>
              <w:pStyle w:val="2"/>
              <w:keepNext w:val="0"/>
              <w:keepLines w:val="0"/>
              <w:pageBreakBefore w:val="0"/>
              <w:widowControl w:val="0"/>
              <w:kinsoku/>
              <w:wordWrap/>
              <w:overflowPunct/>
              <w:topLinePunct w:val="0"/>
              <w:autoSpaceDE/>
              <w:autoSpaceDN/>
              <w:bidi w:val="0"/>
              <w:adjustRightInd/>
              <w:snapToGrid/>
              <w:spacing w:line="360" w:lineRule="auto"/>
              <w:rPr>
                <w:rFonts w:hint="eastAsia" w:ascii="Times New Roman" w:hAnsi="Times New Roman" w:cs="Times New Roman" w:eastAsiaTheme="minorEastAsia"/>
                <w:b w:val="0"/>
                <w:bCs w:val="0"/>
                <w:color w:val="auto"/>
                <w:sz w:val="21"/>
                <w:szCs w:val="21"/>
                <w:highlight w:val="none"/>
                <w:lang w:val="en-US" w:eastAsia="zh-CN"/>
              </w:rPr>
            </w:pPr>
            <w:r>
              <w:rPr>
                <w:rFonts w:hint="eastAsia" w:ascii="Times New Roman" w:hAnsi="Times New Roman" w:cs="Times New Roman" w:eastAsiaTheme="minorEastAsia"/>
                <w:b w:val="0"/>
                <w:bCs w:val="0"/>
                <w:color w:val="auto"/>
                <w:sz w:val="21"/>
                <w:szCs w:val="21"/>
                <w:highlight w:val="none"/>
                <w:lang w:val="en-US" w:eastAsia="zh-CN"/>
              </w:rPr>
              <w:t>反应机理：</w:t>
            </w:r>
            <w:r>
              <w:rPr>
                <w:rFonts w:hint="default" w:ascii="Times New Roman" w:hAnsi="Times New Roman" w:cs="Times New Roman" w:eastAsiaTheme="minorEastAsia"/>
                <w:b w:val="0"/>
                <w:bCs w:val="0"/>
                <w:color w:val="auto"/>
                <w:sz w:val="21"/>
                <w:szCs w:val="21"/>
                <w:highlight w:val="none"/>
                <w:lang w:val="en-US" w:eastAsia="zh-CN"/>
              </w:rPr>
              <w:t>铁粉先与甘氨酸羧基缓慢反应生成</w:t>
            </w:r>
            <w:r>
              <w:rPr>
                <w:rFonts w:hint="eastAsia" w:ascii="Times New Roman" w:hAnsi="Times New Roman" w:cs="Times New Roman"/>
                <w:color w:val="auto"/>
                <w:sz w:val="21"/>
                <w:szCs w:val="21"/>
                <w:highlight w:val="none"/>
                <w:lang w:val="en-US" w:eastAsia="zh-CN"/>
              </w:rPr>
              <w:t>Fe</w:t>
            </w:r>
            <w:r>
              <w:rPr>
                <w:rFonts w:hint="eastAsia"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eastAsiaTheme="minorEastAsia"/>
                <w:b w:val="0"/>
                <w:bCs w:val="0"/>
                <w:color w:val="auto"/>
                <w:sz w:val="21"/>
                <w:szCs w:val="21"/>
                <w:highlight w:val="none"/>
                <w:lang w:val="en-US" w:eastAsia="zh-CN"/>
              </w:rPr>
              <w:t>，甘氨酸氨基、羧基与</w:t>
            </w:r>
            <w:r>
              <w:rPr>
                <w:rFonts w:hint="eastAsia" w:ascii="Times New Roman" w:hAnsi="Times New Roman" w:cs="Times New Roman"/>
                <w:color w:val="auto"/>
                <w:sz w:val="21"/>
                <w:szCs w:val="21"/>
                <w:highlight w:val="none"/>
                <w:lang w:val="en-US" w:eastAsia="zh-CN"/>
              </w:rPr>
              <w:t>Fe</w:t>
            </w:r>
            <w:r>
              <w:rPr>
                <w:rFonts w:hint="eastAsia"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eastAsiaTheme="minorEastAsia"/>
                <w:b w:val="0"/>
                <w:bCs w:val="0"/>
                <w:color w:val="auto"/>
                <w:sz w:val="21"/>
                <w:szCs w:val="21"/>
                <w:highlight w:val="none"/>
                <w:lang w:val="en-US" w:eastAsia="zh-CN"/>
              </w:rPr>
              <w:t xml:space="preserve">形成五元环状螯合键（甘氨酸亚铁），螯合物键能高、热稳定性好，水溶液中以离子/水合分子存在，常温、喷干温度下不会热裂解挥发有机小分子。常温及喷雾干燥常规控温（进风 </w:t>
            </w:r>
            <w:r>
              <w:rPr>
                <w:rFonts w:hint="eastAsia" w:ascii="Times New Roman" w:hAnsi="Times New Roman" w:cs="Times New Roman" w:eastAsiaTheme="minorEastAsia"/>
                <w:b w:val="0"/>
                <w:bCs w:val="0"/>
                <w:color w:val="auto"/>
                <w:sz w:val="21"/>
                <w:szCs w:val="21"/>
                <w:highlight w:val="none"/>
                <w:lang w:val="en-US" w:eastAsia="zh-CN"/>
              </w:rPr>
              <w:t>200</w:t>
            </w:r>
            <w:r>
              <w:rPr>
                <w:rFonts w:hint="default" w:ascii="Times New Roman" w:hAnsi="Times New Roman" w:cs="Times New Roman" w:eastAsiaTheme="minorEastAsia"/>
                <w:b w:val="0"/>
                <w:bCs w:val="0"/>
                <w:color w:val="auto"/>
                <w:sz w:val="21"/>
                <w:szCs w:val="21"/>
                <w:highlight w:val="none"/>
                <w:lang w:val="en-US" w:eastAsia="zh-CN"/>
              </w:rPr>
              <w:t>～</w:t>
            </w:r>
            <w:r>
              <w:rPr>
                <w:rFonts w:hint="eastAsia" w:ascii="Times New Roman" w:hAnsi="Times New Roman" w:cs="Times New Roman" w:eastAsiaTheme="minorEastAsia"/>
                <w:b w:val="0"/>
                <w:bCs w:val="0"/>
                <w:color w:val="auto"/>
                <w:sz w:val="21"/>
                <w:szCs w:val="21"/>
                <w:highlight w:val="none"/>
                <w:lang w:val="en-US" w:eastAsia="zh-CN"/>
              </w:rPr>
              <w:t>280</w:t>
            </w:r>
            <w:r>
              <w:rPr>
                <w:rFonts w:hint="default" w:ascii="Times New Roman" w:hAnsi="Times New Roman" w:cs="Times New Roman" w:eastAsiaTheme="minorEastAsia"/>
                <w:b w:val="0"/>
                <w:bCs w:val="0"/>
                <w:color w:val="auto"/>
                <w:sz w:val="21"/>
                <w:szCs w:val="21"/>
                <w:highlight w:val="none"/>
                <w:lang w:val="en-US" w:eastAsia="zh-CN"/>
              </w:rPr>
              <w:t>℃、物料瞬时温度＜105℃）条件下，螯合物不会受热裂解、无甘氨酸等有机小分子挥发逸出，全部固存于产品中；主反应实际原料转化率9</w:t>
            </w:r>
            <w:r>
              <w:rPr>
                <w:rFonts w:hint="eastAsia" w:cs="Times New Roman" w:eastAsiaTheme="minorEastAsia"/>
                <w:b w:val="0"/>
                <w:bCs w:val="0"/>
                <w:color w:val="auto"/>
                <w:sz w:val="21"/>
                <w:szCs w:val="21"/>
                <w:highlight w:val="none"/>
                <w:lang w:val="en-US" w:eastAsia="zh-CN"/>
              </w:rPr>
              <w:t>6</w:t>
            </w:r>
            <w:r>
              <w:rPr>
                <w:rFonts w:hint="default" w:ascii="Times New Roman" w:hAnsi="Times New Roman" w:cs="Times New Roman" w:eastAsiaTheme="minorEastAsia"/>
                <w:b w:val="0"/>
                <w:bCs w:val="0"/>
                <w:color w:val="auto"/>
                <w:sz w:val="21"/>
                <w:szCs w:val="21"/>
                <w:highlight w:val="none"/>
                <w:lang w:val="en-US" w:eastAsia="zh-CN"/>
              </w:rPr>
              <w:t>%</w:t>
            </w:r>
            <w:r>
              <w:rPr>
                <w:rFonts w:hint="eastAsia" w:ascii="Times New Roman" w:hAnsi="Times New Roman" w:cs="Times New Roman" w:eastAsiaTheme="minorEastAsia"/>
                <w:b w:val="0"/>
                <w:bCs w:val="0"/>
                <w:color w:val="auto"/>
                <w:sz w:val="21"/>
                <w:szCs w:val="21"/>
                <w:highlight w:val="none"/>
                <w:lang w:val="en-US" w:eastAsia="zh-CN"/>
              </w:rPr>
              <w:t>，</w:t>
            </w:r>
            <w:r>
              <w:rPr>
                <w:rFonts w:hint="default" w:ascii="Times New Roman" w:hAnsi="Times New Roman" w:cs="Times New Roman" w:eastAsiaTheme="minorEastAsia"/>
                <w:b w:val="0"/>
                <w:bCs w:val="0"/>
                <w:color w:val="auto"/>
                <w:sz w:val="21"/>
                <w:szCs w:val="21"/>
                <w:highlight w:val="none"/>
                <w:lang w:val="en-US" w:eastAsia="zh-CN"/>
              </w:rPr>
              <w:t>料液中</w:t>
            </w:r>
            <w:r>
              <w:rPr>
                <w:rFonts w:hint="eastAsia" w:ascii="Times New Roman" w:hAnsi="Times New Roman" w:cs="Times New Roman" w:eastAsiaTheme="minorEastAsia"/>
                <w:b w:val="0"/>
                <w:bCs w:val="0"/>
                <w:color w:val="auto"/>
                <w:sz w:val="21"/>
                <w:szCs w:val="21"/>
                <w:highlight w:val="none"/>
                <w:lang w:val="en-US" w:eastAsia="zh-CN"/>
              </w:rPr>
              <w:t>剩余</w:t>
            </w:r>
            <w:r>
              <w:rPr>
                <w:rFonts w:hint="eastAsia" w:cs="Times New Roman" w:eastAsiaTheme="minorEastAsia"/>
                <w:b w:val="0"/>
                <w:bCs w:val="0"/>
                <w:color w:val="auto"/>
                <w:sz w:val="21"/>
                <w:szCs w:val="21"/>
                <w:highlight w:val="none"/>
                <w:lang w:val="en-US" w:eastAsia="zh-CN"/>
              </w:rPr>
              <w:t>4</w:t>
            </w:r>
            <w:r>
              <w:rPr>
                <w:rFonts w:hint="eastAsia" w:ascii="Times New Roman" w:hAnsi="Times New Roman" w:cs="Times New Roman" w:eastAsiaTheme="minorEastAsia"/>
                <w:b w:val="0"/>
                <w:bCs w:val="0"/>
                <w:color w:val="auto"/>
                <w:sz w:val="21"/>
                <w:szCs w:val="21"/>
                <w:highlight w:val="none"/>
                <w:lang w:val="en-US" w:eastAsia="zh-CN"/>
              </w:rPr>
              <w:t>%</w:t>
            </w:r>
            <w:r>
              <w:rPr>
                <w:rFonts w:hint="default" w:ascii="Times New Roman" w:hAnsi="Times New Roman" w:cs="Times New Roman" w:eastAsiaTheme="minorEastAsia"/>
                <w:b w:val="0"/>
                <w:bCs w:val="0"/>
                <w:color w:val="auto"/>
                <w:sz w:val="21"/>
                <w:szCs w:val="21"/>
                <w:highlight w:val="none"/>
                <w:lang w:val="en-US" w:eastAsia="zh-CN"/>
              </w:rPr>
              <w:t>甘氨酸以水合离子态溶解在液相，随水分受热析出固态粉末，</w:t>
            </w:r>
            <w:r>
              <w:rPr>
                <w:rFonts w:hint="eastAsia" w:ascii="Times New Roman" w:hAnsi="Times New Roman" w:cs="Times New Roman" w:eastAsiaTheme="minorEastAsia"/>
                <w:b w:val="0"/>
                <w:bCs w:val="0"/>
                <w:color w:val="auto"/>
                <w:sz w:val="21"/>
                <w:szCs w:val="21"/>
                <w:highlight w:val="none"/>
                <w:lang w:val="en-US" w:eastAsia="zh-CN"/>
              </w:rPr>
              <w:t>甘氨酸本身不会气化挥发</w:t>
            </w:r>
            <w:r>
              <w:rPr>
                <w:rFonts w:hint="default" w:ascii="Times New Roman" w:hAnsi="Times New Roman" w:cs="Times New Roman" w:eastAsiaTheme="minorEastAsia"/>
                <w:b w:val="0"/>
                <w:bCs w:val="0"/>
                <w:color w:val="auto"/>
                <w:sz w:val="21"/>
                <w:szCs w:val="21"/>
                <w:highlight w:val="none"/>
                <w:lang w:val="en-US" w:eastAsia="zh-CN"/>
              </w:rPr>
              <w:t>。</w:t>
            </w:r>
          </w:p>
          <w:p w14:paraId="4BED2209">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default" w:ascii="Calibri" w:hAnsi="Calibri" w:cs="Calibri"/>
                <w:b w:val="0"/>
                <w:bCs w:val="0"/>
                <w:color w:val="auto"/>
                <w:sz w:val="21"/>
                <w:szCs w:val="21"/>
                <w:highlight w:val="none"/>
                <w:lang w:val="en-US" w:eastAsia="zh-CN"/>
              </w:rPr>
              <w:t>②</w:t>
            </w:r>
            <w:r>
              <w:rPr>
                <w:rFonts w:hint="eastAsia" w:cs="Times New Roman"/>
                <w:b w:val="0"/>
                <w:bCs w:val="0"/>
                <w:color w:val="auto"/>
                <w:sz w:val="21"/>
                <w:szCs w:val="21"/>
                <w:highlight w:val="none"/>
                <w:lang w:val="en-US" w:eastAsia="zh-CN"/>
              </w:rPr>
              <w:t>副化学反应方程式：</w:t>
            </w:r>
          </w:p>
          <w:p w14:paraId="7A71C4DA">
            <w:pPr>
              <w:pStyle w:val="2"/>
              <w:keepNext w:val="0"/>
              <w:keepLines w:val="0"/>
              <w:pageBreakBefore w:val="0"/>
              <w:widowControl w:val="0"/>
              <w:kinsoku/>
              <w:wordWrap/>
              <w:overflowPunct/>
              <w:topLinePunct w:val="0"/>
              <w:autoSpaceDE/>
              <w:autoSpaceDN/>
              <w:bidi w:val="0"/>
              <w:adjustRightInd/>
              <w:snapToGrid/>
              <w:spacing w:line="360" w:lineRule="auto"/>
              <w:rPr>
                <w:rFonts w:hint="eastAsia" w:ascii="Times New Roman" w:hAnsi="Times New Roman"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柠檬酸</w:t>
            </w:r>
            <w:r>
              <w:rPr>
                <w:rFonts w:hint="default" w:ascii="Times New Roman" w:hAnsi="Times New Roman" w:cs="Times New Roman"/>
                <w:color w:val="auto"/>
                <w:sz w:val="21"/>
                <w:szCs w:val="21"/>
                <w:highlight w:val="none"/>
                <w:lang w:val="en-US" w:eastAsia="zh-CN"/>
              </w:rPr>
              <w:t>亚铁</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b w:val="0"/>
                <w:bCs w:val="0"/>
                <w:color w:val="auto"/>
                <w:spacing w:val="0"/>
                <w:sz w:val="21"/>
                <w:szCs w:val="21"/>
                <w:highlight w:val="none"/>
                <w:vertAlign w:val="baseline"/>
                <w:lang w:val="en-US" w:eastAsia="zh-CN" w:bidi="ar"/>
              </w:rPr>
              <w:t>C₆H₈O₇</w:t>
            </w:r>
            <w:r>
              <w:rPr>
                <w:rFonts w:hint="default" w:ascii="Times New Roman" w:hAnsi="Times New Roman" w:cs="Times New Roman"/>
                <w:color w:val="auto"/>
                <w:sz w:val="21"/>
                <w:szCs w:val="21"/>
                <w:highlight w:val="none"/>
                <w:lang w:val="en-US" w:eastAsia="zh-CN"/>
              </w:rPr>
              <w:t xml:space="preserve"> + Fe +H</w:t>
            </w:r>
            <w:r>
              <w:rPr>
                <w:rFonts w:hint="default"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lang w:val="en-US" w:eastAsia="zh-CN"/>
              </w:rPr>
              <w:t>O→FeC</w:t>
            </w:r>
            <w:r>
              <w:rPr>
                <w:rFonts w:hint="default" w:ascii="Times New Roman" w:hAnsi="Times New Roman" w:cs="Times New Roman"/>
                <w:color w:val="auto"/>
                <w:sz w:val="21"/>
                <w:szCs w:val="21"/>
                <w:highlight w:val="none"/>
                <w:vertAlign w:val="subscript"/>
                <w:lang w:val="en-US" w:eastAsia="zh-CN"/>
              </w:rPr>
              <w:t>6</w:t>
            </w:r>
            <w:r>
              <w:rPr>
                <w:rFonts w:hint="default" w:ascii="Times New Roman" w:hAnsi="Times New Roman" w:cs="Times New Roman"/>
                <w:color w:val="auto"/>
                <w:sz w:val="21"/>
                <w:szCs w:val="21"/>
                <w:highlight w:val="none"/>
                <w:lang w:val="en-US" w:eastAsia="zh-CN"/>
              </w:rPr>
              <w:t>H</w:t>
            </w:r>
            <w:r>
              <w:rPr>
                <w:rFonts w:hint="default" w:ascii="Times New Roman" w:hAnsi="Times New Roman" w:cs="Times New Roman"/>
                <w:color w:val="auto"/>
                <w:sz w:val="21"/>
                <w:szCs w:val="21"/>
                <w:highlight w:val="none"/>
                <w:vertAlign w:val="subscript"/>
                <w:lang w:val="en-US" w:eastAsia="zh-CN"/>
              </w:rPr>
              <w:t>6</w:t>
            </w:r>
            <w:r>
              <w:rPr>
                <w:rFonts w:hint="default" w:ascii="Times New Roman" w:hAnsi="Times New Roman" w:cs="Times New Roman"/>
                <w:color w:val="auto"/>
                <w:sz w:val="21"/>
                <w:szCs w:val="21"/>
                <w:highlight w:val="none"/>
                <w:lang w:val="en-US" w:eastAsia="zh-CN"/>
              </w:rPr>
              <w:t>O</w:t>
            </w:r>
            <w:r>
              <w:rPr>
                <w:rFonts w:hint="default" w:ascii="Times New Roman" w:hAnsi="Times New Roman" w:cs="Times New Roman"/>
                <w:color w:val="auto"/>
                <w:sz w:val="21"/>
                <w:szCs w:val="21"/>
                <w:highlight w:val="none"/>
                <w:vertAlign w:val="subscript"/>
                <w:lang w:val="en-US" w:eastAsia="zh-CN"/>
              </w:rPr>
              <w:t>7</w:t>
            </w:r>
            <w:r>
              <w:rPr>
                <w:rFonts w:hint="default" w:ascii="Times New Roman" w:hAnsi="Times New Roman" w:eastAsia="宋体" w:cs="Times New Roman"/>
                <w:b/>
                <w:bCs/>
                <w:color w:val="auto"/>
                <w:spacing w:val="-23"/>
                <w:sz w:val="21"/>
                <w:szCs w:val="21"/>
                <w:highlight w:val="none"/>
              </w:rPr>
              <w:t>⋅</w:t>
            </w:r>
            <w:r>
              <w:rPr>
                <w:rFonts w:hint="default" w:ascii="Times New Roman" w:hAnsi="Times New Roman" w:eastAsia="宋体" w:cs="Times New Roman"/>
                <w:color w:val="auto"/>
                <w:sz w:val="21"/>
                <w:szCs w:val="21"/>
                <w:highlight w:val="none"/>
              </w:rPr>
              <w:t>H</w:t>
            </w:r>
            <w:r>
              <w:rPr>
                <w:rFonts w:hint="default" w:ascii="Times New Roman" w:hAnsi="Times New Roman" w:eastAsia="宋体" w:cs="Times New Roman"/>
                <w:color w:val="auto"/>
                <w:sz w:val="21"/>
                <w:szCs w:val="21"/>
                <w:highlight w:val="none"/>
                <w:vertAlign w:val="subscript"/>
              </w:rPr>
              <w:t>2</w:t>
            </w:r>
            <w:r>
              <w:rPr>
                <w:rFonts w:hint="default" w:ascii="Times New Roman" w:hAnsi="Times New Roman" w:eastAsia="宋体" w:cs="Times New Roman"/>
                <w:color w:val="auto"/>
                <w:sz w:val="21"/>
                <w:szCs w:val="21"/>
                <w:highlight w:val="none"/>
              </w:rPr>
              <w:t>O</w:t>
            </w:r>
            <w:r>
              <w:rPr>
                <w:rFonts w:hint="default" w:ascii="Times New Roman" w:hAnsi="Times New Roman" w:cs="Times New Roman"/>
                <w:color w:val="auto"/>
                <w:sz w:val="21"/>
                <w:szCs w:val="21"/>
                <w:highlight w:val="none"/>
                <w:lang w:val="en-US" w:eastAsia="zh-CN"/>
              </w:rPr>
              <w:t>+ H</w:t>
            </w:r>
            <w:r>
              <w:rPr>
                <w:rFonts w:hint="default"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lang w:val="en-US" w:eastAsia="zh-CN"/>
              </w:rPr>
              <w:t>↑放热</w:t>
            </w:r>
            <w:r>
              <w:rPr>
                <w:rFonts w:hint="eastAsia" w:ascii="Times New Roman" w:hAnsi="Times New Roman" w:cs="Times New Roman"/>
                <w:color w:val="auto"/>
                <w:sz w:val="21"/>
                <w:szCs w:val="21"/>
                <w:highlight w:val="none"/>
                <w:lang w:val="en-US" w:eastAsia="zh-CN"/>
              </w:rPr>
              <w:t xml:space="preserve">  </w:t>
            </w:r>
          </w:p>
          <w:p w14:paraId="402469CB">
            <w:pPr>
              <w:pStyle w:val="2"/>
              <w:keepNext w:val="0"/>
              <w:keepLines w:val="0"/>
              <w:pageBreakBefore w:val="0"/>
              <w:widowControl w:val="0"/>
              <w:kinsoku/>
              <w:wordWrap/>
              <w:overflowPunct/>
              <w:topLinePunct w:val="0"/>
              <w:autoSpaceDE/>
              <w:autoSpaceDN/>
              <w:bidi w:val="0"/>
              <w:adjustRightInd/>
              <w:snapToGrid/>
              <w:spacing w:line="360" w:lineRule="auto"/>
              <w:rPr>
                <w:rFonts w:hint="default"/>
                <w:color w:val="auto"/>
                <w:sz w:val="21"/>
                <w:szCs w:val="21"/>
                <w:highlight w:val="none"/>
                <w:lang w:val="en-US" w:eastAsia="zh-CN"/>
              </w:rPr>
            </w:pPr>
            <w:r>
              <w:rPr>
                <w:rFonts w:hint="eastAsia"/>
                <w:color w:val="auto"/>
                <w:sz w:val="21"/>
                <w:szCs w:val="21"/>
                <w:highlight w:val="none"/>
                <w:lang w:val="en-US" w:eastAsia="zh-CN"/>
              </w:rPr>
              <w:t xml:space="preserve">             192    56  18        264        2</w:t>
            </w:r>
          </w:p>
          <w:p w14:paraId="7F03B7BB">
            <w:pPr>
              <w:pStyle w:val="2"/>
              <w:keepNext w:val="0"/>
              <w:keepLines w:val="0"/>
              <w:pageBreakBefore w:val="0"/>
              <w:widowControl w:val="0"/>
              <w:kinsoku/>
              <w:wordWrap/>
              <w:overflowPunct/>
              <w:topLinePunct w:val="0"/>
              <w:autoSpaceDE/>
              <w:autoSpaceDN/>
              <w:bidi w:val="0"/>
              <w:adjustRightInd/>
              <w:snapToGrid/>
              <w:spacing w:line="360" w:lineRule="auto"/>
              <w:rPr>
                <w:rFonts w:hint="default"/>
                <w:color w:val="auto"/>
                <w:sz w:val="21"/>
                <w:szCs w:val="21"/>
                <w:highlight w:val="none"/>
                <w:lang w:val="en-US" w:eastAsia="zh-CN"/>
              </w:rPr>
            </w:pPr>
            <w:r>
              <w:rPr>
                <w:rFonts w:hint="eastAsia" w:ascii="Times New Roman" w:hAnsi="Times New Roman" w:cs="Times New Roman" w:eastAsiaTheme="minorEastAsia"/>
                <w:b w:val="0"/>
                <w:bCs w:val="0"/>
                <w:color w:val="auto"/>
                <w:sz w:val="21"/>
                <w:szCs w:val="21"/>
                <w:highlight w:val="none"/>
                <w:lang w:val="en-US" w:eastAsia="zh-CN"/>
              </w:rPr>
              <w:t>反应机理：柠檬酸在反应中</w:t>
            </w:r>
            <w:r>
              <w:rPr>
                <w:rFonts w:hint="default" w:ascii="Times New Roman" w:hAnsi="Times New Roman" w:cs="Times New Roman" w:eastAsiaTheme="minorEastAsia"/>
                <w:b w:val="0"/>
                <w:bCs w:val="0"/>
                <w:color w:val="auto"/>
                <w:sz w:val="21"/>
                <w:szCs w:val="21"/>
                <w:highlight w:val="none"/>
                <w:lang w:val="en-US" w:eastAsia="zh-CN"/>
              </w:rPr>
              <w:t>仅作pH缓冲剂</w:t>
            </w:r>
            <w:r>
              <w:rPr>
                <w:rFonts w:hint="eastAsia" w:ascii="Times New Roman" w:hAnsi="Times New Roman" w:cs="Times New Roman" w:eastAsiaTheme="minorEastAsia"/>
                <w:b w:val="0"/>
                <w:bCs w:val="0"/>
                <w:color w:val="auto"/>
                <w:sz w:val="21"/>
                <w:szCs w:val="21"/>
                <w:highlight w:val="none"/>
                <w:lang w:val="en-US" w:eastAsia="zh-CN"/>
              </w:rPr>
              <w:t>、</w:t>
            </w:r>
            <w:r>
              <w:rPr>
                <w:rFonts w:hint="default" w:ascii="Times New Roman" w:hAnsi="Times New Roman" w:cs="Times New Roman" w:eastAsiaTheme="minorEastAsia"/>
                <w:b w:val="0"/>
                <w:bCs w:val="0"/>
                <w:color w:val="auto"/>
                <w:sz w:val="21"/>
                <w:szCs w:val="21"/>
                <w:highlight w:val="none"/>
                <w:lang w:val="en-US" w:eastAsia="zh-CN"/>
              </w:rPr>
              <w:t>络合助剂（辅助防</w:t>
            </w:r>
            <w:r>
              <w:rPr>
                <w:rFonts w:hint="eastAsia" w:ascii="Times New Roman" w:hAnsi="Times New Roman" w:cs="Times New Roman"/>
                <w:color w:val="auto"/>
                <w:sz w:val="21"/>
                <w:szCs w:val="21"/>
                <w:highlight w:val="none"/>
                <w:lang w:val="en-US" w:eastAsia="zh-CN"/>
              </w:rPr>
              <w:t>Fe</w:t>
            </w:r>
            <w:r>
              <w:rPr>
                <w:rFonts w:hint="eastAsia"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eastAsiaTheme="minorEastAsia"/>
                <w:b w:val="0"/>
                <w:bCs w:val="0"/>
                <w:color w:val="auto"/>
                <w:sz w:val="21"/>
                <w:szCs w:val="21"/>
                <w:highlight w:val="none"/>
                <w:lang w:val="en-US" w:eastAsia="zh-CN"/>
              </w:rPr>
              <w:t>水解），与</w:t>
            </w:r>
            <w:r>
              <w:rPr>
                <w:rFonts w:hint="eastAsia" w:ascii="Times New Roman" w:hAnsi="Times New Roman" w:cs="Times New Roman"/>
                <w:color w:val="auto"/>
                <w:sz w:val="21"/>
                <w:szCs w:val="21"/>
                <w:highlight w:val="none"/>
                <w:lang w:val="en-US" w:eastAsia="zh-CN"/>
              </w:rPr>
              <w:t>Fe</w:t>
            </w:r>
            <w:r>
              <w:rPr>
                <w:rFonts w:hint="eastAsia" w:ascii="Times New Roman" w:hAnsi="Times New Roman" w:cs="Times New Roman"/>
                <w:color w:val="auto"/>
                <w:sz w:val="21"/>
                <w:szCs w:val="21"/>
                <w:highlight w:val="none"/>
                <w:vertAlign w:val="superscript"/>
                <w:lang w:val="en-US" w:eastAsia="zh-CN"/>
              </w:rPr>
              <w:t>2+</w:t>
            </w:r>
            <w:r>
              <w:rPr>
                <w:rFonts w:hint="default" w:ascii="Times New Roman" w:hAnsi="Times New Roman" w:cs="Times New Roman" w:eastAsiaTheme="minorEastAsia"/>
                <w:b w:val="0"/>
                <w:bCs w:val="0"/>
                <w:color w:val="auto"/>
                <w:sz w:val="21"/>
                <w:szCs w:val="21"/>
                <w:highlight w:val="none"/>
                <w:lang w:val="en-US" w:eastAsia="zh-CN"/>
              </w:rPr>
              <w:t>生成水溶性柠檬酸铁络合物，无分解挥发、无甲酸</w:t>
            </w:r>
            <w:r>
              <w:rPr>
                <w:rFonts w:hint="eastAsia" w:ascii="Times New Roman" w:hAnsi="Times New Roman" w:cs="Times New Roman" w:eastAsiaTheme="minorEastAsia"/>
                <w:b w:val="0"/>
                <w:bCs w:val="0"/>
                <w:color w:val="auto"/>
                <w:sz w:val="21"/>
                <w:szCs w:val="21"/>
                <w:highlight w:val="none"/>
                <w:lang w:val="en-US" w:eastAsia="zh-CN"/>
              </w:rPr>
              <w:t>/</w:t>
            </w:r>
            <w:r>
              <w:rPr>
                <w:rFonts w:hint="default" w:ascii="Times New Roman" w:hAnsi="Times New Roman" w:cs="Times New Roman" w:eastAsiaTheme="minorEastAsia"/>
                <w:b w:val="0"/>
                <w:bCs w:val="0"/>
                <w:color w:val="auto"/>
                <w:sz w:val="21"/>
                <w:szCs w:val="21"/>
                <w:highlight w:val="none"/>
                <w:lang w:val="en-US" w:eastAsia="zh-CN"/>
              </w:rPr>
              <w:t>乙酸</w:t>
            </w:r>
            <w:r>
              <w:rPr>
                <w:rFonts w:hint="eastAsia" w:ascii="Times New Roman" w:hAnsi="Times New Roman" w:cs="Times New Roman" w:eastAsiaTheme="minorEastAsia"/>
                <w:b w:val="0"/>
                <w:bCs w:val="0"/>
                <w:color w:val="auto"/>
                <w:sz w:val="21"/>
                <w:szCs w:val="21"/>
                <w:highlight w:val="none"/>
                <w:lang w:val="en-US" w:eastAsia="zh-CN"/>
              </w:rPr>
              <w:t>/</w:t>
            </w:r>
            <w:r>
              <w:rPr>
                <w:rFonts w:hint="default" w:ascii="Times New Roman" w:hAnsi="Times New Roman" w:cs="Times New Roman" w:eastAsiaTheme="minorEastAsia"/>
                <w:b w:val="0"/>
                <w:bCs w:val="0"/>
                <w:color w:val="auto"/>
                <w:sz w:val="21"/>
                <w:szCs w:val="21"/>
                <w:highlight w:val="none"/>
                <w:lang w:val="en-US" w:eastAsia="zh-CN"/>
              </w:rPr>
              <w:t>糠醛等挥发性有机酸生成。</w:t>
            </w:r>
            <w:r>
              <w:rPr>
                <w:rFonts w:hint="eastAsia" w:ascii="Times New Roman" w:hAnsi="Times New Roman" w:cs="Times New Roman" w:eastAsiaTheme="minorEastAsia"/>
                <w:b w:val="0"/>
                <w:bCs w:val="0"/>
                <w:color w:val="auto"/>
                <w:sz w:val="21"/>
                <w:szCs w:val="21"/>
                <w:highlight w:val="none"/>
                <w:lang w:val="en-US" w:eastAsia="zh-CN"/>
              </w:rPr>
              <w:t>副</w:t>
            </w:r>
            <w:r>
              <w:rPr>
                <w:rFonts w:hint="eastAsia" w:ascii="Times New Roman" w:hAnsi="Times New Roman" w:cs="Times New Roman"/>
                <w:color w:val="auto"/>
                <w:sz w:val="21"/>
                <w:szCs w:val="21"/>
                <w:highlight w:val="none"/>
                <w:lang w:val="en-US" w:eastAsia="zh-CN"/>
              </w:rPr>
              <w:t>反</w:t>
            </w:r>
            <w:r>
              <w:rPr>
                <w:rFonts w:hint="eastAsia"/>
                <w:color w:val="auto"/>
                <w:sz w:val="21"/>
                <w:szCs w:val="21"/>
                <w:highlight w:val="none"/>
                <w:lang w:val="en-US" w:eastAsia="zh-CN"/>
              </w:rPr>
              <w:t>应转化率40%</w:t>
            </w:r>
            <w:r>
              <w:rPr>
                <w:rFonts w:hint="eastAsia" w:ascii="Times New Roman" w:hAnsi="Times New Roman" w:cs="Times New Roman" w:eastAsiaTheme="minorEastAsia"/>
                <w:b w:val="0"/>
                <w:bCs w:val="0"/>
                <w:color w:val="auto"/>
                <w:sz w:val="21"/>
                <w:szCs w:val="21"/>
                <w:highlight w:val="none"/>
                <w:lang w:val="en-US" w:eastAsia="zh-CN"/>
              </w:rPr>
              <w:t>，</w:t>
            </w:r>
            <w:r>
              <w:rPr>
                <w:rFonts w:hint="default" w:ascii="Times New Roman" w:hAnsi="Times New Roman" w:cs="Times New Roman" w:eastAsiaTheme="minorEastAsia"/>
                <w:b w:val="0"/>
                <w:bCs w:val="0"/>
                <w:color w:val="auto"/>
                <w:sz w:val="21"/>
                <w:szCs w:val="21"/>
                <w:highlight w:val="none"/>
                <w:lang w:val="en-US" w:eastAsia="zh-CN"/>
              </w:rPr>
              <w:t>料液中</w:t>
            </w:r>
            <w:r>
              <w:rPr>
                <w:rFonts w:hint="eastAsia" w:ascii="Times New Roman" w:hAnsi="Times New Roman" w:cs="Times New Roman" w:eastAsiaTheme="minorEastAsia"/>
                <w:b w:val="0"/>
                <w:bCs w:val="0"/>
                <w:color w:val="auto"/>
                <w:sz w:val="21"/>
                <w:szCs w:val="21"/>
                <w:highlight w:val="none"/>
                <w:lang w:val="en-US" w:eastAsia="zh-CN"/>
              </w:rPr>
              <w:t>剩余</w:t>
            </w:r>
            <w:r>
              <w:rPr>
                <w:rFonts w:hint="eastAsia" w:cs="Times New Roman" w:eastAsiaTheme="minorEastAsia"/>
                <w:b w:val="0"/>
                <w:bCs w:val="0"/>
                <w:color w:val="auto"/>
                <w:sz w:val="21"/>
                <w:szCs w:val="21"/>
                <w:highlight w:val="none"/>
                <w:lang w:val="en-US" w:eastAsia="zh-CN"/>
              </w:rPr>
              <w:t>60</w:t>
            </w:r>
            <w:r>
              <w:rPr>
                <w:rFonts w:hint="eastAsia" w:ascii="Times New Roman" w:hAnsi="Times New Roman" w:cs="Times New Roman" w:eastAsiaTheme="minorEastAsia"/>
                <w:b w:val="0"/>
                <w:bCs w:val="0"/>
                <w:color w:val="auto"/>
                <w:sz w:val="21"/>
                <w:szCs w:val="21"/>
                <w:highlight w:val="none"/>
                <w:lang w:val="en-US" w:eastAsia="zh-CN"/>
              </w:rPr>
              <w:t>%柠檬酸</w:t>
            </w:r>
            <w:r>
              <w:rPr>
                <w:rFonts w:hint="default" w:ascii="Times New Roman" w:hAnsi="Times New Roman" w:cs="Times New Roman" w:eastAsiaTheme="minorEastAsia"/>
                <w:b w:val="0"/>
                <w:bCs w:val="0"/>
                <w:color w:val="auto"/>
                <w:sz w:val="21"/>
                <w:szCs w:val="21"/>
                <w:highlight w:val="none"/>
                <w:lang w:val="en-US" w:eastAsia="zh-CN"/>
              </w:rPr>
              <w:t>以水合离子态溶解在液相，随水分受热析出固态粉末，</w:t>
            </w:r>
            <w:r>
              <w:rPr>
                <w:rFonts w:hint="eastAsia" w:ascii="Times New Roman" w:hAnsi="Times New Roman" w:cs="Times New Roman" w:eastAsiaTheme="minorEastAsia"/>
                <w:b w:val="0"/>
                <w:bCs w:val="0"/>
                <w:color w:val="auto"/>
                <w:sz w:val="21"/>
                <w:szCs w:val="21"/>
                <w:highlight w:val="none"/>
                <w:lang w:val="en-US" w:eastAsia="zh-CN"/>
              </w:rPr>
              <w:t>柠檬酸本身不会气化挥发</w:t>
            </w:r>
            <w:r>
              <w:rPr>
                <w:rFonts w:hint="default" w:ascii="Times New Roman" w:hAnsi="Times New Roman" w:cs="Times New Roman" w:eastAsiaTheme="minorEastAsia"/>
                <w:b w:val="0"/>
                <w:bCs w:val="0"/>
                <w:color w:val="auto"/>
                <w:sz w:val="21"/>
                <w:szCs w:val="21"/>
                <w:highlight w:val="none"/>
                <w:lang w:val="en-US" w:eastAsia="zh-CN"/>
              </w:rPr>
              <w:t>。</w:t>
            </w:r>
          </w:p>
          <w:p w14:paraId="72F82C9A">
            <w:pPr>
              <w:pStyle w:val="2"/>
              <w:keepNext w:val="0"/>
              <w:keepLines w:val="0"/>
              <w:pageBreakBefore w:val="0"/>
              <w:widowControl w:val="0"/>
              <w:kinsoku/>
              <w:wordWrap/>
              <w:overflowPunct/>
              <w:topLinePunct w:val="0"/>
              <w:autoSpaceDE/>
              <w:autoSpaceDN/>
              <w:bidi w:val="0"/>
              <w:adjustRightInd/>
              <w:snapToGrid/>
              <w:spacing w:line="360" w:lineRule="auto"/>
              <w:rPr>
                <w:rFonts w:hint="default" w:ascii="Times New Roman" w:hAnsi="Times New Roman"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脱氢抗坏血酸（氧化型 VC）</w:t>
            </w: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C₆H₈O</w:t>
            </w:r>
            <w:r>
              <w:rPr>
                <w:rFonts w:hint="eastAsia" w:ascii="Times New Roman" w:hAnsi="Times New Roman" w:eastAsia="宋体" w:cs="Times New Roman"/>
                <w:b w:val="0"/>
                <w:bCs w:val="0"/>
                <w:color w:val="auto"/>
                <w:spacing w:val="0"/>
                <w:sz w:val="21"/>
                <w:szCs w:val="21"/>
                <w:highlight w:val="none"/>
                <w:vertAlign w:val="subscript"/>
                <w:lang w:val="en-US" w:eastAsia="zh-CN" w:bidi="ar"/>
              </w:rPr>
              <w:t>6</w:t>
            </w:r>
            <w:r>
              <w:rPr>
                <w:rFonts w:hint="default" w:ascii="Times New Roman" w:hAnsi="Times New Roman"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O</w:t>
            </w:r>
            <w:r>
              <w:rPr>
                <w:rFonts w:hint="eastAsia"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vertAlign w:val="subscript"/>
                <w:lang w:val="en-US" w:eastAsia="zh-CN"/>
              </w:rPr>
              <w:t xml:space="preserve"> </w:t>
            </w:r>
            <w:r>
              <w:rPr>
                <w:rFonts w:hint="default" w:ascii="Times New Roman" w:hAnsi="Times New Roman"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w:t>
            </w:r>
            <w:r>
              <w:rPr>
                <w:rFonts w:hint="default" w:ascii="Times New Roman" w:hAnsi="Times New Roman" w:eastAsia="宋体" w:cs="Times New Roman"/>
                <w:b w:val="0"/>
                <w:bCs w:val="0"/>
                <w:color w:val="auto"/>
                <w:spacing w:val="0"/>
                <w:sz w:val="21"/>
                <w:szCs w:val="21"/>
                <w:highlight w:val="none"/>
                <w:vertAlign w:val="baseline"/>
                <w:lang w:val="en-US" w:eastAsia="zh-CN" w:bidi="ar"/>
              </w:rPr>
              <w:t>C₆H</w:t>
            </w:r>
            <w:r>
              <w:rPr>
                <w:rFonts w:hint="eastAsia" w:ascii="Times New Roman" w:hAnsi="Times New Roman" w:eastAsia="宋体" w:cs="Times New Roman"/>
                <w:b w:val="0"/>
                <w:bCs w:val="0"/>
                <w:color w:val="auto"/>
                <w:spacing w:val="0"/>
                <w:sz w:val="21"/>
                <w:szCs w:val="21"/>
                <w:highlight w:val="none"/>
                <w:vertAlign w:val="subscript"/>
                <w:lang w:val="en-US" w:eastAsia="zh-CN" w:bidi="ar"/>
              </w:rPr>
              <w:t>6</w:t>
            </w:r>
            <w:r>
              <w:rPr>
                <w:rFonts w:hint="default" w:ascii="Times New Roman" w:hAnsi="Times New Roman" w:eastAsia="宋体" w:cs="Times New Roman"/>
                <w:b w:val="0"/>
                <w:bCs w:val="0"/>
                <w:color w:val="auto"/>
                <w:spacing w:val="0"/>
                <w:sz w:val="21"/>
                <w:szCs w:val="21"/>
                <w:highlight w:val="none"/>
                <w:vertAlign w:val="baseline"/>
                <w:lang w:val="en-US" w:eastAsia="zh-CN" w:bidi="ar"/>
              </w:rPr>
              <w:t>O</w:t>
            </w:r>
            <w:r>
              <w:rPr>
                <w:rFonts w:hint="eastAsia" w:ascii="Times New Roman" w:hAnsi="Times New Roman" w:eastAsia="宋体" w:cs="Times New Roman"/>
                <w:b w:val="0"/>
                <w:bCs w:val="0"/>
                <w:color w:val="auto"/>
                <w:spacing w:val="0"/>
                <w:sz w:val="21"/>
                <w:szCs w:val="21"/>
                <w:highlight w:val="none"/>
                <w:vertAlign w:val="subscript"/>
                <w:lang w:val="en-US" w:eastAsia="zh-CN" w:bidi="ar"/>
              </w:rPr>
              <w:t>6</w:t>
            </w:r>
            <w:r>
              <w:rPr>
                <w:rFonts w:hint="default" w:ascii="Times New Roman" w:hAnsi="Times New Roman" w:cs="Times New Roman"/>
                <w:color w:val="auto"/>
                <w:sz w:val="21"/>
                <w:szCs w:val="21"/>
                <w:highlight w:val="none"/>
                <w:lang w:val="en-US" w:eastAsia="zh-CN"/>
              </w:rPr>
              <w:t xml:space="preserve">+ </w:t>
            </w:r>
            <w:r>
              <w:rPr>
                <w:rFonts w:hint="eastAsia" w:ascii="Times New Roman" w:hAnsi="Times New Roman" w:cs="Times New Roman"/>
                <w:color w:val="auto"/>
                <w:sz w:val="21"/>
                <w:szCs w:val="21"/>
                <w:highlight w:val="none"/>
                <w:lang w:val="en-US" w:eastAsia="zh-CN"/>
              </w:rPr>
              <w:t>2</w:t>
            </w:r>
            <w:r>
              <w:rPr>
                <w:rFonts w:hint="default" w:ascii="Times New Roman" w:hAnsi="Times New Roman" w:cs="Times New Roman"/>
                <w:color w:val="auto"/>
                <w:sz w:val="21"/>
                <w:szCs w:val="21"/>
                <w:highlight w:val="none"/>
                <w:lang w:val="en-US" w:eastAsia="zh-CN"/>
              </w:rPr>
              <w:t>H</w:t>
            </w:r>
            <w:r>
              <w:rPr>
                <w:rFonts w:hint="default" w:ascii="Times New Roman" w:hAnsi="Times New Roman" w:cs="Times New Roman"/>
                <w:color w:val="auto"/>
                <w:sz w:val="21"/>
                <w:szCs w:val="21"/>
                <w:highlight w:val="none"/>
                <w:vertAlign w:val="subscript"/>
                <w:lang w:val="en-US" w:eastAsia="zh-CN"/>
              </w:rPr>
              <w:t>2</w:t>
            </w:r>
            <w:r>
              <w:rPr>
                <w:rFonts w:hint="eastAsia" w:ascii="Times New Roman" w:hAnsi="Times New Roman" w:cs="Times New Roman"/>
                <w:color w:val="auto"/>
                <w:sz w:val="21"/>
                <w:szCs w:val="21"/>
                <w:highlight w:val="none"/>
                <w:vertAlign w:val="baseline"/>
                <w:lang w:val="en-US" w:eastAsia="zh-CN"/>
              </w:rPr>
              <w:t>O</w:t>
            </w:r>
            <w:r>
              <w:rPr>
                <w:rFonts w:hint="default" w:ascii="Times New Roman" w:hAnsi="Times New Roman" w:cs="Times New Roman"/>
                <w:color w:val="auto"/>
                <w:sz w:val="21"/>
                <w:szCs w:val="21"/>
                <w:highlight w:val="none"/>
                <w:lang w:val="en-US" w:eastAsia="zh-CN"/>
              </w:rPr>
              <w:t>放热</w:t>
            </w:r>
          </w:p>
          <w:p w14:paraId="7DFC6769">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ascii="Times New Roman" w:hAnsi="Times New Roman" w:cs="Times New Roman" w:eastAsiaTheme="minorEastAsia"/>
                <w:b w:val="0"/>
                <w:bCs w:val="0"/>
                <w:color w:val="auto"/>
                <w:sz w:val="21"/>
                <w:szCs w:val="21"/>
                <w:highlight w:val="none"/>
                <w:lang w:val="en-US" w:eastAsia="zh-CN"/>
              </w:rPr>
            </w:pPr>
            <w:r>
              <w:rPr>
                <w:rFonts w:hint="eastAsia" w:ascii="Times New Roman" w:hAnsi="Times New Roman" w:cs="Times New Roman" w:eastAsiaTheme="minorEastAsia"/>
                <w:b w:val="0"/>
                <w:bCs w:val="0"/>
                <w:color w:val="auto"/>
                <w:sz w:val="21"/>
                <w:szCs w:val="21"/>
                <w:highlight w:val="none"/>
                <w:lang w:val="en-US" w:eastAsia="zh-CN"/>
              </w:rPr>
              <w:t>反应机理：VC（L -抗坏血酸）为体系专属还原剂，仅用来防止</w:t>
            </w:r>
            <w:r>
              <w:rPr>
                <w:rFonts w:hint="eastAsia" w:ascii="Times New Roman" w:hAnsi="Times New Roman" w:cs="Times New Roman"/>
                <w:color w:val="auto"/>
                <w:sz w:val="21"/>
                <w:szCs w:val="21"/>
                <w:highlight w:val="none"/>
                <w:lang w:val="en-US" w:eastAsia="zh-CN"/>
              </w:rPr>
              <w:t>Fe</w:t>
            </w:r>
            <w:r>
              <w:rPr>
                <w:rFonts w:hint="eastAsia" w:ascii="Times New Roman" w:hAnsi="Times New Roman" w:cs="Times New Roman"/>
                <w:color w:val="auto"/>
                <w:sz w:val="21"/>
                <w:szCs w:val="21"/>
                <w:highlight w:val="none"/>
                <w:vertAlign w:val="superscript"/>
                <w:lang w:val="en-US" w:eastAsia="zh-CN"/>
              </w:rPr>
              <w:t>2+</w:t>
            </w:r>
            <w:r>
              <w:rPr>
                <w:rFonts w:hint="eastAsia" w:ascii="Times New Roman" w:hAnsi="Times New Roman" w:cs="Times New Roman" w:eastAsiaTheme="minorEastAsia"/>
                <w:b w:val="0"/>
                <w:bCs w:val="0"/>
                <w:color w:val="auto"/>
                <w:sz w:val="21"/>
                <w:szCs w:val="21"/>
                <w:highlight w:val="none"/>
                <w:lang w:val="en-US" w:eastAsia="zh-CN"/>
              </w:rPr>
              <w:t>氧化为</w:t>
            </w:r>
            <w:r>
              <w:rPr>
                <w:rFonts w:hint="eastAsia" w:ascii="Times New Roman" w:hAnsi="Times New Roman" w:cs="Times New Roman"/>
                <w:color w:val="auto"/>
                <w:sz w:val="21"/>
                <w:szCs w:val="21"/>
                <w:highlight w:val="none"/>
                <w:lang w:val="en-US" w:eastAsia="zh-CN"/>
              </w:rPr>
              <w:t>Fe</w:t>
            </w:r>
            <w:r>
              <w:rPr>
                <w:rFonts w:hint="eastAsia" w:ascii="Times New Roman" w:hAnsi="Times New Roman" w:cs="Times New Roman"/>
                <w:color w:val="auto"/>
                <w:sz w:val="21"/>
                <w:szCs w:val="21"/>
                <w:highlight w:val="none"/>
                <w:vertAlign w:val="superscript"/>
                <w:lang w:val="en-US" w:eastAsia="zh-CN"/>
              </w:rPr>
              <w:t>3+</w:t>
            </w:r>
            <w:r>
              <w:rPr>
                <w:rFonts w:hint="eastAsia" w:ascii="Times New Roman" w:hAnsi="Times New Roman" w:cs="Times New Roman" w:eastAsiaTheme="minorEastAsia"/>
                <w:b w:val="0"/>
                <w:bCs w:val="0"/>
                <w:color w:val="auto"/>
                <w:sz w:val="21"/>
                <w:szCs w:val="21"/>
                <w:highlight w:val="none"/>
                <w:lang w:val="en-US" w:eastAsia="zh-CN"/>
              </w:rPr>
              <w:t>，氧化产物为脱氢抗坏血酸，为高沸点多元有机酸，水溶性极强、常压无挥发，无醛类、恶臭杂环物质生成。</w:t>
            </w:r>
          </w:p>
          <w:p w14:paraId="1C5BD3B2">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本项目甘氨酸亚铁合成采用纯水相低温</w:t>
            </w:r>
            <w:r>
              <w:rPr>
                <w:rFonts w:hint="eastAsia" w:ascii="Times New Roman" w:hAnsi="Times New Roman" w:eastAsia="宋体" w:cs="Times New Roman"/>
                <w:b w:val="0"/>
                <w:bCs w:val="0"/>
                <w:color w:val="auto"/>
                <w:sz w:val="21"/>
                <w:szCs w:val="21"/>
                <w:highlight w:val="none"/>
                <w:lang w:val="en-US" w:eastAsia="zh-CN"/>
              </w:rPr>
              <w:t>弱酸</w:t>
            </w:r>
            <w:r>
              <w:rPr>
                <w:rFonts w:hint="default" w:ascii="Times New Roman" w:hAnsi="Times New Roman" w:eastAsia="宋体" w:cs="Times New Roman"/>
                <w:b w:val="0"/>
                <w:bCs w:val="0"/>
                <w:color w:val="auto"/>
                <w:sz w:val="21"/>
                <w:szCs w:val="21"/>
                <w:highlight w:val="none"/>
                <w:lang w:val="en-US" w:eastAsia="zh-CN"/>
              </w:rPr>
              <w:t>螯合工艺，原料甘氨酸、柠檬酸、维生素C及其反应产物均为高沸点、低蒸极性水溶性有机物，反应pH与温度条件</w:t>
            </w:r>
            <w:r>
              <w:rPr>
                <w:rFonts w:hint="eastAsia" w:ascii="Times New Roman" w:hAnsi="Times New Roman" w:eastAsia="宋体" w:cs="Times New Roman"/>
                <w:b w:val="0"/>
                <w:bCs w:val="0"/>
                <w:color w:val="auto"/>
                <w:sz w:val="21"/>
                <w:szCs w:val="21"/>
                <w:highlight w:val="none"/>
                <w:lang w:val="en-US" w:eastAsia="zh-CN"/>
              </w:rPr>
              <w:t>无</w:t>
            </w:r>
            <w:r>
              <w:rPr>
                <w:rFonts w:hint="default" w:ascii="Times New Roman" w:hAnsi="Times New Roman" w:eastAsia="宋体" w:cs="Times New Roman"/>
                <w:b w:val="0"/>
                <w:bCs w:val="0"/>
                <w:color w:val="auto"/>
                <w:sz w:val="21"/>
                <w:szCs w:val="21"/>
                <w:highlight w:val="none"/>
                <w:lang w:val="en-US" w:eastAsia="zh-CN"/>
              </w:rPr>
              <w:t>氨、低级有机酸、恶臭杂环有机物生成；喷雾干燥为低温瞬时脱水，有机组分全部固化进入成品粉末，仅水分汽化为水蒸气，因此喷雾干燥尾气不含挥发性有机废气（VOC、非甲烷总烃），无</w:t>
            </w:r>
            <w:r>
              <w:rPr>
                <w:rFonts w:hint="eastAsia" w:ascii="Times New Roman" w:hAnsi="Times New Roman" w:eastAsia="宋体" w:cs="Times New Roman"/>
                <w:b w:val="0"/>
                <w:bCs w:val="0"/>
                <w:color w:val="auto"/>
                <w:sz w:val="21"/>
                <w:szCs w:val="21"/>
                <w:highlight w:val="none"/>
                <w:lang w:val="en-US" w:eastAsia="zh-CN"/>
              </w:rPr>
              <w:t>恶臭物质。</w:t>
            </w:r>
          </w:p>
          <w:p w14:paraId="2733EB70">
            <w:pPr>
              <w:pStyle w:val="2"/>
              <w:numPr>
                <w:ilvl w:val="0"/>
                <w:numId w:val="8"/>
              </w:numPr>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工艺流程及产污环节</w:t>
            </w:r>
          </w:p>
          <w:p w14:paraId="7BD09545">
            <w:pPr>
              <w:pStyle w:val="2"/>
              <w:keepNext w:val="0"/>
              <w:keepLines w:val="0"/>
              <w:pageBreakBefore w:val="0"/>
              <w:widowControl w:val="0"/>
              <w:numPr>
                <w:ilvl w:val="0"/>
                <w:numId w:val="0"/>
              </w:numP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b w:val="0"/>
                <w:bCs w:val="0"/>
                <w:color w:val="auto"/>
                <w:kern w:val="2"/>
                <w:sz w:val="21"/>
                <w:szCs w:val="21"/>
                <w:highlight w:val="none"/>
                <w:lang w:val="en-US" w:eastAsia="zh-CN" w:bidi="ar-SA"/>
              </w:rPr>
            </w:pPr>
            <w:r>
              <w:rPr>
                <w:rFonts w:hint="eastAsia" w:cs="Times New Roman"/>
                <w:b w:val="0"/>
                <w:bCs w:val="0"/>
                <w:color w:val="auto"/>
                <w:kern w:val="2"/>
                <w:sz w:val="21"/>
                <w:szCs w:val="21"/>
                <w:highlight w:val="none"/>
                <w:lang w:val="en-US" w:eastAsia="zh-CN" w:bidi="ar-SA"/>
              </w:rPr>
              <w:t>工艺流程</w:t>
            </w:r>
            <w:r>
              <w:rPr>
                <w:rFonts w:hint="default" w:ascii="Times New Roman" w:hAnsi="Times New Roman" w:eastAsia="宋体" w:cs="Times New Roman"/>
                <w:b w:val="0"/>
                <w:bCs w:val="0"/>
                <w:color w:val="auto"/>
                <w:kern w:val="2"/>
                <w:sz w:val="21"/>
                <w:szCs w:val="21"/>
                <w:highlight w:val="none"/>
                <w:lang w:val="en-US" w:eastAsia="zh-CN" w:bidi="ar-SA"/>
              </w:rPr>
              <w:t>包括</w:t>
            </w:r>
            <w:r>
              <w:rPr>
                <w:rFonts w:hint="eastAsia" w:cs="Times New Roman"/>
                <w:b w:val="0"/>
                <w:bCs w:val="0"/>
                <w:color w:val="auto"/>
                <w:kern w:val="2"/>
                <w:sz w:val="21"/>
                <w:szCs w:val="21"/>
                <w:highlight w:val="none"/>
                <w:lang w:val="en-US" w:eastAsia="zh-CN" w:bidi="ar-SA"/>
              </w:rPr>
              <w:t>投料反应</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离心</w:t>
            </w:r>
            <w:r>
              <w:rPr>
                <w:rFonts w:hint="default" w:ascii="Times New Roman" w:hAnsi="Times New Roman" w:eastAsia="宋体" w:cs="Times New Roman"/>
                <w:b w:val="0"/>
                <w:bCs w:val="0"/>
                <w:color w:val="auto"/>
                <w:kern w:val="2"/>
                <w:sz w:val="21"/>
                <w:szCs w:val="21"/>
                <w:highlight w:val="none"/>
                <w:lang w:val="en-US" w:eastAsia="zh-CN" w:bidi="ar-SA"/>
              </w:rPr>
              <w:t>过滤、</w:t>
            </w:r>
            <w:r>
              <w:rPr>
                <w:rFonts w:hint="eastAsia" w:cs="Times New Roman"/>
                <w:b w:val="0"/>
                <w:bCs w:val="0"/>
                <w:color w:val="auto"/>
                <w:kern w:val="2"/>
                <w:sz w:val="21"/>
                <w:szCs w:val="21"/>
                <w:highlight w:val="none"/>
                <w:lang w:val="en-US" w:eastAsia="zh-CN" w:bidi="ar-SA"/>
              </w:rPr>
              <w:t>喷雾干燥</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粉碎包装</w:t>
            </w:r>
            <w:r>
              <w:rPr>
                <w:rFonts w:hint="default" w:ascii="Times New Roman" w:hAnsi="Times New Roman" w:eastAsia="宋体" w:cs="Times New Roman"/>
                <w:b w:val="0"/>
                <w:bCs w:val="0"/>
                <w:color w:val="auto"/>
                <w:kern w:val="2"/>
                <w:sz w:val="21"/>
                <w:szCs w:val="21"/>
                <w:highlight w:val="none"/>
                <w:lang w:val="en-US" w:eastAsia="zh-CN" w:bidi="ar-SA"/>
              </w:rPr>
              <w:t>、包装等工序，其中</w:t>
            </w:r>
            <w:r>
              <w:rPr>
                <w:rFonts w:hint="eastAsia" w:cs="Times New Roman"/>
                <w:b w:val="0"/>
                <w:bCs w:val="0"/>
                <w:color w:val="auto"/>
                <w:kern w:val="2"/>
                <w:sz w:val="21"/>
                <w:szCs w:val="21"/>
                <w:highlight w:val="none"/>
                <w:lang w:val="en-US" w:eastAsia="zh-CN" w:bidi="ar-SA"/>
              </w:rPr>
              <w:t>粉碎</w:t>
            </w:r>
            <w:r>
              <w:rPr>
                <w:rFonts w:hint="default" w:ascii="Times New Roman" w:hAnsi="Times New Roman" w:eastAsia="宋体" w:cs="Times New Roman"/>
                <w:b w:val="0"/>
                <w:bCs w:val="0"/>
                <w:color w:val="auto"/>
                <w:kern w:val="2"/>
                <w:sz w:val="21"/>
                <w:szCs w:val="21"/>
                <w:highlight w:val="none"/>
                <w:lang w:val="en-US" w:eastAsia="zh-CN" w:bidi="ar-SA"/>
              </w:rPr>
              <w:t>、内包装工序在洁净区完成，</w:t>
            </w:r>
            <w:r>
              <w:rPr>
                <w:rFonts w:hint="eastAsia" w:cs="Times New Roman"/>
                <w:b w:val="0"/>
                <w:bCs w:val="0"/>
                <w:color w:val="auto"/>
                <w:kern w:val="2"/>
                <w:sz w:val="21"/>
                <w:szCs w:val="21"/>
                <w:highlight w:val="none"/>
                <w:lang w:val="en-US" w:eastAsia="zh-CN" w:bidi="ar-SA"/>
              </w:rPr>
              <w:t>投料反应、离心过滤、喷雾干燥、外包装</w:t>
            </w:r>
            <w:r>
              <w:rPr>
                <w:rFonts w:hint="default" w:ascii="Times New Roman" w:hAnsi="Times New Roman" w:eastAsia="宋体" w:cs="Times New Roman"/>
                <w:b w:val="0"/>
                <w:bCs w:val="0"/>
                <w:color w:val="auto"/>
                <w:kern w:val="2"/>
                <w:sz w:val="21"/>
                <w:szCs w:val="21"/>
                <w:highlight w:val="none"/>
                <w:lang w:val="en-US" w:eastAsia="zh-CN" w:bidi="ar-SA"/>
              </w:rPr>
              <w:t>等工序在非洁净区完成。</w:t>
            </w:r>
          </w:p>
          <w:p w14:paraId="74935E99">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default" w:ascii="Times New Roman" w:hAnsi="Times New Roman" w:eastAsia="宋体" w:cs="Times New Roman"/>
                <w:b w:val="0"/>
                <w:bCs w:val="0"/>
                <w:color w:val="auto"/>
                <w:sz w:val="21"/>
                <w:szCs w:val="21"/>
                <w:highlight w:val="none"/>
                <w:lang w:val="en-US" w:eastAsia="zh-CN"/>
              </w:rPr>
              <w:t>1）工艺流程</w:t>
            </w:r>
          </w:p>
          <w:p w14:paraId="0CE612DD">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①投料反应：项目去离子水依托厂区反渗透装置制备，设置2.5m</w:t>
            </w:r>
            <w:r>
              <w:rPr>
                <w:rFonts w:hint="eastAsia" w:cs="Times New Roman"/>
                <w:b w:val="0"/>
                <w:bCs w:val="0"/>
                <w:color w:val="auto"/>
                <w:sz w:val="21"/>
                <w:szCs w:val="21"/>
                <w:highlight w:val="none"/>
                <w:vertAlign w:val="superscript"/>
                <w:lang w:val="en-US" w:eastAsia="zh-CN"/>
              </w:rPr>
              <w:t>3</w:t>
            </w:r>
            <w:r>
              <w:rPr>
                <w:rFonts w:hint="eastAsia" w:cs="Times New Roman"/>
                <w:b w:val="0"/>
                <w:bCs w:val="0"/>
                <w:color w:val="auto"/>
                <w:sz w:val="21"/>
                <w:szCs w:val="21"/>
                <w:highlight w:val="none"/>
                <w:lang w:val="en-US" w:eastAsia="zh-CN"/>
              </w:rPr>
              <w:t>储水罐，经去离子水泵</w:t>
            </w:r>
            <w:r>
              <w:rPr>
                <w:rFonts w:hint="default" w:ascii="Times New Roman" w:hAnsi="Times New Roman" w:eastAsia="宋体" w:cs="Times New Roman"/>
                <w:b w:val="0"/>
                <w:bCs w:val="0"/>
                <w:color w:val="auto"/>
                <w:sz w:val="21"/>
                <w:szCs w:val="21"/>
                <w:highlight w:val="none"/>
                <w:lang w:val="en-US" w:eastAsia="zh-CN"/>
              </w:rPr>
              <w:t>向反应</w:t>
            </w:r>
            <w:r>
              <w:rPr>
                <w:rFonts w:hint="eastAsia" w:cs="Times New Roman"/>
                <w:b w:val="0"/>
                <w:bCs w:val="0"/>
                <w:color w:val="auto"/>
                <w:sz w:val="21"/>
                <w:szCs w:val="21"/>
                <w:highlight w:val="none"/>
                <w:lang w:val="en-US" w:eastAsia="zh-CN"/>
              </w:rPr>
              <w:t>釜</w:t>
            </w:r>
            <w:r>
              <w:rPr>
                <w:rFonts w:hint="default" w:ascii="Times New Roman" w:hAnsi="Times New Roman" w:eastAsia="宋体" w:cs="Times New Roman"/>
                <w:b w:val="0"/>
                <w:bCs w:val="0"/>
                <w:color w:val="auto"/>
                <w:sz w:val="21"/>
                <w:szCs w:val="21"/>
                <w:highlight w:val="none"/>
                <w:lang w:val="en-US" w:eastAsia="zh-CN"/>
              </w:rPr>
              <w:t>中加入适量的</w:t>
            </w:r>
            <w:r>
              <w:rPr>
                <w:rFonts w:hint="eastAsia" w:cs="Times New Roman"/>
                <w:b w:val="0"/>
                <w:bCs w:val="0"/>
                <w:color w:val="auto"/>
                <w:sz w:val="21"/>
                <w:szCs w:val="21"/>
                <w:highlight w:val="none"/>
                <w:lang w:val="en-US" w:eastAsia="zh-CN"/>
              </w:rPr>
              <w:t>去离子</w:t>
            </w:r>
            <w:r>
              <w:rPr>
                <w:rFonts w:hint="default" w:ascii="Times New Roman" w:hAnsi="Times New Roman" w:eastAsia="宋体" w:cs="Times New Roman"/>
                <w:b w:val="0"/>
                <w:bCs w:val="0"/>
                <w:color w:val="auto"/>
                <w:sz w:val="21"/>
                <w:szCs w:val="21"/>
                <w:highlight w:val="none"/>
                <w:lang w:val="en-US" w:eastAsia="zh-CN"/>
              </w:rPr>
              <w:t>水，</w:t>
            </w:r>
            <w:r>
              <w:rPr>
                <w:rFonts w:hint="eastAsia" w:cs="Times New Roman"/>
                <w:b w:val="0"/>
                <w:bCs w:val="0"/>
                <w:color w:val="auto"/>
                <w:sz w:val="21"/>
                <w:szCs w:val="21"/>
                <w:highlight w:val="none"/>
                <w:lang w:val="en-US" w:eastAsia="zh-CN"/>
              </w:rPr>
              <w:t>打开蒸汽加热</w:t>
            </w:r>
            <w:r>
              <w:rPr>
                <w:rFonts w:hint="eastAsia"/>
                <w:color w:val="auto"/>
                <w:szCs w:val="28"/>
                <w:highlight w:val="none"/>
                <w:lang w:eastAsia="zh-CN"/>
              </w:rPr>
              <w:t>，</w:t>
            </w:r>
            <w:r>
              <w:rPr>
                <w:rFonts w:hint="eastAsia" w:cs="Times New Roman"/>
                <w:b w:val="0"/>
                <w:bCs w:val="0"/>
                <w:color w:val="auto"/>
                <w:sz w:val="21"/>
                <w:szCs w:val="21"/>
                <w:highlight w:val="none"/>
                <w:lang w:val="en-US" w:eastAsia="zh-CN"/>
              </w:rPr>
              <w:t>人工投料</w:t>
            </w:r>
            <w:r>
              <w:rPr>
                <w:rFonts w:hint="default" w:ascii="Times New Roman" w:hAnsi="Times New Roman" w:eastAsia="宋体" w:cs="Times New Roman"/>
                <w:b w:val="0"/>
                <w:bCs w:val="0"/>
                <w:color w:val="auto"/>
                <w:sz w:val="21"/>
                <w:szCs w:val="21"/>
                <w:highlight w:val="none"/>
                <w:lang w:val="en-US" w:eastAsia="zh-CN"/>
              </w:rPr>
              <w:t>加入</w:t>
            </w:r>
            <w:r>
              <w:rPr>
                <w:rFonts w:hint="eastAsia" w:cs="Times New Roman"/>
                <w:b w:val="0"/>
                <w:bCs w:val="0"/>
                <w:color w:val="auto"/>
                <w:sz w:val="21"/>
                <w:szCs w:val="21"/>
                <w:highlight w:val="none"/>
                <w:lang w:val="en-US" w:eastAsia="zh-CN"/>
              </w:rPr>
              <w:t>甘氨酸、维C、柠檬酸和还原铁粉</w:t>
            </w:r>
            <w:r>
              <w:rPr>
                <w:rFonts w:hint="default" w:ascii="Times New Roman" w:hAnsi="Times New Roman" w:eastAsia="宋体" w:cs="Times New Roman"/>
                <w:b w:val="0"/>
                <w:bCs w:val="0"/>
                <w:color w:val="auto"/>
                <w:sz w:val="21"/>
                <w:szCs w:val="21"/>
                <w:highlight w:val="none"/>
                <w:lang w:val="en-US" w:eastAsia="zh-CN"/>
              </w:rPr>
              <w:t>，</w:t>
            </w:r>
            <w:r>
              <w:rPr>
                <w:rFonts w:hint="eastAsia" w:cs="Times New Roman"/>
                <w:b w:val="0"/>
                <w:bCs w:val="0"/>
                <w:color w:val="auto"/>
                <w:sz w:val="21"/>
                <w:szCs w:val="21"/>
                <w:highlight w:val="none"/>
                <w:lang w:val="en-US" w:eastAsia="zh-CN"/>
              </w:rPr>
              <w:t>本项目采用微过量的还原铁粉与甘氨酸进行螯合反应，反应</w:t>
            </w:r>
            <w:r>
              <w:rPr>
                <w:rFonts w:hint="default" w:ascii="Times New Roman" w:hAnsi="Times New Roman" w:eastAsia="宋体" w:cs="Times New Roman"/>
                <w:b w:val="0"/>
                <w:bCs w:val="0"/>
                <w:color w:val="auto"/>
                <w:sz w:val="21"/>
                <w:szCs w:val="21"/>
                <w:highlight w:val="none"/>
                <w:lang w:val="en-US" w:eastAsia="zh-CN"/>
              </w:rPr>
              <w:t>控制温度</w:t>
            </w:r>
            <w:r>
              <w:rPr>
                <w:rFonts w:hint="eastAsia" w:cs="Times New Roman"/>
                <w:b w:val="0"/>
                <w:bCs w:val="0"/>
                <w:color w:val="auto"/>
                <w:sz w:val="21"/>
                <w:szCs w:val="21"/>
                <w:highlight w:val="none"/>
                <w:lang w:val="en-US" w:eastAsia="zh-CN"/>
              </w:rPr>
              <w:t>90</w:t>
            </w:r>
            <w:r>
              <w:rPr>
                <w:rFonts w:hint="default" w:ascii="Times New Roman" w:hAnsi="Times New Roman" w:eastAsia="宋体" w:cs="Times New Roman"/>
                <w:b w:val="0"/>
                <w:bCs w:val="0"/>
                <w:color w:val="auto"/>
                <w:sz w:val="21"/>
                <w:szCs w:val="21"/>
                <w:highlight w:val="none"/>
                <w:lang w:val="en-US" w:eastAsia="zh-CN"/>
              </w:rPr>
              <w:t>-</w:t>
            </w:r>
            <w:r>
              <w:rPr>
                <w:rFonts w:hint="eastAsia" w:cs="Times New Roman"/>
                <w:b w:val="0"/>
                <w:bCs w:val="0"/>
                <w:color w:val="auto"/>
                <w:sz w:val="21"/>
                <w:szCs w:val="21"/>
                <w:highlight w:val="none"/>
                <w:lang w:val="en-US" w:eastAsia="zh-CN"/>
              </w:rPr>
              <w:t>110</w:t>
            </w:r>
            <w:r>
              <w:rPr>
                <w:rFonts w:hint="default" w:ascii="Times New Roman" w:hAnsi="Times New Roman" w:eastAsia="宋体" w:cs="Times New Roman"/>
                <w:b w:val="0"/>
                <w:bCs w:val="0"/>
                <w:color w:val="auto"/>
                <w:sz w:val="21"/>
                <w:szCs w:val="21"/>
                <w:highlight w:val="none"/>
                <w:lang w:val="en-US" w:eastAsia="zh-CN"/>
              </w:rPr>
              <w:t>℃，</w:t>
            </w:r>
            <w:r>
              <w:rPr>
                <w:rFonts w:hint="eastAsia" w:ascii="Times New Roman" w:hAnsi="Times New Roman" w:eastAsia="宋体" w:cs="Times New Roman"/>
                <w:b w:val="0"/>
                <w:bCs w:val="0"/>
                <w:color w:val="auto"/>
                <w:sz w:val="21"/>
                <w:szCs w:val="21"/>
                <w:highlight w:val="none"/>
                <w:lang w:val="en-US" w:eastAsia="zh-CN"/>
              </w:rPr>
              <w:t>保温</w:t>
            </w:r>
            <w:r>
              <w:rPr>
                <w:rFonts w:hint="default" w:ascii="Times New Roman" w:hAnsi="Times New Roman" w:eastAsia="宋体" w:cs="Times New Roman"/>
                <w:b w:val="0"/>
                <w:bCs w:val="0"/>
                <w:color w:val="auto"/>
                <w:sz w:val="21"/>
                <w:szCs w:val="21"/>
                <w:highlight w:val="none"/>
                <w:lang w:val="en-US" w:eastAsia="zh-CN"/>
              </w:rPr>
              <w:t>时间为</w:t>
            </w:r>
            <w:r>
              <w:rPr>
                <w:rFonts w:hint="eastAsia" w:cs="Times New Roman"/>
                <w:b w:val="0"/>
                <w:bCs w:val="0"/>
                <w:color w:val="auto"/>
                <w:sz w:val="21"/>
                <w:szCs w:val="21"/>
                <w:highlight w:val="none"/>
                <w:lang w:val="en-US" w:eastAsia="zh-CN"/>
              </w:rPr>
              <w:t>8</w:t>
            </w:r>
            <w:r>
              <w:rPr>
                <w:rFonts w:hint="eastAsia" w:ascii="Times New Roman" w:hAnsi="Times New Roman" w:eastAsia="宋体" w:cs="Times New Roman"/>
                <w:b w:val="0"/>
                <w:bCs w:val="0"/>
                <w:color w:val="auto"/>
                <w:sz w:val="21"/>
                <w:szCs w:val="21"/>
                <w:highlight w:val="none"/>
                <w:lang w:val="en-US" w:eastAsia="zh-CN"/>
              </w:rPr>
              <w:t>-</w:t>
            </w:r>
            <w:r>
              <w:rPr>
                <w:rFonts w:hint="eastAsia" w:cs="Times New Roman"/>
                <w:b w:val="0"/>
                <w:bCs w:val="0"/>
                <w:color w:val="auto"/>
                <w:sz w:val="21"/>
                <w:szCs w:val="21"/>
                <w:highlight w:val="none"/>
                <w:lang w:val="en-US" w:eastAsia="zh-CN"/>
              </w:rPr>
              <w:t>10h，反应结束后补加去离子水稀释料液，送下一工序处理</w:t>
            </w:r>
            <w:r>
              <w:rPr>
                <w:rFonts w:hint="default" w:cs="Times New Roman"/>
                <w:b w:val="0"/>
                <w:bCs w:val="0"/>
                <w:color w:val="auto"/>
                <w:sz w:val="21"/>
                <w:szCs w:val="21"/>
                <w:highlight w:val="none"/>
                <w:lang w:val="en-US" w:eastAsia="zh-CN"/>
              </w:rPr>
              <w:t>。</w:t>
            </w:r>
            <w:r>
              <w:rPr>
                <w:rFonts w:hint="eastAsia" w:cs="Times New Roman"/>
                <w:b w:val="0"/>
                <w:bCs w:val="0"/>
                <w:color w:val="auto"/>
                <w:sz w:val="21"/>
                <w:szCs w:val="21"/>
                <w:highlight w:val="none"/>
                <w:lang w:val="en-US" w:eastAsia="zh-CN"/>
              </w:rPr>
              <w:t>反应过程持续产生氢气，副产氢气收集后引入酸洗塔，稀释处理后通过25m高排气筒排放。</w:t>
            </w:r>
            <w:r>
              <w:rPr>
                <w:rFonts w:hint="default" w:ascii="Times New Roman" w:hAnsi="Times New Roman" w:eastAsia="宋体" w:cs="Times New Roman"/>
                <w:b w:val="0"/>
                <w:bCs w:val="0"/>
                <w:color w:val="auto"/>
                <w:sz w:val="21"/>
                <w:szCs w:val="21"/>
                <w:highlight w:val="none"/>
                <w:lang w:val="en-US" w:eastAsia="zh-CN"/>
              </w:rPr>
              <w:t>固体投料时，</w:t>
            </w:r>
            <w:r>
              <w:rPr>
                <w:rFonts w:hint="eastAsia" w:cs="Times New Roman"/>
                <w:b w:val="0"/>
                <w:bCs w:val="0"/>
                <w:color w:val="auto"/>
                <w:sz w:val="21"/>
                <w:szCs w:val="21"/>
                <w:highlight w:val="none"/>
                <w:lang w:val="en-US" w:eastAsia="zh-CN"/>
              </w:rPr>
              <w:t>产生的粉尘通过集气罩+软帘收集后，经布袋除尘器装置处理后，通过25m高排气筒外排。</w:t>
            </w:r>
          </w:p>
          <w:p w14:paraId="202706E2">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bCs/>
                <w:color w:val="auto"/>
                <w:sz w:val="21"/>
                <w:szCs w:val="21"/>
                <w:highlight w:val="none"/>
                <w:lang w:val="en-US" w:eastAsia="zh-CN"/>
              </w:rPr>
              <w:t>产污情况：投料产生的颗粒物废气G1；反渗透装置产生的废反渗透膜S1、废包装袋S2；设备运行噪声N1。</w:t>
            </w:r>
          </w:p>
          <w:p w14:paraId="3A13DD1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②离心、</w:t>
            </w:r>
            <w:r>
              <w:rPr>
                <w:rFonts w:hint="default" w:ascii="Times New Roman" w:hAnsi="Times New Roman" w:eastAsia="宋体" w:cs="Times New Roman"/>
                <w:b w:val="0"/>
                <w:bCs w:val="0"/>
                <w:color w:val="auto"/>
                <w:sz w:val="21"/>
                <w:szCs w:val="21"/>
                <w:highlight w:val="none"/>
                <w:lang w:val="en-US" w:eastAsia="zh-CN"/>
              </w:rPr>
              <w:t>过滤：</w:t>
            </w:r>
            <w:r>
              <w:rPr>
                <w:rFonts w:hint="eastAsia" w:cs="Times New Roman"/>
                <w:b w:val="0"/>
                <w:bCs w:val="0"/>
                <w:color w:val="auto"/>
                <w:sz w:val="21"/>
                <w:szCs w:val="21"/>
                <w:highlight w:val="none"/>
                <w:lang w:val="en-US" w:eastAsia="zh-CN"/>
              </w:rPr>
              <w:t>将每批次料液排放至离心机中，分离出料液中未反应的铁粉，得到澄清螯合母液排放至料液槽，经料液泵打至中转罐，经管道式除铁器再次除铁后送入下一工序。此过程中，离心及过滤产生的未反应的铁粉，通过收集槽收集后返回反应釜中继续反应。</w:t>
            </w:r>
          </w:p>
          <w:p w14:paraId="01463AFF">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bCs/>
                <w:color w:val="auto"/>
                <w:sz w:val="21"/>
                <w:szCs w:val="21"/>
                <w:highlight w:val="none"/>
                <w:lang w:val="en-US" w:eastAsia="zh-CN"/>
              </w:rPr>
              <w:t>产污情况：设备运行噪声N2。</w:t>
            </w:r>
          </w:p>
          <w:p w14:paraId="214A6A53">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③喷雾干燥：过滤后母液泵入喷雾干燥塔，进风温度控制在（200–280）℃下，控制物料流量,使料液与热空气混合,母液中水分被蒸发进入空气中，干燥得到二水合甘氨酸亚铁颗粒经二级旋风分离后进入收料筒。喷雾干燥尾气G2经水洗+酸洗+布袋除尘器处理后，通过25m高排气筒外排。</w:t>
            </w:r>
          </w:p>
          <w:p w14:paraId="6BE40E6F">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bCs/>
                <w:color w:val="auto"/>
                <w:sz w:val="21"/>
                <w:szCs w:val="21"/>
                <w:highlight w:val="none"/>
                <w:lang w:val="en-US" w:eastAsia="zh-CN"/>
              </w:rPr>
              <w:t>产污情况：喷雾干燥尾气G2；喷雾干燥机泵类产生的噪声N3。</w:t>
            </w:r>
          </w:p>
          <w:p w14:paraId="089D861B">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ascii="宋体" w:hAnsi="宋体" w:eastAsia="宋体" w:cs="宋体"/>
                <w:b w:val="0"/>
                <w:bCs w:val="0"/>
                <w:color w:val="auto"/>
                <w:sz w:val="21"/>
                <w:szCs w:val="21"/>
                <w:lang w:val="en-US" w:eastAsia="zh-CN"/>
              </w:rPr>
            </w:pPr>
            <w:r>
              <w:rPr>
                <w:rFonts w:hint="eastAsia" w:ascii="宋体" w:hAnsi="宋体" w:eastAsia="宋体" w:cs="宋体"/>
                <w:b w:val="0"/>
                <w:bCs w:val="0"/>
                <w:color w:val="auto"/>
                <w:sz w:val="21"/>
                <w:szCs w:val="21"/>
                <w:highlight w:val="none"/>
                <w:lang w:val="en-US" w:eastAsia="zh-CN"/>
              </w:rPr>
              <w:t>④</w:t>
            </w:r>
            <w:r>
              <w:rPr>
                <w:rFonts w:hint="eastAsia" w:cs="Times New Roman"/>
                <w:b w:val="0"/>
                <w:bCs w:val="0"/>
                <w:color w:val="auto"/>
                <w:sz w:val="21"/>
                <w:szCs w:val="21"/>
                <w:highlight w:val="none"/>
                <w:lang w:val="en-US" w:eastAsia="zh-CN"/>
              </w:rPr>
              <w:t>粉碎、包装：</w:t>
            </w:r>
            <w:r>
              <w:rPr>
                <w:rFonts w:hint="eastAsia" w:ascii="宋体" w:hAnsi="宋体" w:eastAsia="宋体" w:cs="宋体"/>
                <w:b w:val="0"/>
                <w:bCs w:val="0"/>
                <w:color w:val="auto"/>
                <w:sz w:val="21"/>
                <w:szCs w:val="21"/>
                <w:lang w:val="en-US" w:eastAsia="zh-CN"/>
              </w:rPr>
              <w:t>二级旋风分离器收集的甘氨酸亚铁成品物料蓬松易结块，粉碎工序用于破碎团聚料团、细化粉体粒径，保障成品粒度符合产品指标及包装使用要求。粉碎设备整体密闭负压运行，工序无无组织粉尘逸散；粉碎机出料口与包装灌装工位密闭直连，粉碎物料密闭下料至包装工位，人工套袋灌装，粉碎、物料输送、灌装全流程密闭衔接，不设敞口中转工序。成品灌装后经电子秤在线称重校验，严控装量误差，称重完毕人工封口打包入库。</w:t>
            </w:r>
          </w:p>
          <w:p w14:paraId="6164D728">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粉碎、包装工序设置在D 级洁净生产区内，粉碎、包装工序上方设置集气罩+软帘，收集产生的粉尘，收集后的粉尘经管道送至布袋除尘器装置处理后，通过25m高排气筒外排。</w:t>
            </w:r>
          </w:p>
          <w:p w14:paraId="496C3323">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both"/>
              <w:textAlignment w:val="baseline"/>
              <w:rPr>
                <w:rFonts w:hint="eastAsia" w:cs="Times New Roman"/>
                <w:b/>
                <w:bCs/>
                <w:color w:val="auto"/>
                <w:sz w:val="21"/>
                <w:szCs w:val="21"/>
                <w:highlight w:val="none"/>
                <w:lang w:val="en-US" w:eastAsia="zh-CN"/>
              </w:rPr>
            </w:pPr>
            <w:bookmarkStart w:id="23" w:name="OLE_LINK11"/>
            <w:r>
              <w:rPr>
                <w:rFonts w:hint="eastAsia" w:cs="Times New Roman"/>
                <w:b/>
                <w:bCs/>
                <w:color w:val="auto"/>
                <w:sz w:val="21"/>
                <w:szCs w:val="21"/>
                <w:highlight w:val="none"/>
                <w:lang w:val="en-US" w:eastAsia="zh-CN"/>
              </w:rPr>
              <w:t>产污情况：</w:t>
            </w:r>
            <w:bookmarkEnd w:id="23"/>
            <w:r>
              <w:rPr>
                <w:rFonts w:hint="eastAsia" w:cs="Times New Roman"/>
                <w:b/>
                <w:bCs/>
                <w:color w:val="auto"/>
                <w:sz w:val="21"/>
                <w:szCs w:val="21"/>
                <w:highlight w:val="none"/>
                <w:lang w:val="en-US" w:eastAsia="zh-CN"/>
              </w:rPr>
              <w:t>粉碎包装工序产生的废气G3；粉碎机产生的噪声N4。</w:t>
            </w:r>
          </w:p>
          <w:p w14:paraId="3C8F3178">
            <w:pPr>
              <w:pStyle w:val="10"/>
              <w:jc w:val="both"/>
              <w:rPr>
                <w:rFonts w:hint="default" w:ascii="宋体" w:hAnsi="宋体" w:eastAsia="宋体" w:cs="宋体"/>
                <w:b w:val="0"/>
                <w:bCs w:val="0"/>
                <w:color w:val="auto"/>
                <w:kern w:val="2"/>
                <w:sz w:val="21"/>
                <w:szCs w:val="21"/>
                <w:highlight w:val="none"/>
                <w:lang w:val="en-US" w:eastAsia="zh-CN" w:bidi="ar-SA"/>
              </w:rPr>
            </w:pPr>
            <w:r>
              <w:rPr>
                <w:rFonts w:hint="eastAsia" w:ascii="宋体" w:hAnsi="宋体" w:eastAsia="宋体" w:cs="宋体"/>
                <w:b w:val="0"/>
                <w:bCs w:val="0"/>
                <w:color w:val="auto"/>
                <w:kern w:val="2"/>
                <w:sz w:val="21"/>
                <w:szCs w:val="21"/>
                <w:highlight w:val="none"/>
                <w:lang w:val="en-US" w:eastAsia="zh-CN" w:bidi="ar-SA"/>
              </w:rPr>
              <w:t>⑤其他</w:t>
            </w:r>
          </w:p>
          <w:p w14:paraId="421F9C05">
            <w:pPr>
              <w:pStyle w:val="6"/>
              <w:keepNext w:val="0"/>
              <w:keepLines w:val="0"/>
              <w:pageBreakBefore w:val="0"/>
              <w:widowControl w:val="0"/>
              <w:numPr>
                <w:ilvl w:val="3"/>
                <w:numId w:val="0"/>
              </w:numPr>
              <w:kinsoku/>
              <w:wordWrap/>
              <w:overflowPunct/>
              <w:topLinePunct w:val="0"/>
              <w:autoSpaceDE/>
              <w:autoSpaceDN/>
              <w:bidi w:val="0"/>
              <w:adjustRightInd/>
              <w:snapToGrid w:val="0"/>
              <w:ind w:leftChars="0" w:firstLine="420" w:firstLineChars="200"/>
              <w:textAlignment w:val="auto"/>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kern w:val="2"/>
                <w:sz w:val="21"/>
                <w:szCs w:val="21"/>
                <w:highlight w:val="none"/>
                <w:lang w:val="en-US" w:eastAsia="zh-CN" w:bidi="ar-SA"/>
              </w:rPr>
              <w:t>本项目</w:t>
            </w:r>
            <w:r>
              <w:rPr>
                <w:rFonts w:hint="eastAsia" w:cs="Times New Roman"/>
                <w:b w:val="0"/>
                <w:bCs w:val="0"/>
                <w:color w:val="auto"/>
                <w:kern w:val="2"/>
                <w:sz w:val="21"/>
                <w:szCs w:val="21"/>
                <w:highlight w:val="none"/>
                <w:lang w:val="en-US" w:eastAsia="zh-CN" w:bidi="ar-SA"/>
              </w:rPr>
              <w:t>软水</w:t>
            </w:r>
            <w:r>
              <w:rPr>
                <w:rFonts w:hint="default" w:ascii="Times New Roman" w:hAnsi="Times New Roman" w:eastAsia="宋体" w:cs="Times New Roman"/>
                <w:b w:val="0"/>
                <w:bCs w:val="0"/>
                <w:color w:val="auto"/>
                <w:kern w:val="2"/>
                <w:sz w:val="21"/>
                <w:szCs w:val="21"/>
                <w:highlight w:val="none"/>
                <w:lang w:val="en-US" w:eastAsia="zh-CN" w:bidi="ar-SA"/>
              </w:rPr>
              <w:t>制备系统系统依托现有工程，采用的反渗透工艺，</w:t>
            </w:r>
            <w:r>
              <w:rPr>
                <w:rFonts w:hint="eastAsia" w:cs="Times New Roman"/>
                <w:b w:val="0"/>
                <w:bCs w:val="0"/>
                <w:color w:val="auto"/>
                <w:kern w:val="2"/>
                <w:sz w:val="21"/>
                <w:szCs w:val="21"/>
                <w:highlight w:val="none"/>
                <w:lang w:val="en-US" w:eastAsia="zh-CN" w:bidi="ar-SA"/>
              </w:rPr>
              <w:t>制备过程产生软水制备废水及废反渗透膜</w:t>
            </w:r>
            <w:r>
              <w:rPr>
                <w:rFonts w:hint="default" w:ascii="Times New Roman" w:hAnsi="Times New Roman" w:eastAsia="宋体" w:cs="Times New Roman"/>
                <w:b w:val="0"/>
                <w:bCs w:val="0"/>
                <w:color w:val="auto"/>
                <w:kern w:val="2"/>
                <w:sz w:val="21"/>
                <w:szCs w:val="21"/>
                <w:highlight w:val="none"/>
                <w:lang w:val="en-US" w:eastAsia="zh-CN" w:bidi="ar-SA"/>
              </w:rPr>
              <w:t>（W</w:t>
            </w:r>
            <w:r>
              <w:rPr>
                <w:rFonts w:hint="eastAsia" w:cs="Times New Roman"/>
                <w:b w:val="0"/>
                <w:bCs w:val="0"/>
                <w:color w:val="auto"/>
                <w:kern w:val="2"/>
                <w:sz w:val="21"/>
                <w:szCs w:val="21"/>
                <w:highlight w:val="none"/>
                <w:lang w:val="en-US" w:eastAsia="zh-CN" w:bidi="ar-SA"/>
              </w:rPr>
              <w:t>3、S1</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循环水冷却系统依托现有工程，循环冷却水系统定期排水，产生的废水</w:t>
            </w:r>
            <w:r>
              <w:rPr>
                <w:rFonts w:hint="default" w:ascii="Times New Roman" w:hAnsi="Times New Roman" w:eastAsia="宋体" w:cs="Times New Roman"/>
                <w:b w:val="0"/>
                <w:bCs w:val="0"/>
                <w:color w:val="auto"/>
                <w:kern w:val="2"/>
                <w:sz w:val="21"/>
                <w:szCs w:val="21"/>
                <w:highlight w:val="none"/>
                <w:lang w:val="en-US" w:eastAsia="zh-CN" w:bidi="ar-SA"/>
              </w:rPr>
              <w:t>（W</w:t>
            </w:r>
            <w:r>
              <w:rPr>
                <w:rFonts w:hint="eastAsia" w:cs="Times New Roman"/>
                <w:b w:val="0"/>
                <w:bCs w:val="0"/>
                <w:color w:val="auto"/>
                <w:kern w:val="2"/>
                <w:sz w:val="21"/>
                <w:szCs w:val="21"/>
                <w:highlight w:val="none"/>
                <w:lang w:val="en-US" w:eastAsia="zh-CN" w:bidi="ar-SA"/>
              </w:rPr>
              <w:t>4</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排入产区污水处理站进行处理。螯合物一</w:t>
            </w:r>
            <w:r>
              <w:rPr>
                <w:rFonts w:hint="default" w:ascii="Times New Roman" w:hAnsi="Times New Roman" w:eastAsia="宋体" w:cs="Times New Roman"/>
                <w:b w:val="0"/>
                <w:bCs w:val="0"/>
                <w:color w:val="auto"/>
                <w:kern w:val="2"/>
                <w:sz w:val="21"/>
                <w:szCs w:val="21"/>
                <w:highlight w:val="none"/>
                <w:lang w:val="en-US" w:eastAsia="zh-CN" w:bidi="ar-SA"/>
              </w:rPr>
              <w:t>车间设置了洁净车间，生产过程中设备定期清洗及车间地面进行清洗产生一定的废水（</w:t>
            </w:r>
            <w:bookmarkStart w:id="24" w:name="OLE_LINK16"/>
            <w:r>
              <w:rPr>
                <w:rFonts w:hint="default" w:ascii="Times New Roman" w:hAnsi="Times New Roman" w:eastAsia="宋体" w:cs="Times New Roman"/>
                <w:b w:val="0"/>
                <w:bCs w:val="0"/>
                <w:color w:val="auto"/>
                <w:kern w:val="2"/>
                <w:sz w:val="21"/>
                <w:szCs w:val="21"/>
                <w:highlight w:val="none"/>
                <w:lang w:val="en-US" w:eastAsia="zh-CN" w:bidi="ar-SA"/>
              </w:rPr>
              <w:t>W</w:t>
            </w:r>
            <w:r>
              <w:rPr>
                <w:rFonts w:hint="eastAsia" w:cs="Times New Roman"/>
                <w:b w:val="0"/>
                <w:bCs w:val="0"/>
                <w:color w:val="auto"/>
                <w:kern w:val="2"/>
                <w:sz w:val="21"/>
                <w:szCs w:val="21"/>
                <w:highlight w:val="none"/>
                <w:lang w:val="en-US" w:eastAsia="zh-CN" w:bidi="ar-SA"/>
              </w:rPr>
              <w:t>5</w:t>
            </w:r>
            <w:bookmarkEnd w:id="24"/>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W</w:t>
            </w:r>
            <w:r>
              <w:rPr>
                <w:rFonts w:hint="eastAsia" w:cs="Times New Roman"/>
                <w:b w:val="0"/>
                <w:bCs w:val="0"/>
                <w:color w:val="auto"/>
                <w:kern w:val="2"/>
                <w:sz w:val="21"/>
                <w:szCs w:val="21"/>
                <w:highlight w:val="none"/>
                <w:lang w:val="en-US" w:eastAsia="zh-CN" w:bidi="ar-SA"/>
              </w:rPr>
              <w:t>6</w:t>
            </w:r>
            <w:r>
              <w:rPr>
                <w:rFonts w:hint="default" w:ascii="Times New Roman" w:hAnsi="Times New Roman" w:eastAsia="宋体" w:cs="Times New Roman"/>
                <w:b w:val="0"/>
                <w:bCs w:val="0"/>
                <w:color w:val="auto"/>
                <w:kern w:val="2"/>
                <w:sz w:val="21"/>
                <w:szCs w:val="21"/>
                <w:highlight w:val="none"/>
                <w:lang w:val="en-US" w:eastAsia="zh-CN" w:bidi="ar-SA"/>
              </w:rPr>
              <w:t>）排入厂区设置的污水处理站进行处理。本项目依托厂区污水处理站</w:t>
            </w:r>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污水处理过程中产的废气主要为为氨、</w:t>
            </w:r>
            <w:r>
              <w:rPr>
                <w:rFonts w:hint="eastAsia" w:cs="Times New Roman"/>
                <w:b w:val="0"/>
                <w:bCs w:val="0"/>
                <w:color w:val="auto"/>
                <w:sz w:val="21"/>
                <w:szCs w:val="21"/>
                <w:highlight w:val="none"/>
                <w:lang w:val="en-US" w:eastAsia="zh-CN"/>
              </w:rPr>
              <w:t>硫化氢、</w:t>
            </w:r>
            <w:r>
              <w:rPr>
                <w:rFonts w:hint="default" w:ascii="Times New Roman" w:hAnsi="Times New Roman" w:eastAsia="宋体" w:cs="Times New Roman"/>
                <w:b w:val="0"/>
                <w:bCs w:val="0"/>
                <w:color w:val="auto"/>
                <w:kern w:val="2"/>
                <w:sz w:val="21"/>
                <w:szCs w:val="21"/>
                <w:highlight w:val="none"/>
                <w:lang w:val="en-US" w:eastAsia="zh-CN" w:bidi="ar-SA"/>
              </w:rPr>
              <w:t>臭气浓度，厂区污水处理站废气两级水吸收+恒温多级生物滤池装置+1根15m排气筒（DA010）排放（G</w:t>
            </w:r>
            <w:r>
              <w:rPr>
                <w:rFonts w:hint="eastAsia" w:cs="Times New Roman"/>
                <w:b w:val="0"/>
                <w:bCs w:val="0"/>
                <w:color w:val="auto"/>
                <w:kern w:val="2"/>
                <w:sz w:val="21"/>
                <w:szCs w:val="21"/>
                <w:highlight w:val="none"/>
                <w:lang w:val="en-US" w:eastAsia="zh-CN" w:bidi="ar-SA"/>
              </w:rPr>
              <w:t>4</w:t>
            </w:r>
            <w:r>
              <w:rPr>
                <w:rFonts w:hint="default" w:ascii="Times New Roman" w:hAnsi="Times New Roman" w:eastAsia="宋体" w:cs="Times New Roman"/>
                <w:b w:val="0"/>
                <w:bCs w:val="0"/>
                <w:color w:val="auto"/>
                <w:kern w:val="2"/>
                <w:sz w:val="21"/>
                <w:szCs w:val="21"/>
                <w:highlight w:val="none"/>
                <w:lang w:val="en-US" w:eastAsia="zh-CN" w:bidi="ar-SA"/>
              </w:rPr>
              <w:t>），污水处理站产生的污泥（S</w:t>
            </w:r>
            <w:r>
              <w:rPr>
                <w:rFonts w:hint="eastAsia" w:cs="Times New Roman"/>
                <w:b w:val="0"/>
                <w:bCs w:val="0"/>
                <w:color w:val="auto"/>
                <w:kern w:val="2"/>
                <w:sz w:val="21"/>
                <w:szCs w:val="21"/>
                <w:highlight w:val="none"/>
                <w:lang w:val="en-US" w:eastAsia="zh-CN" w:bidi="ar-SA"/>
              </w:rPr>
              <w:t>6</w:t>
            </w:r>
            <w:r>
              <w:rPr>
                <w:rFonts w:hint="default" w:ascii="Times New Roman" w:hAnsi="Times New Roman" w:eastAsia="宋体" w:cs="Times New Roman"/>
                <w:b w:val="0"/>
                <w:bCs w:val="0"/>
                <w:color w:val="auto"/>
                <w:kern w:val="2"/>
                <w:sz w:val="21"/>
                <w:szCs w:val="21"/>
                <w:highlight w:val="none"/>
                <w:lang w:val="en-US" w:eastAsia="zh-CN" w:bidi="ar-SA"/>
              </w:rPr>
              <w:t>）为一般固废，</w:t>
            </w:r>
            <w:r>
              <w:rPr>
                <w:rFonts w:hint="eastAsia" w:cs="Times New Roman"/>
                <w:b w:val="0"/>
                <w:bCs w:val="0"/>
                <w:color w:val="0000FF"/>
                <w:kern w:val="2"/>
                <w:sz w:val="21"/>
                <w:szCs w:val="21"/>
                <w:highlight w:val="none"/>
                <w:lang w:val="en-US" w:eastAsia="zh-CN" w:bidi="ar-SA"/>
              </w:rPr>
              <w:t>定期交有利用能力单位处置后综合利用</w:t>
            </w:r>
            <w:r>
              <w:rPr>
                <w:rFonts w:hint="default" w:ascii="Times New Roman" w:hAnsi="Times New Roman" w:eastAsia="宋体" w:cs="Times New Roman"/>
                <w:b w:val="0"/>
                <w:bCs w:val="0"/>
                <w:color w:val="auto"/>
                <w:kern w:val="2"/>
                <w:sz w:val="21"/>
                <w:szCs w:val="21"/>
                <w:highlight w:val="none"/>
                <w:lang w:val="en-US" w:eastAsia="zh-CN" w:bidi="ar-SA"/>
              </w:rPr>
              <w:t>。除尘装置产生的废</w:t>
            </w:r>
            <w:r>
              <w:rPr>
                <w:rFonts w:hint="eastAsia" w:cs="Times New Roman"/>
                <w:b w:val="0"/>
                <w:bCs w:val="0"/>
                <w:color w:val="auto"/>
                <w:kern w:val="2"/>
                <w:sz w:val="21"/>
                <w:szCs w:val="21"/>
                <w:highlight w:val="none"/>
                <w:lang w:val="en-US" w:eastAsia="zh-CN" w:bidi="ar-SA"/>
              </w:rPr>
              <w:t>布袋</w:t>
            </w:r>
            <w:r>
              <w:rPr>
                <w:rFonts w:hint="default" w:ascii="Times New Roman" w:hAnsi="Times New Roman" w:eastAsia="宋体" w:cs="Times New Roman"/>
                <w:b w:val="0"/>
                <w:bCs w:val="0"/>
                <w:color w:val="auto"/>
                <w:kern w:val="2"/>
                <w:sz w:val="21"/>
                <w:szCs w:val="21"/>
                <w:highlight w:val="none"/>
                <w:lang w:val="en-US" w:eastAsia="zh-CN" w:bidi="ar-SA"/>
              </w:rPr>
              <w:t>（S</w:t>
            </w:r>
            <w:r>
              <w:rPr>
                <w:rFonts w:hint="eastAsia" w:cs="Times New Roman"/>
                <w:b w:val="0"/>
                <w:bCs w:val="0"/>
                <w:color w:val="auto"/>
                <w:kern w:val="2"/>
                <w:sz w:val="21"/>
                <w:szCs w:val="21"/>
                <w:highlight w:val="none"/>
                <w:lang w:val="en-US" w:eastAsia="zh-CN" w:bidi="ar-SA"/>
              </w:rPr>
              <w:t>5</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定期收集后外售</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设备检修维护过程</w:t>
            </w:r>
            <w:r>
              <w:rPr>
                <w:rFonts w:hint="default" w:ascii="Times New Roman" w:hAnsi="Times New Roman" w:eastAsia="宋体" w:cs="Times New Roman"/>
                <w:b w:val="0"/>
                <w:bCs w:val="0"/>
                <w:color w:val="auto"/>
                <w:kern w:val="2"/>
                <w:sz w:val="21"/>
                <w:szCs w:val="21"/>
                <w:highlight w:val="none"/>
                <w:lang w:val="en-US" w:eastAsia="zh-CN" w:bidi="ar-SA"/>
              </w:rPr>
              <w:t>产生的</w:t>
            </w:r>
            <w:r>
              <w:rPr>
                <w:rFonts w:hint="eastAsia" w:cs="Times New Roman"/>
                <w:b w:val="0"/>
                <w:bCs w:val="0"/>
                <w:color w:val="auto"/>
                <w:kern w:val="2"/>
                <w:sz w:val="21"/>
                <w:szCs w:val="21"/>
                <w:highlight w:val="none"/>
                <w:lang w:val="en-US" w:eastAsia="zh-CN" w:bidi="ar-SA"/>
              </w:rPr>
              <w:t>废润滑油、废润滑油桶</w:t>
            </w:r>
            <w:r>
              <w:rPr>
                <w:rFonts w:hint="default" w:ascii="Times New Roman" w:hAnsi="Times New Roman" w:eastAsia="宋体" w:cs="Times New Roman"/>
                <w:b w:val="0"/>
                <w:bCs w:val="0"/>
                <w:color w:val="auto"/>
                <w:kern w:val="2"/>
                <w:sz w:val="21"/>
                <w:szCs w:val="21"/>
                <w:highlight w:val="none"/>
                <w:lang w:val="en-US" w:eastAsia="zh-CN" w:bidi="ar-SA"/>
              </w:rPr>
              <w:t>（S</w:t>
            </w:r>
            <w:r>
              <w:rPr>
                <w:rFonts w:hint="eastAsia" w:cs="Times New Roman"/>
                <w:b w:val="0"/>
                <w:bCs w:val="0"/>
                <w:color w:val="auto"/>
                <w:kern w:val="2"/>
                <w:sz w:val="21"/>
                <w:szCs w:val="21"/>
                <w:highlight w:val="none"/>
                <w:lang w:val="en-US" w:eastAsia="zh-CN" w:bidi="ar-SA"/>
              </w:rPr>
              <w:t>3</w:t>
            </w:r>
            <w:r>
              <w:rPr>
                <w:rFonts w:hint="default" w:ascii="Times New Roman" w:hAnsi="Times New Roman" w:eastAsia="宋体" w:cs="Times New Roman"/>
                <w:b w:val="0"/>
                <w:bCs w:val="0"/>
                <w:color w:val="auto"/>
                <w:kern w:val="2"/>
                <w:sz w:val="21"/>
                <w:szCs w:val="21"/>
                <w:highlight w:val="none"/>
                <w:lang w:val="en-US" w:eastAsia="zh-CN" w:bidi="ar-SA"/>
              </w:rPr>
              <w:t>）属于危险废物暂存于危废间内，定期交有资质单位进行合理处置</w:t>
            </w:r>
            <w:r>
              <w:rPr>
                <w:rFonts w:hint="eastAsia" w:cs="Times New Roman"/>
                <w:b w:val="0"/>
                <w:bCs w:val="0"/>
                <w:color w:val="auto"/>
                <w:kern w:val="2"/>
                <w:sz w:val="21"/>
                <w:szCs w:val="21"/>
                <w:highlight w:val="none"/>
                <w:lang w:val="en-US" w:eastAsia="zh-CN" w:bidi="ar-SA"/>
              </w:rPr>
              <w:t>，污水处理站产生的废气</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G4</w:t>
            </w:r>
            <w:r>
              <w:rPr>
                <w:rFonts w:hint="default" w:ascii="Times New Roman" w:hAnsi="Times New Roman" w:eastAsia="宋体" w:cs="Times New Roman"/>
                <w:b w:val="0"/>
                <w:bCs w:val="0"/>
                <w:color w:val="auto"/>
                <w:kern w:val="2"/>
                <w:sz w:val="21"/>
                <w:szCs w:val="21"/>
                <w:highlight w:val="none"/>
                <w:lang w:val="en-US" w:eastAsia="zh-CN" w:bidi="ar-SA"/>
              </w:rPr>
              <w:t>）</w:t>
            </w:r>
            <w:r>
              <w:rPr>
                <w:rFonts w:hint="eastAsia" w:cs="Times New Roman"/>
                <w:b w:val="0"/>
                <w:bCs w:val="0"/>
                <w:color w:val="auto"/>
                <w:kern w:val="2"/>
                <w:sz w:val="21"/>
                <w:szCs w:val="21"/>
                <w:highlight w:val="none"/>
                <w:lang w:val="en-US" w:eastAsia="zh-CN" w:bidi="ar-SA"/>
              </w:rPr>
              <w:t>，污泥</w:t>
            </w:r>
            <w:bookmarkStart w:id="25" w:name="OLE_LINK17"/>
            <w:r>
              <w:rPr>
                <w:rFonts w:hint="default" w:ascii="Times New Roman" w:hAnsi="Times New Roman" w:eastAsia="宋体" w:cs="Times New Roman"/>
                <w:b w:val="0"/>
                <w:bCs w:val="0"/>
                <w:color w:val="auto"/>
                <w:kern w:val="2"/>
                <w:sz w:val="21"/>
                <w:szCs w:val="21"/>
                <w:highlight w:val="none"/>
                <w:lang w:val="en-US" w:eastAsia="zh-CN" w:bidi="ar-SA"/>
              </w:rPr>
              <w:t>（S</w:t>
            </w:r>
            <w:r>
              <w:rPr>
                <w:rFonts w:hint="eastAsia" w:cs="Times New Roman"/>
                <w:b w:val="0"/>
                <w:bCs w:val="0"/>
                <w:color w:val="auto"/>
                <w:kern w:val="2"/>
                <w:sz w:val="21"/>
                <w:szCs w:val="21"/>
                <w:highlight w:val="none"/>
                <w:lang w:val="en-US" w:eastAsia="zh-CN" w:bidi="ar-SA"/>
              </w:rPr>
              <w:t>6</w:t>
            </w:r>
            <w:r>
              <w:rPr>
                <w:rFonts w:hint="default" w:ascii="Times New Roman" w:hAnsi="Times New Roman" w:eastAsia="宋体" w:cs="Times New Roman"/>
                <w:b w:val="0"/>
                <w:bCs w:val="0"/>
                <w:color w:val="auto"/>
                <w:kern w:val="2"/>
                <w:sz w:val="21"/>
                <w:szCs w:val="21"/>
                <w:highlight w:val="none"/>
                <w:lang w:val="en-US" w:eastAsia="zh-CN" w:bidi="ar-SA"/>
              </w:rPr>
              <w:t>）</w:t>
            </w:r>
            <w:bookmarkEnd w:id="25"/>
            <w:r>
              <w:rPr>
                <w:rFonts w:hint="eastAsia" w:cs="Times New Roman"/>
                <w:b w:val="0"/>
                <w:bCs w:val="0"/>
                <w:color w:val="auto"/>
                <w:kern w:val="2"/>
                <w:sz w:val="21"/>
                <w:szCs w:val="21"/>
                <w:highlight w:val="none"/>
                <w:lang w:val="en-US" w:eastAsia="zh-CN" w:bidi="ar-SA"/>
              </w:rPr>
              <w:t>为一般工业固体废物。</w:t>
            </w:r>
          </w:p>
          <w:p w14:paraId="4C73B818">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eastAsia" w:ascii="Times New Roman" w:hAnsi="Times New Roman" w:eastAsia="宋体" w:cs="Times New Roman"/>
                <w:b w:val="0"/>
                <w:bCs w:val="0"/>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工艺流程图见下图。</w:t>
            </w:r>
          </w:p>
          <w:p w14:paraId="708324EC">
            <w:pPr>
              <w:keepNext w:val="0"/>
              <w:keepLines w:val="0"/>
              <w:pageBreakBefore w:val="0"/>
              <w:widowControl w:val="0"/>
              <w:kinsoku/>
              <w:wordWrap/>
              <w:overflowPunct/>
              <w:topLinePunct w:val="0"/>
              <w:autoSpaceDE/>
              <w:autoSpaceDN/>
              <w:bidi w:val="0"/>
              <w:ind w:leftChars="0" w:firstLine="480" w:firstLineChars="200"/>
              <w:jc w:val="both"/>
              <w:rPr>
                <w:rFonts w:hint="default"/>
                <w:color w:val="auto"/>
                <w:sz w:val="21"/>
                <w:szCs w:val="21"/>
                <w:highlight w:val="none"/>
                <w:lang w:val="en-US" w:eastAsia="zh-CN"/>
              </w:rPr>
            </w:pPr>
            <w:r>
              <w:rPr>
                <w:color w:val="auto"/>
                <w:sz w:val="24"/>
              </w:rPr>
              <mc:AlternateContent>
                <mc:Choice Requires="wpg">
                  <w:drawing>
                    <wp:anchor distT="0" distB="0" distL="114300" distR="114300" simplePos="0" relativeHeight="251671552" behindDoc="0" locked="0" layoutInCell="1" allowOverlap="1">
                      <wp:simplePos x="0" y="0"/>
                      <wp:positionH relativeFrom="column">
                        <wp:posOffset>296545</wp:posOffset>
                      </wp:positionH>
                      <wp:positionV relativeFrom="paragraph">
                        <wp:posOffset>119380</wp:posOffset>
                      </wp:positionV>
                      <wp:extent cx="3669030" cy="4089400"/>
                      <wp:effectExtent l="9525" t="4445" r="0" b="1905"/>
                      <wp:wrapNone/>
                      <wp:docPr id="164" name="组合 164"/>
                      <wp:cNvGraphicFramePr/>
                      <a:graphic xmlns:a="http://schemas.openxmlformats.org/drawingml/2006/main">
                        <a:graphicData uri="http://schemas.microsoft.com/office/word/2010/wordprocessingGroup">
                          <wpg:wgp>
                            <wpg:cNvGrpSpPr/>
                            <wpg:grpSpPr>
                              <a:xfrm>
                                <a:off x="0" y="0"/>
                                <a:ext cx="3669030" cy="4089400"/>
                                <a:chOff x="7658" y="738395"/>
                                <a:chExt cx="5778" cy="6440"/>
                              </a:xfrm>
                            </wpg:grpSpPr>
                            <wps:wsp>
                              <wps:cNvPr id="152" name="直接连接符 256"/>
                              <wps:cNvCnPr/>
                              <wps:spPr>
                                <a:xfrm flipH="1" flipV="1">
                                  <a:off x="8063" y="743298"/>
                                  <a:ext cx="1" cy="328"/>
                                </a:xfrm>
                                <a:prstGeom prst="line">
                                  <a:avLst/>
                                </a:prstGeom>
                                <a:ln w="12700" cap="flat" cmpd="sng">
                                  <a:solidFill>
                                    <a:srgbClr val="000000"/>
                                  </a:solidFill>
                                  <a:prstDash val="dashDot"/>
                                  <a:headEnd type="none" w="med" len="med"/>
                                  <a:tailEnd type="triangle" w="med" len="med"/>
                                </a:ln>
                              </wps:spPr>
                              <wps:bodyPr upright="1"/>
                            </wps:wsp>
                            <wpg:grpSp>
                              <wpg:cNvPr id="163" name="组合 163"/>
                              <wpg:cNvGrpSpPr/>
                              <wpg:grpSpPr>
                                <a:xfrm>
                                  <a:off x="7658" y="738395"/>
                                  <a:ext cx="5778" cy="6440"/>
                                  <a:chOff x="7658" y="738395"/>
                                  <a:chExt cx="5778" cy="6440"/>
                                </a:xfrm>
                              </wpg:grpSpPr>
                              <wpg:grpSp>
                                <wpg:cNvPr id="151" name="组合 151"/>
                                <wpg:cNvGrpSpPr/>
                                <wpg:grpSpPr>
                                  <a:xfrm>
                                    <a:off x="7658" y="738395"/>
                                    <a:ext cx="5778" cy="6440"/>
                                    <a:chOff x="7658" y="738395"/>
                                    <a:chExt cx="5778" cy="6440"/>
                                  </a:xfrm>
                                </wpg:grpSpPr>
                                <wps:wsp>
                                  <wps:cNvPr id="138" name="直接连接符 225"/>
                                  <wps:cNvCnPr/>
                                  <wps:spPr>
                                    <a:xfrm flipH="1">
                                      <a:off x="8750" y="743060"/>
                                      <a:ext cx="1" cy="540"/>
                                    </a:xfrm>
                                    <a:prstGeom prst="line">
                                      <a:avLst/>
                                    </a:prstGeom>
                                    <a:ln w="12700" cap="flat" cmpd="sng">
                                      <a:solidFill>
                                        <a:srgbClr val="000000"/>
                                      </a:solidFill>
                                      <a:prstDash val="solid"/>
                                      <a:headEnd type="none" w="med" len="med"/>
                                      <a:tailEnd type="triangle" w="med" len="med"/>
                                    </a:ln>
                                  </wps:spPr>
                                  <wps:bodyPr upright="1"/>
                                </wps:wsp>
                                <wpg:grpSp>
                                  <wpg:cNvPr id="145" name="组合 145"/>
                                  <wpg:cNvGrpSpPr/>
                                  <wpg:grpSpPr>
                                    <a:xfrm>
                                      <a:off x="7807" y="743024"/>
                                      <a:ext cx="2188" cy="1120"/>
                                      <a:chOff x="7807" y="743024"/>
                                      <a:chExt cx="2188" cy="1120"/>
                                    </a:xfrm>
                                  </wpg:grpSpPr>
                                  <wps:wsp>
                                    <wps:cNvPr id="139" name="矩形 215"/>
                                    <wps:cNvSpPr/>
                                    <wps:spPr>
                                      <a:xfrm>
                                        <a:off x="7807" y="743630"/>
                                        <a:ext cx="1941" cy="514"/>
                                      </a:xfrm>
                                      <a:prstGeom prst="rect">
                                        <a:avLst/>
                                      </a:prstGeom>
                                      <a:solidFill>
                                        <a:srgbClr val="FFFFFF"/>
                                      </a:solidFill>
                                      <a:ln w="9525" cap="flat" cmpd="sng">
                                        <a:noFill/>
                                        <a:prstDash val="solid"/>
                                        <a:miter/>
                                        <a:headEnd type="none" w="med" len="med"/>
                                        <a:tailEnd type="none" w="med" len="med"/>
                                      </a:ln>
                                    </wps:spPr>
                                    <wps:txbx>
                                      <w:txbxContent>
                                        <w:p w14:paraId="07A7E249">
                                          <w:pPr>
                                            <w:jc w:val="center"/>
                                            <w:rPr>
                                              <w:rFonts w:hint="default" w:eastAsia="宋体"/>
                                              <w:sz w:val="21"/>
                                              <w:szCs w:val="21"/>
                                              <w:lang w:val="en-US" w:eastAsia="zh-CN"/>
                                            </w:rPr>
                                          </w:pPr>
                                          <w:r>
                                            <w:rPr>
                                              <w:rFonts w:hint="eastAsia"/>
                                              <w:sz w:val="21"/>
                                              <w:szCs w:val="21"/>
                                              <w:lang w:val="en-US" w:eastAsia="zh-CN"/>
                                            </w:rPr>
                                            <w:t>厂区污水处理站</w:t>
                                          </w:r>
                                        </w:p>
                                      </w:txbxContent>
                                    </wps:txbx>
                                    <wps:bodyPr upright="1"/>
                                  </wps:wsp>
                                  <wps:wsp>
                                    <wps:cNvPr id="141" name="矩形 255"/>
                                    <wps:cNvSpPr/>
                                    <wps:spPr>
                                      <a:xfrm>
                                        <a:off x="8754" y="743024"/>
                                        <a:ext cx="1241" cy="330"/>
                                      </a:xfrm>
                                      <a:prstGeom prst="rect">
                                        <a:avLst/>
                                      </a:prstGeom>
                                      <a:noFill/>
                                      <a:ln>
                                        <a:noFill/>
                                      </a:ln>
                                    </wps:spPr>
                                    <wps:txbx>
                                      <w:txbxContent>
                                        <w:p w14:paraId="484833BF">
                                          <w:pPr>
                                            <w:jc w:val="center"/>
                                            <w:rPr>
                                              <w:rFonts w:hint="default" w:eastAsia="宋体"/>
                                              <w:sz w:val="18"/>
                                              <w:szCs w:val="18"/>
                                              <w:lang w:val="en-US" w:eastAsia="zh-CN"/>
                                            </w:rPr>
                                          </w:pPr>
                                          <w:r>
                                            <w:rPr>
                                              <w:rFonts w:hint="eastAsia"/>
                                              <w:sz w:val="18"/>
                                              <w:szCs w:val="18"/>
                                              <w:lang w:val="en-US" w:eastAsia="zh-CN"/>
                                            </w:rPr>
                                            <w:t>W1、W2、N</w:t>
                                          </w:r>
                                        </w:p>
                                      </w:txbxContent>
                                    </wps:txbx>
                                    <wps:bodyPr upright="1"/>
                                  </wps:wsp>
                                </wpg:grpSp>
                                <wpg:grpSp>
                                  <wpg:cNvPr id="144" name="组合 144"/>
                                  <wpg:cNvGrpSpPr/>
                                  <wpg:grpSpPr>
                                    <a:xfrm>
                                      <a:off x="7658" y="738395"/>
                                      <a:ext cx="5779" cy="6440"/>
                                      <a:chOff x="7658" y="738395"/>
                                      <a:chExt cx="5779" cy="6440"/>
                                    </a:xfrm>
                                  </wpg:grpSpPr>
                                  <wpg:grpSp>
                                    <wpg:cNvPr id="137" name="组合 137"/>
                                    <wpg:cNvGrpSpPr/>
                                    <wpg:grpSpPr>
                                      <a:xfrm>
                                        <a:off x="8316" y="738395"/>
                                        <a:ext cx="5121" cy="6440"/>
                                        <a:chOff x="16783" y="361666"/>
                                        <a:chExt cx="5121" cy="6440"/>
                                      </a:xfrm>
                                    </wpg:grpSpPr>
                                    <wpg:grpSp>
                                      <wpg:cNvPr id="17" name="组合 12"/>
                                      <wpg:cNvGrpSpPr/>
                                      <wpg:grpSpPr>
                                        <a:xfrm rot="0">
                                          <a:off x="17677" y="361666"/>
                                          <a:ext cx="4227" cy="6440"/>
                                          <a:chOff x="17677" y="361666"/>
                                          <a:chExt cx="4227" cy="6440"/>
                                        </a:xfrm>
                                      </wpg:grpSpPr>
                                      <wps:wsp>
                                        <wps:cNvPr id="34" name="直接连接符 246"/>
                                        <wps:cNvCnPr/>
                                        <wps:spPr>
                                          <a:xfrm>
                                            <a:off x="17882" y="363722"/>
                                            <a:ext cx="1012" cy="2"/>
                                          </a:xfrm>
                                          <a:prstGeom prst="line">
                                            <a:avLst/>
                                          </a:prstGeom>
                                          <a:ln w="12700" cap="flat" cmpd="sng">
                                            <a:solidFill>
                                              <a:srgbClr val="000000"/>
                                            </a:solidFill>
                                            <a:prstDash val="solid"/>
                                            <a:headEnd type="none" w="med" len="med"/>
                                            <a:tailEnd type="triangle" w="med" len="med"/>
                                          </a:ln>
                                        </wps:spPr>
                                        <wps:bodyPr upright="1"/>
                                      </wps:wsp>
                                      <wpg:grpSp>
                                        <wpg:cNvPr id="18" name="组合 7"/>
                                        <wpg:cNvGrpSpPr/>
                                        <wpg:grpSpPr>
                                          <a:xfrm>
                                            <a:off x="17677" y="361666"/>
                                            <a:ext cx="4227" cy="6440"/>
                                            <a:chOff x="19843" y="361666"/>
                                            <a:chExt cx="4227" cy="6440"/>
                                          </a:xfrm>
                                        </wpg:grpSpPr>
                                        <wpg:grpSp>
                                          <wpg:cNvPr id="19" name="组合 5"/>
                                          <wpg:cNvGrpSpPr/>
                                          <wpg:grpSpPr>
                                            <a:xfrm>
                                              <a:off x="19843" y="361666"/>
                                              <a:ext cx="4227" cy="6440"/>
                                              <a:chOff x="19843" y="361666"/>
                                              <a:chExt cx="4227" cy="6440"/>
                                            </a:xfrm>
                                          </wpg:grpSpPr>
                                          <wpg:grpSp>
                                            <wpg:cNvPr id="20" name="组合 111"/>
                                            <wpg:cNvGrpSpPr/>
                                            <wpg:grpSpPr>
                                              <a:xfrm rot="0">
                                                <a:off x="20753" y="361666"/>
                                                <a:ext cx="3317" cy="6440"/>
                                                <a:chOff x="6551" y="893253"/>
                                                <a:chExt cx="3317" cy="6440"/>
                                              </a:xfrm>
                                            </wpg:grpSpPr>
                                            <wps:wsp>
                                              <wps:cNvPr id="21" name="矩形 215"/>
                                              <wps:cNvSpPr/>
                                              <wps:spPr>
                                                <a:xfrm>
                                                  <a:off x="6773" y="895076"/>
                                                  <a:ext cx="1393" cy="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7C274F">
                                                    <w:pPr>
                                                      <w:jc w:val="center"/>
                                                      <w:rPr>
                                                        <w:rFonts w:hint="eastAsia" w:eastAsia="宋体"/>
                                                        <w:sz w:val="21"/>
                                                        <w:szCs w:val="21"/>
                                                        <w:lang w:eastAsia="zh-CN"/>
                                                      </w:rPr>
                                                    </w:pPr>
                                                    <w:r>
                                                      <w:rPr>
                                                        <w:rFonts w:hint="eastAsia"/>
                                                        <w:sz w:val="21"/>
                                                        <w:szCs w:val="21"/>
                                                        <w:lang w:val="en-US" w:eastAsia="zh-CN"/>
                                                      </w:rPr>
                                                      <w:t>投料、</w:t>
                                                    </w:r>
                                                    <w:r>
                                                      <w:rPr>
                                                        <w:rFonts w:hint="eastAsia" w:eastAsia="宋体"/>
                                                        <w:sz w:val="21"/>
                                                        <w:szCs w:val="21"/>
                                                        <w:lang w:eastAsia="zh-CN"/>
                                                      </w:rPr>
                                                      <w:t>反应</w:t>
                                                    </w:r>
                                                  </w:p>
                                                </w:txbxContent>
                                              </wps:txbx>
                                              <wps:bodyPr upright="1"/>
                                            </wps:wsp>
                                            <wps:wsp>
                                              <wps:cNvPr id="22" name="矩形 216"/>
                                              <wps:cNvSpPr/>
                                              <wps:spPr>
                                                <a:xfrm>
                                                  <a:off x="6758" y="896111"/>
                                                  <a:ext cx="1379" cy="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68D6BA">
                                                    <w:pPr>
                                                      <w:jc w:val="center"/>
                                                      <w:rPr>
                                                        <w:rFonts w:hint="eastAsia" w:eastAsia="宋体"/>
                                                        <w:lang w:eastAsia="zh-CN"/>
                                                      </w:rPr>
                                                    </w:pPr>
                                                    <w:r>
                                                      <w:rPr>
                                                        <w:rFonts w:hint="eastAsia"/>
                                                        <w:sz w:val="21"/>
                                                        <w:szCs w:val="21"/>
                                                        <w:lang w:val="en-US" w:eastAsia="zh-CN"/>
                                                      </w:rPr>
                                                      <w:t>离心、</w:t>
                                                    </w:r>
                                                    <w:r>
                                                      <w:rPr>
                                                        <w:rFonts w:hint="eastAsia" w:eastAsia="宋体"/>
                                                        <w:sz w:val="21"/>
                                                        <w:szCs w:val="21"/>
                                                        <w:lang w:eastAsia="zh-CN"/>
                                                      </w:rPr>
                                                      <w:t>过滤</w:t>
                                                    </w:r>
                                                  </w:p>
                                                </w:txbxContent>
                                              </wps:txbx>
                                              <wps:bodyPr upright="1"/>
                                            </wps:wsp>
                                            <wps:wsp>
                                              <wps:cNvPr id="24" name="矩形 217"/>
                                              <wps:cNvSpPr/>
                                              <wps:spPr>
                                                <a:xfrm>
                                                  <a:off x="6747" y="897134"/>
                                                  <a:ext cx="1557" cy="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8B43B">
                                                    <w:pPr>
                                                      <w:jc w:val="center"/>
                                                      <w:rPr>
                                                        <w:rFonts w:hint="default" w:eastAsia="宋体"/>
                                                        <w:lang w:val="en-US" w:eastAsia="zh-CN"/>
                                                      </w:rPr>
                                                    </w:pPr>
                                                    <w:r>
                                                      <w:rPr>
                                                        <w:rFonts w:hint="eastAsia"/>
                                                        <w:sz w:val="21"/>
                                                        <w:szCs w:val="21"/>
                                                        <w:lang w:val="en-US" w:eastAsia="zh-CN"/>
                                                      </w:rPr>
                                                      <w:t>喷雾干燥</w:t>
                                                    </w:r>
                                                  </w:p>
                                                </w:txbxContent>
                                              </wps:txbx>
                                              <wps:bodyPr upright="1"/>
                                            </wps:wsp>
                                            <wps:wsp>
                                              <wps:cNvPr id="25" name="矩形 218"/>
                                              <wps:cNvSpPr/>
                                              <wps:spPr>
                                                <a:xfrm>
                                                  <a:off x="6773" y="898154"/>
                                                  <a:ext cx="1379" cy="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0C04E2">
                                                    <w:pPr>
                                                      <w:jc w:val="center"/>
                                                      <w:rPr>
                                                        <w:rFonts w:hint="default" w:eastAsia="宋体"/>
                                                        <w:sz w:val="21"/>
                                                        <w:szCs w:val="21"/>
                                                        <w:lang w:val="en-US" w:eastAsia="zh-CN"/>
                                                      </w:rPr>
                                                    </w:pPr>
                                                    <w:r>
                                                      <w:rPr>
                                                        <w:rFonts w:hint="eastAsia"/>
                                                        <w:sz w:val="21"/>
                                                        <w:szCs w:val="21"/>
                                                        <w:lang w:val="en-US" w:eastAsia="zh-CN"/>
                                                      </w:rPr>
                                                      <w:t>粉碎、包装</w:t>
                                                    </w:r>
                                                  </w:p>
                                                </w:txbxContent>
                                              </wps:txbx>
                                              <wps:bodyPr upright="1"/>
                                            </wps:wsp>
                                            <wps:wsp>
                                              <wps:cNvPr id="26" name="矩形 222"/>
                                              <wps:cNvSpPr/>
                                              <wps:spPr>
                                                <a:xfrm>
                                                  <a:off x="6551" y="899217"/>
                                                  <a:ext cx="2045" cy="476"/>
                                                </a:xfrm>
                                                <a:prstGeom prst="rect">
                                                  <a:avLst/>
                                                </a:prstGeom>
                                                <a:solidFill>
                                                  <a:srgbClr val="FFFFFF"/>
                                                </a:solidFill>
                                                <a:ln>
                                                  <a:noFill/>
                                                </a:ln>
                                              </wps:spPr>
                                              <wps:txbx>
                                                <w:txbxContent>
                                                  <w:p w14:paraId="3FC6B418">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宋体"/>
                                                        <w:sz w:val="21"/>
                                                        <w:szCs w:val="21"/>
                                                        <w:lang w:eastAsia="zh-CN"/>
                                                      </w:rPr>
                                                    </w:pPr>
                                                    <w:r>
                                                      <w:rPr>
                                                        <w:rFonts w:hint="eastAsia" w:eastAsia="宋体"/>
                                                        <w:sz w:val="21"/>
                                                        <w:szCs w:val="21"/>
                                                        <w:lang w:eastAsia="zh-CN"/>
                                                      </w:rPr>
                                                      <w:t>甘氨酸</w:t>
                                                    </w:r>
                                                    <w:r>
                                                      <w:rPr>
                                                        <w:rFonts w:hint="eastAsia"/>
                                                        <w:sz w:val="21"/>
                                                        <w:szCs w:val="21"/>
                                                        <w:lang w:val="en-US" w:eastAsia="zh-CN"/>
                                                      </w:rPr>
                                                      <w:t>亚铁</w:t>
                                                    </w:r>
                                                    <w:r>
                                                      <w:rPr>
                                                        <w:rFonts w:hint="eastAsia" w:eastAsia="宋体"/>
                                                        <w:sz w:val="21"/>
                                                        <w:szCs w:val="21"/>
                                                        <w:lang w:eastAsia="zh-CN"/>
                                                      </w:rPr>
                                                      <w:t>成品</w:t>
                                                    </w:r>
                                                  </w:p>
                                                </w:txbxContent>
                                              </wps:txbx>
                                              <wps:bodyPr upright="1"/>
                                            </wps:wsp>
                                            <wps:wsp>
                                              <wps:cNvPr id="27" name="直接连接符 223"/>
                                              <wps:cNvCnPr/>
                                              <wps:spPr>
                                                <a:xfrm flipH="1">
                                                  <a:off x="7508" y="895556"/>
                                                  <a:ext cx="1" cy="540"/>
                                                </a:xfrm>
                                                <a:prstGeom prst="line">
                                                  <a:avLst/>
                                                </a:prstGeom>
                                                <a:ln w="12700" cap="flat" cmpd="sng">
                                                  <a:solidFill>
                                                    <a:srgbClr val="000000"/>
                                                  </a:solidFill>
                                                  <a:prstDash val="solid"/>
                                                  <a:headEnd type="none" w="med" len="med"/>
                                                  <a:tailEnd type="triangle" w="med" len="med"/>
                                                </a:ln>
                                              </wps:spPr>
                                              <wps:bodyPr upright="1"/>
                                            </wps:wsp>
                                            <wps:wsp>
                                              <wps:cNvPr id="31" name="直接连接符 224"/>
                                              <wps:cNvCnPr/>
                                              <wps:spPr>
                                                <a:xfrm flipH="1">
                                                  <a:off x="7508" y="896606"/>
                                                  <a:ext cx="1" cy="540"/>
                                                </a:xfrm>
                                                <a:prstGeom prst="line">
                                                  <a:avLst/>
                                                </a:prstGeom>
                                                <a:ln w="12700" cap="flat" cmpd="sng">
                                                  <a:solidFill>
                                                    <a:srgbClr val="000000"/>
                                                  </a:solidFill>
                                                  <a:prstDash val="solid"/>
                                                  <a:headEnd type="none" w="med" len="med"/>
                                                  <a:tailEnd type="triangle" w="med" len="med"/>
                                                </a:ln>
                                              </wps:spPr>
                                              <wps:bodyPr upright="1"/>
                                            </wps:wsp>
                                            <wps:wsp>
                                              <wps:cNvPr id="32" name="直接连接符 225"/>
                                              <wps:cNvCnPr/>
                                              <wps:spPr>
                                                <a:xfrm flipH="1">
                                                  <a:off x="7508" y="898645"/>
                                                  <a:ext cx="1" cy="540"/>
                                                </a:xfrm>
                                                <a:prstGeom prst="line">
                                                  <a:avLst/>
                                                </a:prstGeom>
                                                <a:ln w="12700" cap="flat" cmpd="sng">
                                                  <a:solidFill>
                                                    <a:srgbClr val="000000"/>
                                                  </a:solidFill>
                                                  <a:prstDash val="solid"/>
                                                  <a:headEnd type="none" w="med" len="med"/>
                                                  <a:tailEnd type="triangle" w="med" len="med"/>
                                                </a:ln>
                                              </wps:spPr>
                                              <wps:bodyPr upright="1"/>
                                            </wps:wsp>
                                            <wps:wsp>
                                              <wps:cNvPr id="33" name="直接连接符 227"/>
                                              <wps:cNvCnPr/>
                                              <wps:spPr>
                                                <a:xfrm flipH="1">
                                                  <a:off x="7508" y="897626"/>
                                                  <a:ext cx="1" cy="540"/>
                                                </a:xfrm>
                                                <a:prstGeom prst="line">
                                                  <a:avLst/>
                                                </a:prstGeom>
                                                <a:ln w="12700" cap="flat" cmpd="sng">
                                                  <a:solidFill>
                                                    <a:srgbClr val="000000"/>
                                                  </a:solidFill>
                                                  <a:prstDash val="solid"/>
                                                  <a:headEnd type="none" w="med" len="med"/>
                                                  <a:tailEnd type="triangle" w="med" len="med"/>
                                                </a:ln>
                                              </wps:spPr>
                                              <wps:bodyPr upright="1"/>
                                            </wps:wsp>
                                            <wps:wsp>
                                              <wps:cNvPr id="48" name="矩形 245"/>
                                              <wps:cNvSpPr/>
                                              <wps:spPr>
                                                <a:xfrm>
                                                  <a:off x="7141" y="893253"/>
                                                  <a:ext cx="1234" cy="1272"/>
                                                </a:xfrm>
                                                <a:prstGeom prst="rect">
                                                  <a:avLst/>
                                                </a:prstGeom>
                                                <a:noFill/>
                                                <a:ln>
                                                  <a:solidFill>
                                                    <a:schemeClr val="tx1"/>
                                                  </a:solidFill>
                                                </a:ln>
                                              </wps:spPr>
                                              <wps:txbx>
                                                <w:txbxContent>
                                                  <w:p w14:paraId="0996D13A">
                                                    <w:pPr>
                                                      <w:pStyle w:val="10"/>
                                                      <w:keepNext w:val="0"/>
                                                      <w:keepLines w:val="0"/>
                                                      <w:pageBreakBefore w:val="0"/>
                                                      <w:widowControl w:val="0"/>
                                                      <w:kinsoku/>
                                                      <w:wordWrap/>
                                                      <w:overflowPunct/>
                                                      <w:topLinePunct w:val="0"/>
                                                      <w:autoSpaceDE/>
                                                      <w:autoSpaceDN/>
                                                      <w:bidi w:val="0"/>
                                                      <w:snapToGrid w:val="0"/>
                                                      <w:spacing w:line="240" w:lineRule="auto"/>
                                                      <w:ind w:left="0" w:leftChars="0" w:firstLine="0" w:firstLineChars="0"/>
                                                      <w:jc w:val="left"/>
                                                      <w:rPr>
                                                        <w:rFonts w:hint="default" w:ascii="Times New Roman" w:hAnsi="Times New Roman" w:eastAsia="宋体" w:cs="Times New Roman"/>
                                                        <w:b w:val="0"/>
                                                        <w:bCs w:val="0"/>
                                                        <w:sz w:val="18"/>
                                                        <w:szCs w:val="18"/>
                                                        <w:lang w:val="en-US" w:eastAsia="zh-CN"/>
                                                      </w:rPr>
                                                    </w:pPr>
                                                    <w:r>
                                                      <w:rPr>
                                                        <w:rFonts w:hint="default" w:ascii="Times New Roman" w:hAnsi="Times New Roman" w:eastAsia="宋体" w:cs="Times New Roman"/>
                                                        <w:b w:val="0"/>
                                                        <w:bCs w:val="0"/>
                                                        <w:sz w:val="18"/>
                                                        <w:szCs w:val="18"/>
                                                        <w:lang w:val="en-US" w:eastAsia="zh-CN"/>
                                                      </w:rPr>
                                                      <w:t>甘氨酸</w:t>
                                                    </w:r>
                                                  </w:p>
                                                  <w:p w14:paraId="41F86963">
                                                    <w:pPr>
                                                      <w:pStyle w:val="6"/>
                                                      <w:keepNext w:val="0"/>
                                                      <w:keepLines w:val="0"/>
                                                      <w:pageBreakBefore w:val="0"/>
                                                      <w:widowControl w:val="0"/>
                                                      <w:numPr>
                                                        <w:ilvl w:val="3"/>
                                                        <w:numId w:val="0"/>
                                                      </w:numPr>
                                                      <w:kinsoku/>
                                                      <w:wordWrap/>
                                                      <w:overflowPunct/>
                                                      <w:topLinePunct w:val="0"/>
                                                      <w:autoSpaceDE/>
                                                      <w:autoSpaceDN/>
                                                      <w:bidi w:val="0"/>
                                                      <w:snapToGrid w:val="0"/>
                                                      <w:spacing w:line="240" w:lineRule="auto"/>
                                                      <w:ind w:leftChars="0"/>
                                                      <w:jc w:val="left"/>
                                                      <w:rPr>
                                                        <w:rFonts w:hint="eastAsia" w:cs="Times New Roman"/>
                                                        <w:b w:val="0"/>
                                                        <w:bCs w:val="0"/>
                                                        <w:sz w:val="18"/>
                                                        <w:szCs w:val="18"/>
                                                        <w:lang w:val="en-US" w:eastAsia="zh-CN"/>
                                                      </w:rPr>
                                                    </w:pPr>
                                                    <w:r>
                                                      <w:rPr>
                                                        <w:rFonts w:hint="eastAsia" w:cs="Times New Roman"/>
                                                        <w:b w:val="0"/>
                                                        <w:bCs w:val="0"/>
                                                        <w:sz w:val="18"/>
                                                        <w:szCs w:val="18"/>
                                                        <w:lang w:val="en-US" w:eastAsia="zh-CN"/>
                                                      </w:rPr>
                                                      <w:t>柠檬酸</w:t>
                                                    </w:r>
                                                  </w:p>
                                                  <w:p w14:paraId="0F3EBA0F">
                                                    <w:pPr>
                                                      <w:pStyle w:val="10"/>
                                                      <w:keepNext w:val="0"/>
                                                      <w:keepLines w:val="0"/>
                                                      <w:pageBreakBefore w:val="0"/>
                                                      <w:widowControl w:val="0"/>
                                                      <w:kinsoku/>
                                                      <w:wordWrap/>
                                                      <w:overflowPunct/>
                                                      <w:topLinePunct w:val="0"/>
                                                      <w:autoSpaceDE/>
                                                      <w:autoSpaceDN/>
                                                      <w:bidi w:val="0"/>
                                                      <w:snapToGrid w:val="0"/>
                                                      <w:spacing w:line="240" w:lineRule="auto"/>
                                                      <w:ind w:left="0" w:leftChars="0" w:firstLine="0" w:firstLineChars="0"/>
                                                      <w:jc w:val="left"/>
                                                      <w:rPr>
                                                        <w:rFonts w:hint="eastAsia" w:ascii="Times New Roman" w:hAnsi="Times New Roman" w:eastAsia="宋体" w:cs="Times New Roman"/>
                                                        <w:b w:val="0"/>
                                                        <w:bCs w:val="0"/>
                                                        <w:sz w:val="18"/>
                                                        <w:szCs w:val="18"/>
                                                        <w:lang w:val="en-US" w:eastAsia="zh-CN"/>
                                                      </w:rPr>
                                                    </w:pPr>
                                                    <w:r>
                                                      <w:rPr>
                                                        <w:rFonts w:hint="eastAsia" w:ascii="Times New Roman" w:hAnsi="Times New Roman" w:eastAsia="宋体" w:cs="Times New Roman"/>
                                                        <w:b w:val="0"/>
                                                        <w:bCs w:val="0"/>
                                                        <w:sz w:val="18"/>
                                                        <w:szCs w:val="18"/>
                                                        <w:lang w:val="en-US" w:eastAsia="zh-CN"/>
                                                      </w:rPr>
                                                      <w:t>维生素C</w:t>
                                                    </w:r>
                                                  </w:p>
                                                  <w:p w14:paraId="776D109F">
                                                    <w:pPr>
                                                      <w:keepNext w:val="0"/>
                                                      <w:keepLines w:val="0"/>
                                                      <w:pageBreakBefore w:val="0"/>
                                                      <w:widowControl w:val="0"/>
                                                      <w:kinsoku/>
                                                      <w:wordWrap/>
                                                      <w:overflowPunct/>
                                                      <w:topLinePunct w:val="0"/>
                                                      <w:bidi w:val="0"/>
                                                      <w:adjustRightInd/>
                                                      <w:snapToGrid/>
                                                      <w:spacing w:line="240" w:lineRule="auto"/>
                                                      <w:ind w:firstLine="0"/>
                                                      <w:jc w:val="left"/>
                                                      <w:textAlignment w:val="auto"/>
                                                      <w:rPr>
                                                        <w:rFonts w:hint="default"/>
                                                        <w:lang w:val="en-US" w:eastAsia="zh-CN"/>
                                                      </w:rPr>
                                                    </w:pPr>
                                                    <w:r>
                                                      <w:rPr>
                                                        <w:rFonts w:hint="eastAsia" w:ascii="Times New Roman" w:hAnsi="Times New Roman" w:eastAsia="宋体" w:cs="Times New Roman"/>
                                                        <w:sz w:val="18"/>
                                                        <w:szCs w:val="18"/>
                                                        <w:lang w:val="en-US" w:eastAsia="zh-CN"/>
                                                      </w:rPr>
                                                      <w:t>还原铁粉</w:t>
                                                    </w:r>
                                                  </w:p>
                                                </w:txbxContent>
                                              </wps:txbx>
                                              <wps:bodyPr upright="1"/>
                                            </wps:wsp>
                                            <wps:wsp>
                                              <wps:cNvPr id="51" name="直接连接符 246"/>
                                              <wps:cNvCnPr/>
                                              <wps:spPr>
                                                <a:xfrm flipH="1">
                                                  <a:off x="7522" y="894538"/>
                                                  <a:ext cx="1" cy="540"/>
                                                </a:xfrm>
                                                <a:prstGeom prst="line">
                                                  <a:avLst/>
                                                </a:prstGeom>
                                                <a:ln w="12700" cap="flat" cmpd="sng">
                                                  <a:solidFill>
                                                    <a:srgbClr val="000000"/>
                                                  </a:solidFill>
                                                  <a:prstDash val="solid"/>
                                                  <a:headEnd type="none" w="med" len="med"/>
                                                  <a:tailEnd type="triangle" w="med" len="med"/>
                                                </a:ln>
                                              </wps:spPr>
                                              <wps:bodyPr upright="1"/>
                                            </wps:wsp>
                                            <wps:wsp>
                                              <wps:cNvPr id="52" name="肘形连接符 247"/>
                                              <wps:cNvCnPr>
                                                <a:stCxn id="216" idx="3"/>
                                                <a:endCxn id="215" idx="3"/>
                                              </wps:cNvCnPr>
                                              <wps:spPr>
                                                <a:xfrm flipV="1">
                                                  <a:off x="8137" y="895315"/>
                                                  <a:ext cx="29" cy="1035"/>
                                                </a:xfrm>
                                                <a:prstGeom prst="bentConnector3">
                                                  <a:avLst>
                                                    <a:gd name="adj1" fmla="val 5455171"/>
                                                  </a:avLst>
                                                </a:prstGeom>
                                                <a:ln w="12700" cap="flat" cmpd="sng">
                                                  <a:solidFill>
                                                    <a:srgbClr val="000000"/>
                                                  </a:solidFill>
                                                  <a:prstDash val="dash"/>
                                                  <a:miter/>
                                                  <a:headEnd type="none" w="med" len="med"/>
                                                  <a:tailEnd type="triangle" w="med" len="med"/>
                                                </a:ln>
                                              </wps:spPr>
                                              <wps:bodyPr/>
                                            </wps:wsp>
                                            <wps:wsp>
                                              <wps:cNvPr id="53" name="矩形 248"/>
                                              <wps:cNvSpPr/>
                                              <wps:spPr>
                                                <a:xfrm>
                                                  <a:off x="7973" y="895960"/>
                                                  <a:ext cx="1895" cy="780"/>
                                                </a:xfrm>
                                                <a:prstGeom prst="rect">
                                                  <a:avLst/>
                                                </a:prstGeom>
                                                <a:noFill/>
                                                <a:ln>
                                                  <a:noFill/>
                                                </a:ln>
                                              </wps:spPr>
                                              <wps:txbx>
                                                <w:txbxContent>
                                                  <w:p w14:paraId="6117A2AB">
                                                    <w:pPr>
                                                      <w:jc w:val="center"/>
                                                      <w:rPr>
                                                        <w:rFonts w:hint="default" w:eastAsia="宋体"/>
                                                        <w:sz w:val="18"/>
                                                        <w:szCs w:val="18"/>
                                                        <w:lang w:val="en-US" w:eastAsia="zh-CN"/>
                                                      </w:rPr>
                                                    </w:pPr>
                                                    <w:r>
                                                      <w:rPr>
                                                        <w:rFonts w:hint="eastAsia" w:eastAsia="宋体"/>
                                                        <w:sz w:val="18"/>
                                                        <w:szCs w:val="18"/>
                                                        <w:lang w:eastAsia="zh-CN"/>
                                                      </w:rPr>
                                                      <w:t>未反应的</w:t>
                                                    </w:r>
                                                    <w:r>
                                                      <w:rPr>
                                                        <w:rFonts w:hint="eastAsia"/>
                                                        <w:sz w:val="18"/>
                                                        <w:szCs w:val="18"/>
                                                        <w:lang w:val="en-US" w:eastAsia="zh-CN"/>
                                                      </w:rPr>
                                                      <w:t>铁粉</w:t>
                                                    </w:r>
                                                  </w:p>
                                                </w:txbxContent>
                                              </wps:txbx>
                                              <wps:bodyPr upright="1"/>
                                            </wps:wsp>
                                            <wps:wsp>
                                              <wps:cNvPr id="54" name="直接连接符 251"/>
                                              <wps:cNvCnPr/>
                                              <wps:spPr>
                                                <a:xfrm flipH="1" flipV="1">
                                                  <a:off x="7954" y="894635"/>
                                                  <a:ext cx="1" cy="395"/>
                                                </a:xfrm>
                                                <a:prstGeom prst="line">
                                                  <a:avLst/>
                                                </a:prstGeom>
                                                <a:ln w="12700" cap="flat" cmpd="sng">
                                                  <a:solidFill>
                                                    <a:srgbClr val="000000"/>
                                                  </a:solidFill>
                                                  <a:prstDash val="dashDot"/>
                                                  <a:headEnd type="none" w="med" len="med"/>
                                                  <a:tailEnd type="triangle" w="med" len="med"/>
                                                </a:ln>
                                              </wps:spPr>
                                              <wps:bodyPr upright="1"/>
                                            </wps:wsp>
                                            <wps:wsp>
                                              <wps:cNvPr id="55" name="矩形 252"/>
                                              <wps:cNvSpPr/>
                                              <wps:spPr>
                                                <a:xfrm>
                                                  <a:off x="7837" y="894418"/>
                                                  <a:ext cx="1569" cy="480"/>
                                                </a:xfrm>
                                                <a:prstGeom prst="rect">
                                                  <a:avLst/>
                                                </a:prstGeom>
                                                <a:noFill/>
                                                <a:ln>
                                                  <a:noFill/>
                                                </a:ln>
                                              </wps:spPr>
                                              <wps:txbx>
                                                <w:txbxContent>
                                                  <w:p w14:paraId="0CECB548">
                                                    <w:pPr>
                                                      <w:jc w:val="center"/>
                                                      <w:rPr>
                                                        <w:rFonts w:hint="default" w:eastAsia="宋体"/>
                                                        <w:sz w:val="18"/>
                                                        <w:szCs w:val="18"/>
                                                        <w:lang w:val="en-US" w:eastAsia="zh-CN"/>
                                                      </w:rPr>
                                                    </w:pPr>
                                                    <w:r>
                                                      <w:rPr>
                                                        <w:rFonts w:hint="eastAsia" w:ascii="Times New Roman" w:eastAsia="宋体"/>
                                                        <w:sz w:val="18"/>
                                                        <w:szCs w:val="18"/>
                                                        <w:lang w:val="en-US" w:eastAsia="zh-CN"/>
                                                      </w:rPr>
                                                      <w:t>G1、S1、</w:t>
                                                    </w:r>
                                                    <w:r>
                                                      <w:rPr>
                                                        <w:rFonts w:hint="eastAsia"/>
                                                        <w:sz w:val="18"/>
                                                        <w:szCs w:val="18"/>
                                                        <w:lang w:val="en-US" w:eastAsia="zh-CN"/>
                                                      </w:rPr>
                                                      <w:t>S2、</w:t>
                                                    </w:r>
                                                    <w:r>
                                                      <w:rPr>
                                                        <w:rFonts w:hint="eastAsia" w:ascii="Times New Roman" w:eastAsia="宋体"/>
                                                        <w:sz w:val="18"/>
                                                        <w:szCs w:val="18"/>
                                                        <w:lang w:val="en-US" w:eastAsia="zh-CN"/>
                                                      </w:rPr>
                                                      <w:t>N</w:t>
                                                    </w:r>
                                                  </w:p>
                                                </w:txbxContent>
                                              </wps:txbx>
                                              <wps:bodyPr upright="1"/>
                                            </wps:wsp>
                                            <wps:wsp>
                                              <wps:cNvPr id="57" name="矩形 255"/>
                                              <wps:cNvSpPr/>
                                              <wps:spPr>
                                                <a:xfrm>
                                                  <a:off x="7745" y="897625"/>
                                                  <a:ext cx="876" cy="480"/>
                                                </a:xfrm>
                                                <a:prstGeom prst="rect">
                                                  <a:avLst/>
                                                </a:prstGeom>
                                                <a:noFill/>
                                                <a:ln>
                                                  <a:noFill/>
                                                </a:ln>
                                              </wps:spPr>
                                              <wps:txbx>
                                                <w:txbxContent>
                                                  <w:p w14:paraId="662B6ACA">
                                                    <w:pPr>
                                                      <w:jc w:val="center"/>
                                                      <w:rPr>
                                                        <w:rFonts w:hint="default" w:eastAsia="宋体"/>
                                                        <w:sz w:val="18"/>
                                                        <w:szCs w:val="18"/>
                                                        <w:lang w:val="en-US" w:eastAsia="zh-CN"/>
                                                      </w:rPr>
                                                    </w:pPr>
                                                    <w:r>
                                                      <w:rPr>
                                                        <w:rFonts w:hint="eastAsia" w:ascii="Times New Roman" w:eastAsia="宋体"/>
                                                        <w:sz w:val="18"/>
                                                        <w:szCs w:val="18"/>
                                                        <w:lang w:val="en-US" w:eastAsia="zh-CN"/>
                                                      </w:rPr>
                                                      <w:t>G</w:t>
                                                    </w:r>
                                                    <w:r>
                                                      <w:rPr>
                                                        <w:rFonts w:hint="eastAsia"/>
                                                        <w:sz w:val="18"/>
                                                        <w:szCs w:val="18"/>
                                                        <w:lang w:val="en-US" w:eastAsia="zh-CN"/>
                                                      </w:rPr>
                                                      <w:t>3、N</w:t>
                                                    </w:r>
                                                  </w:p>
                                                </w:txbxContent>
                                              </wps:txbx>
                                              <wps:bodyPr upright="1"/>
                                            </wps:wsp>
                                            <wps:wsp>
                                              <wps:cNvPr id="58" name="直接连接符 256"/>
                                              <wps:cNvCnPr/>
                                              <wps:spPr>
                                                <a:xfrm flipH="1" flipV="1">
                                                  <a:off x="7894" y="897821"/>
                                                  <a:ext cx="1" cy="328"/>
                                                </a:xfrm>
                                                <a:prstGeom prst="line">
                                                  <a:avLst/>
                                                </a:prstGeom>
                                                <a:ln w="12700" cap="flat" cmpd="sng">
                                                  <a:solidFill>
                                                    <a:srgbClr val="000000"/>
                                                  </a:solidFill>
                                                  <a:prstDash val="dashDot"/>
                                                  <a:headEnd type="none" w="med" len="med"/>
                                                  <a:tailEnd type="triangle" w="med" len="med"/>
                                                </a:ln>
                                              </wps:spPr>
                                              <wps:bodyPr upright="1"/>
                                            </wps:wsp>
                                          </wpg:grpSp>
                                          <wps:wsp>
                                            <wps:cNvPr id="35" name="矩形 255"/>
                                            <wps:cNvSpPr/>
                                            <wps:spPr>
                                              <a:xfrm>
                                                <a:off x="19843" y="363261"/>
                                                <a:ext cx="1469" cy="351"/>
                                              </a:xfrm>
                                              <a:prstGeom prst="rect">
                                                <a:avLst/>
                                              </a:prstGeom>
                                              <a:noFill/>
                                              <a:ln>
                                                <a:noFill/>
                                              </a:ln>
                                            </wps:spPr>
                                            <wps:txbx>
                                              <w:txbxContent>
                                                <w:p w14:paraId="37F784B1">
                                                  <w:pPr>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r>
                                                    <w:rPr>
                                                      <w:rFonts w:hint="eastAsia" w:cs="Times New Roman"/>
                                                      <w:sz w:val="18"/>
                                                      <w:szCs w:val="18"/>
                                                      <w:lang w:val="en-US" w:eastAsia="zh-CN"/>
                                                    </w:rPr>
                                                    <w:t>去离子水</w:t>
                                                  </w:r>
                                                </w:p>
                                                <w:p w14:paraId="7EDE5F1E">
                                                  <w:pPr>
                                                    <w:pStyle w:val="10"/>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p>
                                              </w:txbxContent>
                                            </wps:txbx>
                                            <wps:bodyPr upright="1"/>
                                          </wps:wsp>
                                        </wpg:grpSp>
                                        <wps:wsp>
                                          <wps:cNvPr id="36" name="矩形 255"/>
                                          <wps:cNvSpPr/>
                                          <wps:spPr>
                                            <a:xfrm>
                                              <a:off x="20352" y="365373"/>
                                              <a:ext cx="876" cy="346"/>
                                            </a:xfrm>
                                            <a:prstGeom prst="rect">
                                              <a:avLst/>
                                            </a:prstGeom>
                                            <a:noFill/>
                                            <a:ln>
                                              <a:noFill/>
                                            </a:ln>
                                          </wps:spPr>
                                          <wps:txbx>
                                            <w:txbxContent>
                                              <w:p w14:paraId="6F508EFE">
                                                <w:pPr>
                                                  <w:jc w:val="center"/>
                                                  <w:rPr>
                                                    <w:rFonts w:hint="default" w:eastAsia="宋体"/>
                                                    <w:sz w:val="18"/>
                                                    <w:szCs w:val="18"/>
                                                    <w:lang w:val="en-US" w:eastAsia="zh-CN"/>
                                                  </w:rPr>
                                                </w:pPr>
                                                <w:r>
                                                  <w:rPr>
                                                    <w:rFonts w:hint="eastAsia" w:ascii="Times New Roman" w:eastAsia="宋体"/>
                                                    <w:sz w:val="18"/>
                                                    <w:szCs w:val="18"/>
                                                    <w:lang w:val="en-US" w:eastAsia="zh-CN"/>
                                                  </w:rPr>
                                                  <w:t>G</w:t>
                                                </w:r>
                                                <w:r>
                                                  <w:rPr>
                                                    <w:rFonts w:hint="eastAsia"/>
                                                    <w:sz w:val="18"/>
                                                    <w:szCs w:val="18"/>
                                                    <w:lang w:val="en-US" w:eastAsia="zh-CN"/>
                                                  </w:rPr>
                                                  <w:t>2、N</w:t>
                                                </w:r>
                                              </w:p>
                                            </w:txbxContent>
                                          </wps:txbx>
                                          <wps:bodyPr upright="1"/>
                                        </wps:wsp>
                                      </wpg:grpSp>
                                    </wpg:grpSp>
                                    <wps:wsp>
                                      <wps:cNvPr id="132" name="矩形 215"/>
                                      <wps:cNvSpPr/>
                                      <wps:spPr>
                                        <a:xfrm>
                                          <a:off x="16783" y="365144"/>
                                          <a:ext cx="976" cy="1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00BCCE">
                                            <w:pPr>
                                              <w:jc w:val="center"/>
                                              <w:rPr>
                                                <w:rFonts w:hint="default" w:eastAsia="宋体"/>
                                                <w:sz w:val="21"/>
                                                <w:szCs w:val="21"/>
                                                <w:lang w:val="en-US" w:eastAsia="zh-CN"/>
                                              </w:rPr>
                                            </w:pPr>
                                            <w:r>
                                              <w:rPr>
                                                <w:rFonts w:hint="eastAsia"/>
                                                <w:sz w:val="21"/>
                                                <w:szCs w:val="21"/>
                                                <w:lang w:val="en-US" w:eastAsia="zh-CN"/>
                                              </w:rPr>
                                              <w:t>水喷淋+酸喷淋</w:t>
                                            </w:r>
                                          </w:p>
                                        </w:txbxContent>
                                      </wps:txbx>
                                      <wps:bodyPr upright="1"/>
                                    </wps:wsp>
                                    <wps:wsp>
                                      <wps:cNvPr id="136" name="直接连接符 246"/>
                                      <wps:cNvCnPr/>
                                      <wps:spPr>
                                        <a:xfrm flipH="1">
                                          <a:off x="17783" y="365812"/>
                                          <a:ext cx="988" cy="0"/>
                                        </a:xfrm>
                                        <a:prstGeom prst="line">
                                          <a:avLst/>
                                        </a:prstGeom>
                                        <a:ln w="12700" cap="flat" cmpd="sng">
                                          <a:solidFill>
                                            <a:srgbClr val="000000"/>
                                          </a:solidFill>
                                          <a:prstDash val="dash"/>
                                          <a:headEnd type="none" w="med" len="med"/>
                                          <a:tailEnd type="triangle" w="med" len="med"/>
                                        </a:ln>
                                      </wps:spPr>
                                      <wps:bodyPr upright="1"/>
                                    </wps:wsp>
                                  </wpg:grpSp>
                                  <wps:wsp>
                                    <wps:cNvPr id="142" name="矩形 215"/>
                                    <wps:cNvSpPr/>
                                    <wps:spPr>
                                      <a:xfrm>
                                        <a:off x="7658" y="741546"/>
                                        <a:ext cx="2174" cy="2698"/>
                                      </a:xfrm>
                                      <a:prstGeom prst="rect">
                                        <a:avLst/>
                                      </a:prstGeom>
                                      <a:noFill/>
                                      <a:ln w="19050" cap="flat" cmpd="sng">
                                        <a:solidFill>
                                          <a:srgbClr val="FF0000"/>
                                        </a:solidFill>
                                        <a:prstDash val="dash"/>
                                        <a:miter/>
                                        <a:headEnd type="none" w="med" len="med"/>
                                        <a:tailEnd type="none" w="med" len="med"/>
                                      </a:ln>
                                    </wps:spPr>
                                    <wps:txbx>
                                      <w:txbxContent>
                                        <w:p w14:paraId="0865AEA8">
                                          <w:pPr>
                                            <w:jc w:val="center"/>
                                            <w:rPr>
                                              <w:rFonts w:hint="default" w:eastAsia="宋体"/>
                                              <w:sz w:val="21"/>
                                              <w:szCs w:val="21"/>
                                              <w:lang w:val="en-US" w:eastAsia="zh-CN"/>
                                            </w:rPr>
                                          </w:pPr>
                                        </w:p>
                                      </w:txbxContent>
                                    </wps:txbx>
                                    <wps:bodyPr upright="1"/>
                                  </wps:wsp>
                                </wpg:grpSp>
                              </wpg:grpSp>
                              <wps:wsp>
                                <wps:cNvPr id="153" name="矩形 255"/>
                                <wps:cNvSpPr/>
                                <wps:spPr>
                                  <a:xfrm>
                                    <a:off x="7818" y="742983"/>
                                    <a:ext cx="535" cy="398"/>
                                  </a:xfrm>
                                  <a:prstGeom prst="rect">
                                    <a:avLst/>
                                  </a:prstGeom>
                                  <a:noFill/>
                                  <a:ln>
                                    <a:noFill/>
                                  </a:ln>
                                </wps:spPr>
                                <wps:txbx>
                                  <w:txbxContent>
                                    <w:p w14:paraId="590AA1A5">
                                      <w:pPr>
                                        <w:jc w:val="both"/>
                                        <w:rPr>
                                          <w:rFonts w:hint="default" w:eastAsia="宋体"/>
                                          <w:sz w:val="18"/>
                                          <w:szCs w:val="18"/>
                                          <w:lang w:val="en-US" w:eastAsia="zh-CN"/>
                                        </w:rPr>
                                      </w:pPr>
                                      <w:r>
                                        <w:rPr>
                                          <w:rFonts w:hint="eastAsia" w:ascii="Times New Roman" w:eastAsia="宋体"/>
                                          <w:sz w:val="18"/>
                                          <w:szCs w:val="18"/>
                                          <w:lang w:val="en-US" w:eastAsia="zh-CN"/>
                                        </w:rPr>
                                        <w:t>G</w:t>
                                      </w:r>
                                      <w:r>
                                        <w:rPr>
                                          <w:rFonts w:hint="eastAsia"/>
                                          <w:sz w:val="18"/>
                                          <w:szCs w:val="18"/>
                                          <w:lang w:val="en-US" w:eastAsia="zh-CN"/>
                                        </w:rPr>
                                        <w:t>4</w:t>
                                      </w:r>
                                    </w:p>
                                  </w:txbxContent>
                                </wps:txbx>
                                <wps:bodyPr upright="1"/>
                              </wps:wsp>
                            </wpg:grpSp>
                          </wpg:wgp>
                        </a:graphicData>
                      </a:graphic>
                    </wp:anchor>
                  </w:drawing>
                </mc:Choice>
                <mc:Fallback>
                  <w:pict>
                    <v:group id="_x0000_s1026" o:spid="_x0000_s1026" o:spt="203" style="position:absolute;left:0pt;margin-left:23.35pt;margin-top:9.4pt;height:322pt;width:288.9pt;z-index:251671552;mso-width-relative:page;mso-height-relative:page;" coordorigin="7658,738395" coordsize="5778,6440" o:gfxdata="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">
                      <o:lock v:ext="edit" aspectratio="f"/>
                      <v:line id="直接连接符 256" o:spid="_x0000_s1026" o:spt="20" style="position:absolute;left:8063;top:743298;flip:x y;height:328;width:1;" filled="f" stroked="t" coordsize="21600,21600" o:gfxdata="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6BQzPugAAANwA&#10;AAAPAAAAAAAAAAEAIAAAACIAAABkcnMvZG93bnJldi54bWxQSwECFAAUAAAACACHTuJAMy8FnjsA&#10;AAA5AAAAEAAAAAAAAAABACAAAAAJAQAAZHJzL3NoYXBleG1sLnhtbFBLBQYAAAAABgAGAFsBAACz&#10;AwAAAAA=&#10;">
                        <v:fill on="f" focussize="0,0"/>
                        <v:stroke weight="1pt" color="#000000" joinstyle="round" dashstyle="dashDot" endarrow="block"/>
                        <v:imagedata o:title=""/>
                        <o:lock v:ext="edit" aspectratio="f"/>
                      </v:line>
                      <v:group id="_x0000_s1026" o:spid="_x0000_s1026" o:spt="203" style="position:absolute;left:7658;top:738395;height:6440;width:5778;" coordorigin="7658,738395" coordsize="5778,6440"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7658;top:738395;height:6440;width:5778;" coordorigin="7658,738395" coordsize="5778,6440" o:gfxdata="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8WUXV70AAADcAAAADwAAAAAAAAABACAAAAAiAAAAZHJzL2Rvd25yZXYueG1s&#10;UEsBAhQAFAAAAAgAh07iQDMvBZ47AAAAOQAAABUAAAAAAAAAAQAgAAAADAEAAGRycy9ncm91cHNo&#10;YXBleG1sLnhtbFBLBQYAAAAABgAGAGABAADJAwAAAAA=&#10;">
                          <o:lock v:ext="edit" aspectratio="f"/>
                          <v:line id="直接连接符 225" o:spid="_x0000_s1026" o:spt="20" style="position:absolute;left:8750;top:743060;flip:x;height:540;width:1;" filled="f" stroked="t" coordsize="21600,21600" o:gfxdata="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SoD9W/&#10;AAAA3AAAAA8AAAAAAAAAAQAgAAAAIgAAAGRycy9kb3ducmV2LnhtbFBLAQIUABQAAAAIAIdO4kAz&#10;LwWeOwAAADkAAAAQAAAAAAAAAAEAIAAAAA4BAABkcnMvc2hhcGV4bWwueG1sUEsFBgAAAAAGAAYA&#10;WwEAALgDAAAAAA==&#10;">
                            <v:fill on="f" focussize="0,0"/>
                            <v:stroke weight="1pt" color="#000000" joinstyle="round" endarrow="block"/>
                            <v:imagedata o:title=""/>
                            <o:lock v:ext="edit" aspectratio="f"/>
                          </v:line>
                          <v:group id="_x0000_s1026" o:spid="_x0000_s1026" o:spt="203" style="position:absolute;left:7807;top:743024;height:1120;width:2188;" coordorigin="7807,743024" coordsize="2188,1120" o:gfxdata="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C4eHib0AAADcAAAADwAAAAAAAAABACAAAAAiAAAAZHJzL2Rvd25yZXYueG1s&#10;UEsBAhQAFAAAAAgAh07iQDMvBZ47AAAAOQAAABUAAAAAAAAAAQAgAAAADAEAAGRycy9ncm91cHNo&#10;YXBleG1sLnhtbFBLBQYAAAAABgAGAGABAADJAwAAAAA=&#10;">
                            <o:lock v:ext="edit" aspectratio="f"/>
                            <v:rect id="矩形 215" o:spid="_x0000_s1026" o:spt="1" style="position:absolute;left:7807;top:743630;height:514;width:1941;" fillcolor="#FFFFFF" filled="t" stroked="f" coordsize="21600,21600" o:gfxdata="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gDEnbsAAADc&#10;AAAADwAAAAAAAAABACAAAAAiAAAAZHJzL2Rvd25yZXYueG1sUEsBAhQAFAAAAAgAh07iQDMvBZ47&#10;AAAAOQAAABAAAAAAAAAAAQAgAAAACgEAAGRycy9zaGFwZXhtbC54bWxQSwUGAAAAAAYABgBbAQAA&#10;tAMAAAAA&#10;">
                              <v:fill on="t" focussize="0,0"/>
                              <v:stroke on="f" joinstyle="miter"/>
                              <v:imagedata o:title=""/>
                              <o:lock v:ext="edit" aspectratio="f"/>
                              <v:textbox>
                                <w:txbxContent>
                                  <w:p w14:paraId="07A7E249">
                                    <w:pPr>
                                      <w:jc w:val="center"/>
                                      <w:rPr>
                                        <w:rFonts w:hint="default" w:eastAsia="宋体"/>
                                        <w:sz w:val="21"/>
                                        <w:szCs w:val="21"/>
                                        <w:lang w:val="en-US" w:eastAsia="zh-CN"/>
                                      </w:rPr>
                                    </w:pPr>
                                    <w:r>
                                      <w:rPr>
                                        <w:rFonts w:hint="eastAsia"/>
                                        <w:sz w:val="21"/>
                                        <w:szCs w:val="21"/>
                                        <w:lang w:val="en-US" w:eastAsia="zh-CN"/>
                                      </w:rPr>
                                      <w:t>厂区污水处理站</w:t>
                                    </w:r>
                                  </w:p>
                                </w:txbxContent>
                              </v:textbox>
                            </v:rect>
                            <v:rect id="矩形 255" o:spid="_x0000_s1026" o:spt="1" style="position:absolute;left:8754;top:743024;height:330;width:1241;" filled="f" stroked="f" coordsize="21600,21600" o:gfxdata="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QqAx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484833BF">
                                    <w:pPr>
                                      <w:jc w:val="center"/>
                                      <w:rPr>
                                        <w:rFonts w:hint="default" w:eastAsia="宋体"/>
                                        <w:sz w:val="18"/>
                                        <w:szCs w:val="18"/>
                                        <w:lang w:val="en-US" w:eastAsia="zh-CN"/>
                                      </w:rPr>
                                    </w:pPr>
                                    <w:r>
                                      <w:rPr>
                                        <w:rFonts w:hint="eastAsia"/>
                                        <w:sz w:val="18"/>
                                        <w:szCs w:val="18"/>
                                        <w:lang w:val="en-US" w:eastAsia="zh-CN"/>
                                      </w:rPr>
                                      <w:t>W1、W2、N</w:t>
                                    </w:r>
                                  </w:p>
                                </w:txbxContent>
                              </v:textbox>
                            </v:rect>
                          </v:group>
                          <v:group id="_x0000_s1026" o:spid="_x0000_s1026" o:spt="203" style="position:absolute;left:7658;top:738395;height:6440;width:5779;" coordorigin="7658,738395" coordsize="5779,6440" o:gfxdata="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yyIS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8316;top:738395;height:6440;width:5121;" coordorigin="16783,361666" coordsize="5121,6440"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group id="组合 12" o:spid="_x0000_s1026" o:spt="203" style="position:absolute;left:17677;top:361666;height:6440;width:4227;" coordorigin="17677,361666" coordsize="4227,6440"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line id="直接连接符 246" o:spid="_x0000_s1026" o:spt="20" style="position:absolute;left:17882;top:363722;height:2;width:1012;" filled="f" stroked="t" coordsize="21600,21600" o:gfxdata="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TOL6vQAA&#10;ANsAAAAPAAAAAAAAAAEAIAAAACIAAABkcnMvZG93bnJldi54bWxQSwECFAAUAAAACACHTuJAMy8F&#10;njsAAAA5AAAAEAAAAAAAAAABACAAAAAMAQAAZHJzL3NoYXBleG1sLnhtbFBLBQYAAAAABgAGAFsB&#10;AAC2AwAAAAA=&#10;">
                                  <v:fill on="f" focussize="0,0"/>
                                  <v:stroke weight="1pt" color="#000000" joinstyle="round" endarrow="block"/>
                                  <v:imagedata o:title=""/>
                                  <o:lock v:ext="edit" aspectratio="f"/>
                                </v:line>
                                <v:group id="组合 7" o:spid="_x0000_s1026" o:spt="203" style="position:absolute;left:17677;top:361666;height:6440;width:4227;" coordorigin="19843,361666" coordsize="4227,6440"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group id="组合 5" o:spid="_x0000_s1026" o:spt="203" style="position:absolute;left:19843;top:361666;height:6440;width:4227;" coordorigin="19843,361666" coordsize="4227,6440"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group id="组合 111" o:spid="_x0000_s1026" o:spt="203" style="position:absolute;left:20753;top:361666;height:6440;width:3317;" coordorigin="6551,893253" coordsize="3317,6440"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rect id="矩形 215" o:spid="_x0000_s1026" o:spt="1" style="position:absolute;left:6773;top:895076;height:480;width:1393;" fillcolor="#FFFFFF" filled="t" stroked="t" coordsize="21600,21600" o:gfxdata="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vHG3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97C274F">
                                              <w:pPr>
                                                <w:jc w:val="center"/>
                                                <w:rPr>
                                                  <w:rFonts w:hint="eastAsia" w:eastAsia="宋体"/>
                                                  <w:sz w:val="21"/>
                                                  <w:szCs w:val="21"/>
                                                  <w:lang w:eastAsia="zh-CN"/>
                                                </w:rPr>
                                              </w:pPr>
                                              <w:r>
                                                <w:rPr>
                                                  <w:rFonts w:hint="eastAsia"/>
                                                  <w:sz w:val="21"/>
                                                  <w:szCs w:val="21"/>
                                                  <w:lang w:val="en-US" w:eastAsia="zh-CN"/>
                                                </w:rPr>
                                                <w:t>投料、</w:t>
                                              </w:r>
                                              <w:r>
                                                <w:rPr>
                                                  <w:rFonts w:hint="eastAsia" w:eastAsia="宋体"/>
                                                  <w:sz w:val="21"/>
                                                  <w:szCs w:val="21"/>
                                                  <w:lang w:eastAsia="zh-CN"/>
                                                </w:rPr>
                                                <w:t>反应</w:t>
                                              </w:r>
                                            </w:p>
                                          </w:txbxContent>
                                        </v:textbox>
                                      </v:rect>
                                      <v:rect id="矩形 216" o:spid="_x0000_s1026" o:spt="1" style="position:absolute;left:6758;top:896111;height:480;width:1379;" fillcolor="#FFFFFF" filled="t" stroked="t" coordsize="21600,21600" o:gfxdata="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Ubu/A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168D6BA">
                                              <w:pPr>
                                                <w:jc w:val="center"/>
                                                <w:rPr>
                                                  <w:rFonts w:hint="eastAsia" w:eastAsia="宋体"/>
                                                  <w:lang w:eastAsia="zh-CN"/>
                                                </w:rPr>
                                              </w:pPr>
                                              <w:r>
                                                <w:rPr>
                                                  <w:rFonts w:hint="eastAsia"/>
                                                  <w:sz w:val="21"/>
                                                  <w:szCs w:val="21"/>
                                                  <w:lang w:val="en-US" w:eastAsia="zh-CN"/>
                                                </w:rPr>
                                                <w:t>离心、</w:t>
                                              </w:r>
                                              <w:r>
                                                <w:rPr>
                                                  <w:rFonts w:hint="eastAsia" w:eastAsia="宋体"/>
                                                  <w:sz w:val="21"/>
                                                  <w:szCs w:val="21"/>
                                                  <w:lang w:eastAsia="zh-CN"/>
                                                </w:rPr>
                                                <w:t>过滤</w:t>
                                              </w:r>
                                            </w:p>
                                          </w:txbxContent>
                                        </v:textbox>
                                      </v:rect>
                                      <v:rect id="矩形 217" o:spid="_x0000_s1026" o:spt="1" style="position:absolute;left:6747;top:897134;height:480;width:1557;" fillcolor="#FFFFFF" filled="t" stroked="t" coordsize="21600,21600" o:gfxdata="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0y9Iv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D78B43B">
                                              <w:pPr>
                                                <w:jc w:val="center"/>
                                                <w:rPr>
                                                  <w:rFonts w:hint="default" w:eastAsia="宋体"/>
                                                  <w:lang w:val="en-US" w:eastAsia="zh-CN"/>
                                                </w:rPr>
                                              </w:pPr>
                                              <w:r>
                                                <w:rPr>
                                                  <w:rFonts w:hint="eastAsia"/>
                                                  <w:sz w:val="21"/>
                                                  <w:szCs w:val="21"/>
                                                  <w:lang w:val="en-US" w:eastAsia="zh-CN"/>
                                                </w:rPr>
                                                <w:t>喷雾干燥</w:t>
                                              </w:r>
                                            </w:p>
                                          </w:txbxContent>
                                        </v:textbox>
                                      </v:rect>
                                      <v:rect id="矩形 218" o:spid="_x0000_s1026" o:spt="1" style="position:absolute;left:6773;top:898154;height:480;width:1379;" fillcolor="#FFFFFF" filled="t" stroked="t" coordsize="21600,21600" o:gfxdata="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h3e0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C0C04E2">
                                              <w:pPr>
                                                <w:jc w:val="center"/>
                                                <w:rPr>
                                                  <w:rFonts w:hint="default" w:eastAsia="宋体"/>
                                                  <w:sz w:val="21"/>
                                                  <w:szCs w:val="21"/>
                                                  <w:lang w:val="en-US" w:eastAsia="zh-CN"/>
                                                </w:rPr>
                                              </w:pPr>
                                              <w:r>
                                                <w:rPr>
                                                  <w:rFonts w:hint="eastAsia"/>
                                                  <w:sz w:val="21"/>
                                                  <w:szCs w:val="21"/>
                                                  <w:lang w:val="en-US" w:eastAsia="zh-CN"/>
                                                </w:rPr>
                                                <w:t>粉碎、包装</w:t>
                                              </w:r>
                                            </w:p>
                                          </w:txbxContent>
                                        </v:textbox>
                                      </v:rect>
                                      <v:rect id="矩形 222" o:spid="_x0000_s1026" o:spt="1" style="position:absolute;left:6551;top:899217;height:476;width:2045;" fillcolor="#FFFFFF" filled="t" stroked="f" coordsize="21600,21600" o:gfxdata="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Ej97vQAA&#10;ANs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3FC6B418">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宋体"/>
                                                  <w:sz w:val="21"/>
                                                  <w:szCs w:val="21"/>
                                                  <w:lang w:eastAsia="zh-CN"/>
                                                </w:rPr>
                                              </w:pPr>
                                              <w:r>
                                                <w:rPr>
                                                  <w:rFonts w:hint="eastAsia" w:eastAsia="宋体"/>
                                                  <w:sz w:val="21"/>
                                                  <w:szCs w:val="21"/>
                                                  <w:lang w:eastAsia="zh-CN"/>
                                                </w:rPr>
                                                <w:t>甘氨酸</w:t>
                                              </w:r>
                                              <w:r>
                                                <w:rPr>
                                                  <w:rFonts w:hint="eastAsia"/>
                                                  <w:sz w:val="21"/>
                                                  <w:szCs w:val="21"/>
                                                  <w:lang w:val="en-US" w:eastAsia="zh-CN"/>
                                                </w:rPr>
                                                <w:t>亚铁</w:t>
                                              </w:r>
                                              <w:r>
                                                <w:rPr>
                                                  <w:rFonts w:hint="eastAsia" w:eastAsia="宋体"/>
                                                  <w:sz w:val="21"/>
                                                  <w:szCs w:val="21"/>
                                                  <w:lang w:eastAsia="zh-CN"/>
                                                </w:rPr>
                                                <w:t>成品</w:t>
                                              </w:r>
                                            </w:p>
                                          </w:txbxContent>
                                        </v:textbox>
                                      </v:rect>
                                      <v:line id="直接连接符 223" o:spid="_x0000_s1026" o:spt="20" style="position:absolute;left:7508;top:895556;flip:x;height:540;width:1;" filled="f" stroked="t" coordsize="21600,21600" o:gfxdata="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dIpYvQAA&#10;ANsAAAAPAAAAAAAAAAEAIAAAACIAAABkcnMvZG93bnJldi54bWxQSwECFAAUAAAACACHTuJAMy8F&#10;njsAAAA5AAAAEAAAAAAAAAABACAAAAAMAQAAZHJzL3NoYXBleG1sLnhtbFBLBQYAAAAABgAGAFsB&#10;AAC2AwAAAAA=&#10;">
                                        <v:fill on="f" focussize="0,0"/>
                                        <v:stroke weight="1pt" color="#000000" joinstyle="round" endarrow="block"/>
                                        <v:imagedata o:title=""/>
                                        <o:lock v:ext="edit" aspectratio="f"/>
                                      </v:line>
                                      <v:line id="直接连接符 224" o:spid="_x0000_s1026" o:spt="20" style="position:absolute;left:7508;top:896606;flip:x;height:540;width:1;" filled="f" stroked="t" coordsize="21600,21600" o:gfxdata="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CCFqvQAA&#10;ANsAAAAPAAAAAAAAAAEAIAAAACIAAABkcnMvZG93bnJldi54bWxQSwECFAAUAAAACACHTuJAMy8F&#10;njsAAAA5AAAAEAAAAAAAAAABACAAAAAMAQAAZHJzL3NoYXBleG1sLnhtbFBLBQYAAAAABgAGAFsB&#10;AAC2AwAAAAA=&#10;">
                                        <v:fill on="f" focussize="0,0"/>
                                        <v:stroke weight="1pt" color="#000000" joinstyle="round" endarrow="block"/>
                                        <v:imagedata o:title=""/>
                                        <o:lock v:ext="edit" aspectratio="f"/>
                                      </v:line>
                                      <v:line id="直接连接符 225" o:spid="_x0000_s1026" o:spt="20" style="position:absolute;left:7508;top:898645;flip:x;height:540;width:1;" filled="f" stroked="t" coordsize="21600,21600" o:gfxdata="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2r8dvQAA&#10;ANsAAAAPAAAAAAAAAAEAIAAAACIAAABkcnMvZG93bnJldi54bWxQSwECFAAUAAAACACHTuJAMy8F&#10;njsAAAA5AAAAEAAAAAAAAAABACAAAAAMAQAAZHJzL3NoYXBleG1sLnhtbFBLBQYAAAAABgAGAFsB&#10;AAC2AwAAAAA=&#10;">
                                        <v:fill on="f" focussize="0,0"/>
                                        <v:stroke weight="1pt" color="#000000" joinstyle="round" endarrow="block"/>
                                        <v:imagedata o:title=""/>
                                        <o:lock v:ext="edit" aspectratio="f"/>
                                      </v:line>
                                      <v:line id="直接连接符 227" o:spid="_x0000_s1026" o:spt="20" style="position:absolute;left:7508;top:897626;flip:x;height:540;width:1;" filled="f" stroked="t" coordsize="21600,21600" o:gfxdata="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pYahr4A&#10;AADbAAAADwAAAAAAAAABACAAAAAiAAAAZHJzL2Rvd25yZXYueG1sUEsBAhQAFAAAAAgAh07iQDMv&#10;BZ47AAAAOQAAABAAAAAAAAAAAQAgAAAADQEAAGRycy9zaGFwZXhtbC54bWxQSwUGAAAAAAYABgBb&#10;AQAAtwMAAAAA&#10;">
                                        <v:fill on="f" focussize="0,0"/>
                                        <v:stroke weight="1pt" color="#000000" joinstyle="round" endarrow="block"/>
                                        <v:imagedata o:title=""/>
                                        <o:lock v:ext="edit" aspectratio="f"/>
                                      </v:line>
                                      <v:rect id="矩形 245" o:spid="_x0000_s1026" o:spt="1" style="position:absolute;left:7141;top:893253;height:1272;width:1234;" filled="f" stroked="t" coordsize="21600,21600" o:gfxdata="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IrCUS5AAAA2wAA&#10;AA8AAAAAAAAAAQAgAAAAIgAAAGRycy9kb3ducmV2LnhtbFBLAQIUABQAAAAIAIdO4kAzLwWeOwAA&#10;ADkAAAAQAAAAAAAAAAEAIAAAAAgBAABkcnMvc2hhcGV4bWwueG1sUEsFBgAAAAAGAAYAWwEAALID&#10;AAAAAA==&#10;">
                                        <v:fill on="f" focussize="0,0"/>
                                        <v:stroke color="#000000 [3213]" joinstyle="round"/>
                                        <v:imagedata o:title=""/>
                                        <o:lock v:ext="edit" aspectratio="f"/>
                                        <v:textbox>
                                          <w:txbxContent>
                                            <w:p w14:paraId="0996D13A">
                                              <w:pPr>
                                                <w:pStyle w:val="10"/>
                                                <w:keepNext w:val="0"/>
                                                <w:keepLines w:val="0"/>
                                                <w:pageBreakBefore w:val="0"/>
                                                <w:widowControl w:val="0"/>
                                                <w:kinsoku/>
                                                <w:wordWrap/>
                                                <w:overflowPunct/>
                                                <w:topLinePunct w:val="0"/>
                                                <w:autoSpaceDE/>
                                                <w:autoSpaceDN/>
                                                <w:bidi w:val="0"/>
                                                <w:snapToGrid w:val="0"/>
                                                <w:spacing w:line="240" w:lineRule="auto"/>
                                                <w:ind w:left="0" w:leftChars="0" w:firstLine="0" w:firstLineChars="0"/>
                                                <w:jc w:val="left"/>
                                                <w:rPr>
                                                  <w:rFonts w:hint="default" w:ascii="Times New Roman" w:hAnsi="Times New Roman" w:eastAsia="宋体" w:cs="Times New Roman"/>
                                                  <w:b w:val="0"/>
                                                  <w:bCs w:val="0"/>
                                                  <w:sz w:val="18"/>
                                                  <w:szCs w:val="18"/>
                                                  <w:lang w:val="en-US" w:eastAsia="zh-CN"/>
                                                </w:rPr>
                                              </w:pPr>
                                              <w:r>
                                                <w:rPr>
                                                  <w:rFonts w:hint="default" w:ascii="Times New Roman" w:hAnsi="Times New Roman" w:eastAsia="宋体" w:cs="Times New Roman"/>
                                                  <w:b w:val="0"/>
                                                  <w:bCs w:val="0"/>
                                                  <w:sz w:val="18"/>
                                                  <w:szCs w:val="18"/>
                                                  <w:lang w:val="en-US" w:eastAsia="zh-CN"/>
                                                </w:rPr>
                                                <w:t>甘氨酸</w:t>
                                              </w:r>
                                            </w:p>
                                            <w:p w14:paraId="41F86963">
                                              <w:pPr>
                                                <w:pStyle w:val="6"/>
                                                <w:keepNext w:val="0"/>
                                                <w:keepLines w:val="0"/>
                                                <w:pageBreakBefore w:val="0"/>
                                                <w:widowControl w:val="0"/>
                                                <w:numPr>
                                                  <w:ilvl w:val="3"/>
                                                  <w:numId w:val="0"/>
                                                </w:numPr>
                                                <w:kinsoku/>
                                                <w:wordWrap/>
                                                <w:overflowPunct/>
                                                <w:topLinePunct w:val="0"/>
                                                <w:autoSpaceDE/>
                                                <w:autoSpaceDN/>
                                                <w:bidi w:val="0"/>
                                                <w:snapToGrid w:val="0"/>
                                                <w:spacing w:line="240" w:lineRule="auto"/>
                                                <w:ind w:leftChars="0"/>
                                                <w:jc w:val="left"/>
                                                <w:rPr>
                                                  <w:rFonts w:hint="eastAsia" w:cs="Times New Roman"/>
                                                  <w:b w:val="0"/>
                                                  <w:bCs w:val="0"/>
                                                  <w:sz w:val="18"/>
                                                  <w:szCs w:val="18"/>
                                                  <w:lang w:val="en-US" w:eastAsia="zh-CN"/>
                                                </w:rPr>
                                              </w:pPr>
                                              <w:r>
                                                <w:rPr>
                                                  <w:rFonts w:hint="eastAsia" w:cs="Times New Roman"/>
                                                  <w:b w:val="0"/>
                                                  <w:bCs w:val="0"/>
                                                  <w:sz w:val="18"/>
                                                  <w:szCs w:val="18"/>
                                                  <w:lang w:val="en-US" w:eastAsia="zh-CN"/>
                                                </w:rPr>
                                                <w:t>柠檬酸</w:t>
                                              </w:r>
                                            </w:p>
                                            <w:p w14:paraId="0F3EBA0F">
                                              <w:pPr>
                                                <w:pStyle w:val="10"/>
                                                <w:keepNext w:val="0"/>
                                                <w:keepLines w:val="0"/>
                                                <w:pageBreakBefore w:val="0"/>
                                                <w:widowControl w:val="0"/>
                                                <w:kinsoku/>
                                                <w:wordWrap/>
                                                <w:overflowPunct/>
                                                <w:topLinePunct w:val="0"/>
                                                <w:autoSpaceDE/>
                                                <w:autoSpaceDN/>
                                                <w:bidi w:val="0"/>
                                                <w:snapToGrid w:val="0"/>
                                                <w:spacing w:line="240" w:lineRule="auto"/>
                                                <w:ind w:left="0" w:leftChars="0" w:firstLine="0" w:firstLineChars="0"/>
                                                <w:jc w:val="left"/>
                                                <w:rPr>
                                                  <w:rFonts w:hint="eastAsia" w:ascii="Times New Roman" w:hAnsi="Times New Roman" w:eastAsia="宋体" w:cs="Times New Roman"/>
                                                  <w:b w:val="0"/>
                                                  <w:bCs w:val="0"/>
                                                  <w:sz w:val="18"/>
                                                  <w:szCs w:val="18"/>
                                                  <w:lang w:val="en-US" w:eastAsia="zh-CN"/>
                                                </w:rPr>
                                              </w:pPr>
                                              <w:r>
                                                <w:rPr>
                                                  <w:rFonts w:hint="eastAsia" w:ascii="Times New Roman" w:hAnsi="Times New Roman" w:eastAsia="宋体" w:cs="Times New Roman"/>
                                                  <w:b w:val="0"/>
                                                  <w:bCs w:val="0"/>
                                                  <w:sz w:val="18"/>
                                                  <w:szCs w:val="18"/>
                                                  <w:lang w:val="en-US" w:eastAsia="zh-CN"/>
                                                </w:rPr>
                                                <w:t>维生素C</w:t>
                                              </w:r>
                                            </w:p>
                                            <w:p w14:paraId="776D109F">
                                              <w:pPr>
                                                <w:keepNext w:val="0"/>
                                                <w:keepLines w:val="0"/>
                                                <w:pageBreakBefore w:val="0"/>
                                                <w:widowControl w:val="0"/>
                                                <w:kinsoku/>
                                                <w:wordWrap/>
                                                <w:overflowPunct/>
                                                <w:topLinePunct w:val="0"/>
                                                <w:bidi w:val="0"/>
                                                <w:adjustRightInd/>
                                                <w:snapToGrid/>
                                                <w:spacing w:line="240" w:lineRule="auto"/>
                                                <w:ind w:firstLine="0"/>
                                                <w:jc w:val="left"/>
                                                <w:textAlignment w:val="auto"/>
                                                <w:rPr>
                                                  <w:rFonts w:hint="default"/>
                                                  <w:lang w:val="en-US" w:eastAsia="zh-CN"/>
                                                </w:rPr>
                                              </w:pPr>
                                              <w:r>
                                                <w:rPr>
                                                  <w:rFonts w:hint="eastAsia" w:ascii="Times New Roman" w:hAnsi="Times New Roman" w:eastAsia="宋体" w:cs="Times New Roman"/>
                                                  <w:sz w:val="18"/>
                                                  <w:szCs w:val="18"/>
                                                  <w:lang w:val="en-US" w:eastAsia="zh-CN"/>
                                                </w:rPr>
                                                <w:t>还原铁粉</w:t>
                                              </w:r>
                                            </w:p>
                                          </w:txbxContent>
                                        </v:textbox>
                                      </v:rect>
                                      <v:line id="直接连接符 246" o:spid="_x0000_s1026" o:spt="20" style="position:absolute;left:7522;top:894538;flip:x;height:540;width:1;" filled="f" stroked="t" coordsize="21600,21600" o:gfxdata="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18TKvQAA&#10;ANsAAAAPAAAAAAAAAAEAIAAAACIAAABkcnMvZG93bnJldi54bWxQSwECFAAUAAAACACHTuJAMy8F&#10;njsAAAA5AAAAEAAAAAAAAAABACAAAAAMAQAAZHJzL3NoYXBleG1sLnhtbFBLBQYAAAAABgAGAFsB&#10;AAC2AwAAAAA=&#10;">
                                        <v:fill on="f" focussize="0,0"/>
                                        <v:stroke weight="1pt" color="#000000" joinstyle="round" endarrow="block"/>
                                        <v:imagedata o:title=""/>
                                        <o:lock v:ext="edit" aspectratio="f"/>
                                      </v:line>
                                      <v:shape id="肘形连接符 247" o:spid="_x0000_s1026" o:spt="34" type="#_x0000_t34" style="position:absolute;left:8137;top:895315;flip:y;height:1035;width:29;" filled="f" stroked="t" coordsize="21600,21600" o:gfxdata="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2vi574A&#10;AADbAAAADwAAAAAAAAABACAAAAAiAAAAZHJzL2Rvd25yZXYueG1sUEsBAhQAFAAAAAgAh07iQDMv&#10;BZ47AAAAOQAAABAAAAAAAAAAAQAgAAAADQEAAGRycy9zaGFwZXhtbC54bWxQSwUGAAAAAAYABgBb&#10;AQAAtwMAAAAA&#10;" adj="1178317">
                                        <v:fill on="f" focussize="0,0"/>
                                        <v:stroke weight="1pt" color="#000000" joinstyle="miter" dashstyle="dash" endarrow="block"/>
                                        <v:imagedata o:title=""/>
                                        <o:lock v:ext="edit" aspectratio="f"/>
                                      </v:shape>
                                      <v:rect id="矩形 248" o:spid="_x0000_s1026" o:spt="1" style="position:absolute;left:7973;top:895960;height:780;width:1895;" filled="f" stroked="f" coordsize="21600,21600" o:gfxdata="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oeDp7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117A2AB">
                                              <w:pPr>
                                                <w:jc w:val="center"/>
                                                <w:rPr>
                                                  <w:rFonts w:hint="default" w:eastAsia="宋体"/>
                                                  <w:sz w:val="18"/>
                                                  <w:szCs w:val="18"/>
                                                  <w:lang w:val="en-US" w:eastAsia="zh-CN"/>
                                                </w:rPr>
                                              </w:pPr>
                                              <w:r>
                                                <w:rPr>
                                                  <w:rFonts w:hint="eastAsia" w:eastAsia="宋体"/>
                                                  <w:sz w:val="18"/>
                                                  <w:szCs w:val="18"/>
                                                  <w:lang w:eastAsia="zh-CN"/>
                                                </w:rPr>
                                                <w:t>未反应的</w:t>
                                              </w:r>
                                              <w:r>
                                                <w:rPr>
                                                  <w:rFonts w:hint="eastAsia"/>
                                                  <w:sz w:val="18"/>
                                                  <w:szCs w:val="18"/>
                                                  <w:lang w:val="en-US" w:eastAsia="zh-CN"/>
                                                </w:rPr>
                                                <w:t>铁粉</w:t>
                                              </w:r>
                                            </w:p>
                                          </w:txbxContent>
                                        </v:textbox>
                                      </v:rect>
                                      <v:line id="直接连接符 251" o:spid="_x0000_s1026" o:spt="20" style="position:absolute;left:7954;top:894635;flip:x y;height:395;width:1;" filled="f" stroked="t" coordsize="21600,21600" o:gfxdata="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DoyGvQAA&#10;ANsAAAAPAAAAAAAAAAEAIAAAACIAAABkcnMvZG93bnJldi54bWxQSwECFAAUAAAACACHTuJAMy8F&#10;njsAAAA5AAAAEAAAAAAAAAABACAAAAAMAQAAZHJzL3NoYXBleG1sLnhtbFBLBQYAAAAABgAGAFsB&#10;AAC2AwAAAAA=&#10;">
                                        <v:fill on="f" focussize="0,0"/>
                                        <v:stroke weight="1pt" color="#000000" joinstyle="round" dashstyle="dashDot" endarrow="block"/>
                                        <v:imagedata o:title=""/>
                                        <o:lock v:ext="edit" aspectratio="f"/>
                                      </v:line>
                                      <v:rect id="矩形 252" o:spid="_x0000_s1026" o:spt="1" style="position:absolute;left:7837;top:894418;height:480;width:1569;" filled="f" stroked="f" coordsize="21600,21600" o:gfxdata="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iK+SL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CECB548">
                                              <w:pPr>
                                                <w:jc w:val="center"/>
                                                <w:rPr>
                                                  <w:rFonts w:hint="default" w:eastAsia="宋体"/>
                                                  <w:sz w:val="18"/>
                                                  <w:szCs w:val="18"/>
                                                  <w:lang w:val="en-US" w:eastAsia="zh-CN"/>
                                                </w:rPr>
                                              </w:pPr>
                                              <w:r>
                                                <w:rPr>
                                                  <w:rFonts w:hint="eastAsia" w:ascii="Times New Roman" w:eastAsia="宋体"/>
                                                  <w:sz w:val="18"/>
                                                  <w:szCs w:val="18"/>
                                                  <w:lang w:val="en-US" w:eastAsia="zh-CN"/>
                                                </w:rPr>
                                                <w:t>G1、S1、</w:t>
                                              </w:r>
                                              <w:r>
                                                <w:rPr>
                                                  <w:rFonts w:hint="eastAsia"/>
                                                  <w:sz w:val="18"/>
                                                  <w:szCs w:val="18"/>
                                                  <w:lang w:val="en-US" w:eastAsia="zh-CN"/>
                                                </w:rPr>
                                                <w:t>S2、</w:t>
                                              </w:r>
                                              <w:r>
                                                <w:rPr>
                                                  <w:rFonts w:hint="eastAsia" w:ascii="Times New Roman" w:eastAsia="宋体"/>
                                                  <w:sz w:val="18"/>
                                                  <w:szCs w:val="18"/>
                                                  <w:lang w:val="en-US" w:eastAsia="zh-CN"/>
                                                </w:rPr>
                                                <w:t>N</w:t>
                                              </w:r>
                                            </w:p>
                                          </w:txbxContent>
                                        </v:textbox>
                                      </v:rect>
                                      <v:rect id="矩形 255" o:spid="_x0000_s1026" o:spt="1" style="position:absolute;left:7745;top:897625;height:480;width:876;" filled="f" stroked="f" coordsize="21600,21600" o:gfxdata="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byFpL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62B6ACA">
                                              <w:pPr>
                                                <w:jc w:val="center"/>
                                                <w:rPr>
                                                  <w:rFonts w:hint="default" w:eastAsia="宋体"/>
                                                  <w:sz w:val="18"/>
                                                  <w:szCs w:val="18"/>
                                                  <w:lang w:val="en-US" w:eastAsia="zh-CN"/>
                                                </w:rPr>
                                              </w:pPr>
                                              <w:r>
                                                <w:rPr>
                                                  <w:rFonts w:hint="eastAsia" w:ascii="Times New Roman" w:eastAsia="宋体"/>
                                                  <w:sz w:val="18"/>
                                                  <w:szCs w:val="18"/>
                                                  <w:lang w:val="en-US" w:eastAsia="zh-CN"/>
                                                </w:rPr>
                                                <w:t>G</w:t>
                                              </w:r>
                                              <w:r>
                                                <w:rPr>
                                                  <w:rFonts w:hint="eastAsia"/>
                                                  <w:sz w:val="18"/>
                                                  <w:szCs w:val="18"/>
                                                  <w:lang w:val="en-US" w:eastAsia="zh-CN"/>
                                                </w:rPr>
                                                <w:t>3、N</w:t>
                                              </w:r>
                                            </w:p>
                                          </w:txbxContent>
                                        </v:textbox>
                                      </v:rect>
                                      <v:line id="直接连接符 256" o:spid="_x0000_s1026" o:spt="20" style="position:absolute;left:7894;top:897821;flip:x y;height:328;width:1;" filled="f" stroked="t" coordsize="21600,21600" o:gfxdata="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Q4aDugAAANsA&#10;AAAPAAAAAAAAAAEAIAAAACIAAABkcnMvZG93bnJldi54bWxQSwECFAAUAAAACACHTuJAMy8FnjsA&#10;AAA5AAAAEAAAAAAAAAABACAAAAAJAQAAZHJzL3NoYXBleG1sLnhtbFBLBQYAAAAABgAGAFsBAACz&#10;AwAAAAA=&#10;">
                                        <v:fill on="f" focussize="0,0"/>
                                        <v:stroke weight="1pt" color="#000000" joinstyle="round" dashstyle="dashDot" endarrow="block"/>
                                        <v:imagedata o:title=""/>
                                        <o:lock v:ext="edit" aspectratio="f"/>
                                      </v:line>
                                    </v:group>
                                    <v:rect id="矩形 255" o:spid="_x0000_s1026" o:spt="1" style="position:absolute;left:19843;top:363261;height:351;width:1469;" filled="f" stroked="f" coordsize="21600,21600" o:gfxdata="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1b6L4A&#10;AADb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7F784B1">
                                            <w:pPr>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r>
                                              <w:rPr>
                                                <w:rFonts w:hint="eastAsia" w:cs="Times New Roman"/>
                                                <w:sz w:val="18"/>
                                                <w:szCs w:val="18"/>
                                                <w:lang w:val="en-US" w:eastAsia="zh-CN"/>
                                              </w:rPr>
                                              <w:t>去离子水</w:t>
                                            </w:r>
                                          </w:p>
                                          <w:p w14:paraId="7EDE5F1E">
                                            <w:pPr>
                                              <w:pStyle w:val="10"/>
                                              <w:keepNext w:val="0"/>
                                              <w:keepLines w:val="0"/>
                                              <w:pageBreakBefore w:val="0"/>
                                              <w:widowControl w:val="0"/>
                                              <w:kinsoku/>
                                              <w:wordWrap/>
                                              <w:overflowPunct/>
                                              <w:topLinePunct w:val="0"/>
                                              <w:bidi w:val="0"/>
                                              <w:spacing w:line="240" w:lineRule="auto"/>
                                              <w:ind w:firstLine="0"/>
                                              <w:jc w:val="both"/>
                                              <w:rPr>
                                                <w:rFonts w:hint="default" w:ascii="Times New Roman" w:hAnsi="Times New Roman" w:eastAsia="宋体" w:cs="Times New Roman"/>
                                                <w:sz w:val="18"/>
                                                <w:szCs w:val="18"/>
                                                <w:lang w:val="en-US" w:eastAsia="zh-CN"/>
                                              </w:rPr>
                                            </w:pPr>
                                          </w:p>
                                        </w:txbxContent>
                                      </v:textbox>
                                    </v:rect>
                                  </v:group>
                                  <v:rect id="矩形 255" o:spid="_x0000_s1026" o:spt="1" style="position:absolute;left:20352;top:365373;height:346;width:876;" filled="f" stroked="f" coordsize="21600,21600" o:gfxdata="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L8Wf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F508EFE">
                                          <w:pPr>
                                            <w:jc w:val="center"/>
                                            <w:rPr>
                                              <w:rFonts w:hint="default" w:eastAsia="宋体"/>
                                              <w:sz w:val="18"/>
                                              <w:szCs w:val="18"/>
                                              <w:lang w:val="en-US" w:eastAsia="zh-CN"/>
                                            </w:rPr>
                                          </w:pPr>
                                          <w:r>
                                            <w:rPr>
                                              <w:rFonts w:hint="eastAsia" w:ascii="Times New Roman" w:eastAsia="宋体"/>
                                              <w:sz w:val="18"/>
                                              <w:szCs w:val="18"/>
                                              <w:lang w:val="en-US" w:eastAsia="zh-CN"/>
                                            </w:rPr>
                                            <w:t>G</w:t>
                                          </w:r>
                                          <w:r>
                                            <w:rPr>
                                              <w:rFonts w:hint="eastAsia"/>
                                              <w:sz w:val="18"/>
                                              <w:szCs w:val="18"/>
                                              <w:lang w:val="en-US" w:eastAsia="zh-CN"/>
                                            </w:rPr>
                                            <w:t>2、N</w:t>
                                          </w:r>
                                        </w:p>
                                      </w:txbxContent>
                                    </v:textbox>
                                  </v:rect>
                                </v:group>
                              </v:group>
                              <v:rect id="矩形 215" o:spid="_x0000_s1026" o:spt="1" style="position:absolute;left:16783;top:365144;height:1180;width:976;" fillcolor="#FFFFFF" filled="t" stroked="t" coordsize="21600,21600" o:gfxdata="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A4lO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4900BCCE">
                                      <w:pPr>
                                        <w:jc w:val="center"/>
                                        <w:rPr>
                                          <w:rFonts w:hint="default" w:eastAsia="宋体"/>
                                          <w:sz w:val="21"/>
                                          <w:szCs w:val="21"/>
                                          <w:lang w:val="en-US" w:eastAsia="zh-CN"/>
                                        </w:rPr>
                                      </w:pPr>
                                      <w:r>
                                        <w:rPr>
                                          <w:rFonts w:hint="eastAsia"/>
                                          <w:sz w:val="21"/>
                                          <w:szCs w:val="21"/>
                                          <w:lang w:val="en-US" w:eastAsia="zh-CN"/>
                                        </w:rPr>
                                        <w:t>水喷淋+酸喷淋</w:t>
                                      </w:r>
                                    </w:p>
                                  </w:txbxContent>
                                </v:textbox>
                              </v:rect>
                              <v:line id="直接连接符 246" o:spid="_x0000_s1026" o:spt="20" style="position:absolute;left:17783;top:365812;flip:x;height:0;width:988;" filled="f" stroked="t" coordsize="21600,21600" o:gfxdata="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DA3QbsAAADc&#10;AAAADwAAAAAAAAABACAAAAAiAAAAZHJzL2Rvd25yZXYueG1sUEsBAhQAFAAAAAgAh07iQDMvBZ47&#10;AAAAOQAAABAAAAAAAAAAAQAgAAAACgEAAGRycy9zaGFwZXhtbC54bWxQSwUGAAAAAAYABgBbAQAA&#10;tAMAAAAA&#10;">
                                <v:fill on="f" focussize="0,0"/>
                                <v:stroke weight="1pt" color="#000000" joinstyle="round" dashstyle="dash" endarrow="block"/>
                                <v:imagedata o:title=""/>
                                <o:lock v:ext="edit" aspectratio="f"/>
                              </v:line>
                            </v:group>
                            <v:rect id="矩形 215" o:spid="_x0000_s1026" o:spt="1" style="position:absolute;left:7658;top:741546;height:2698;width:2174;" filled="f" stroked="t" coordsize="21600,21600" o:gfxdata="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upk9bsAAADc&#10;AAAADwAAAAAAAAABACAAAAAiAAAAZHJzL2Rvd25yZXYueG1sUEsBAhQAFAAAAAgAh07iQDMvBZ47&#10;AAAAOQAAABAAAAAAAAAAAQAgAAAACgEAAGRycy9zaGFwZXhtbC54bWxQSwUGAAAAAAYABgBbAQAA&#10;tAMAAAAA&#10;">
                              <v:fill on="f" focussize="0,0"/>
                              <v:stroke weight="1.5pt" color="#FF0000" joinstyle="miter" dashstyle="dash"/>
                              <v:imagedata o:title=""/>
                              <o:lock v:ext="edit" aspectratio="f"/>
                              <v:textbox>
                                <w:txbxContent>
                                  <w:p w14:paraId="0865AEA8">
                                    <w:pPr>
                                      <w:jc w:val="center"/>
                                      <w:rPr>
                                        <w:rFonts w:hint="default" w:eastAsia="宋体"/>
                                        <w:sz w:val="21"/>
                                        <w:szCs w:val="21"/>
                                        <w:lang w:val="en-US" w:eastAsia="zh-CN"/>
                                      </w:rPr>
                                    </w:pPr>
                                  </w:p>
                                </w:txbxContent>
                              </v:textbox>
                            </v:rect>
                          </v:group>
                        </v:group>
                        <v:rect id="矩形 255" o:spid="_x0000_s1026" o:spt="1" style="position:absolute;left:7818;top:742983;height:398;width:535;" filled="f" stroked="f" coordsize="21600,21600" o:gfxdata="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0t9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590AA1A5">
                                <w:pPr>
                                  <w:jc w:val="both"/>
                                  <w:rPr>
                                    <w:rFonts w:hint="default" w:eastAsia="宋体"/>
                                    <w:sz w:val="18"/>
                                    <w:szCs w:val="18"/>
                                    <w:lang w:val="en-US" w:eastAsia="zh-CN"/>
                                  </w:rPr>
                                </w:pPr>
                                <w:r>
                                  <w:rPr>
                                    <w:rFonts w:hint="eastAsia" w:ascii="Times New Roman" w:eastAsia="宋体"/>
                                    <w:sz w:val="18"/>
                                    <w:szCs w:val="18"/>
                                    <w:lang w:val="en-US" w:eastAsia="zh-CN"/>
                                  </w:rPr>
                                  <w:t>G</w:t>
                                </w:r>
                                <w:r>
                                  <w:rPr>
                                    <w:rFonts w:hint="eastAsia"/>
                                    <w:sz w:val="18"/>
                                    <w:szCs w:val="18"/>
                                    <w:lang w:val="en-US" w:eastAsia="zh-CN"/>
                                  </w:rPr>
                                  <w:t>4</w:t>
                                </w:r>
                              </w:p>
                            </w:txbxContent>
                          </v:textbox>
                        </v:rect>
                      </v:group>
                    </v:group>
                  </w:pict>
                </mc:Fallback>
              </mc:AlternateContent>
            </w:r>
          </w:p>
          <w:p w14:paraId="0ABE1223">
            <w:pPr>
              <w:pStyle w:val="41"/>
              <w:keepNext w:val="0"/>
              <w:keepLines w:val="0"/>
              <w:pageBreakBefore w:val="0"/>
              <w:widowControl w:val="0"/>
              <w:kinsoku/>
              <w:wordWrap/>
              <w:overflowPunct/>
              <w:topLinePunct w:val="0"/>
              <w:autoSpaceDE w:val="0"/>
              <w:autoSpaceDN w:val="0"/>
              <w:bidi w:val="0"/>
              <w:adjustRightInd w:val="0"/>
              <w:snapToGrid/>
              <w:spacing w:line="360" w:lineRule="auto"/>
              <w:jc w:val="center"/>
              <w:textAlignment w:val="auto"/>
              <w:rPr>
                <w:rFonts w:hint="eastAsia" w:ascii="Times New Roman" w:hAnsi="Times New Roman" w:eastAsia="宋体" w:cs="Times New Roman"/>
                <w:b/>
                <w:bCs/>
                <w:color w:val="auto"/>
                <w:sz w:val="21"/>
                <w:szCs w:val="21"/>
                <w:highlight w:val="none"/>
                <w:lang w:val="en-US" w:eastAsia="zh-CN"/>
              </w:rPr>
            </w:pPr>
          </w:p>
          <w:p w14:paraId="275CBAF2">
            <w:pPr>
              <w:pStyle w:val="41"/>
              <w:jc w:val="center"/>
              <w:rPr>
                <w:rFonts w:hint="eastAsia" w:ascii="Times New Roman" w:hAnsi="Times New Roman" w:eastAsia="宋体" w:cs="Times New Roman"/>
                <w:b/>
                <w:bCs/>
                <w:color w:val="auto"/>
                <w:sz w:val="21"/>
                <w:szCs w:val="21"/>
                <w:highlight w:val="none"/>
                <w:lang w:val="en-US" w:eastAsia="zh-CN"/>
              </w:rPr>
            </w:pPr>
          </w:p>
          <w:p w14:paraId="3D0A8D50">
            <w:pPr>
              <w:pStyle w:val="41"/>
              <w:jc w:val="center"/>
              <w:rPr>
                <w:rFonts w:hint="eastAsia" w:ascii="Times New Roman" w:hAnsi="Times New Roman" w:eastAsia="宋体" w:cs="Times New Roman"/>
                <w:b/>
                <w:bCs/>
                <w:color w:val="auto"/>
                <w:sz w:val="21"/>
                <w:szCs w:val="21"/>
                <w:highlight w:val="none"/>
                <w:lang w:val="en-US" w:eastAsia="zh-CN"/>
              </w:rPr>
            </w:pPr>
          </w:p>
          <w:p w14:paraId="1106750F">
            <w:pPr>
              <w:pStyle w:val="41"/>
              <w:jc w:val="center"/>
              <w:rPr>
                <w:rFonts w:hint="eastAsia" w:ascii="Times New Roman" w:hAnsi="Times New Roman" w:eastAsia="宋体" w:cs="Times New Roman"/>
                <w:b/>
                <w:bCs/>
                <w:color w:val="auto"/>
                <w:sz w:val="21"/>
                <w:szCs w:val="21"/>
                <w:highlight w:val="none"/>
                <w:lang w:val="en-US" w:eastAsia="zh-CN"/>
              </w:rPr>
            </w:pPr>
          </w:p>
          <w:p w14:paraId="06AE6F28">
            <w:pPr>
              <w:pStyle w:val="41"/>
              <w:jc w:val="center"/>
              <w:rPr>
                <w:rFonts w:hint="eastAsia" w:ascii="Times New Roman" w:hAnsi="Times New Roman" w:eastAsia="宋体" w:cs="Times New Roman"/>
                <w:b/>
                <w:bCs/>
                <w:color w:val="auto"/>
                <w:sz w:val="21"/>
                <w:szCs w:val="21"/>
                <w:highlight w:val="none"/>
                <w:lang w:val="en-US" w:eastAsia="zh-CN"/>
              </w:rPr>
            </w:pPr>
          </w:p>
          <w:p w14:paraId="133F6F81">
            <w:pPr>
              <w:pStyle w:val="41"/>
              <w:jc w:val="center"/>
              <w:rPr>
                <w:rFonts w:hint="eastAsia" w:ascii="Times New Roman" w:hAnsi="Times New Roman" w:eastAsia="宋体" w:cs="Times New Roman"/>
                <w:b/>
                <w:bCs/>
                <w:color w:val="auto"/>
                <w:sz w:val="21"/>
                <w:szCs w:val="21"/>
                <w:highlight w:val="none"/>
                <w:lang w:val="en-US" w:eastAsia="zh-CN"/>
              </w:rPr>
            </w:pPr>
          </w:p>
          <w:p w14:paraId="5CEEFC2A">
            <w:pPr>
              <w:pStyle w:val="41"/>
              <w:jc w:val="center"/>
              <w:rPr>
                <w:rFonts w:hint="eastAsia" w:ascii="Times New Roman" w:hAnsi="Times New Roman" w:eastAsia="宋体" w:cs="Times New Roman"/>
                <w:b/>
                <w:bCs/>
                <w:color w:val="auto"/>
                <w:sz w:val="21"/>
                <w:szCs w:val="21"/>
                <w:highlight w:val="none"/>
                <w:lang w:val="en-US" w:eastAsia="zh-CN"/>
              </w:rPr>
            </w:pPr>
          </w:p>
          <w:p w14:paraId="0B99250C">
            <w:pPr>
              <w:pStyle w:val="41"/>
              <w:jc w:val="center"/>
              <w:rPr>
                <w:rFonts w:hint="eastAsia" w:ascii="Times New Roman" w:hAnsi="Times New Roman" w:eastAsia="宋体" w:cs="Times New Roman"/>
                <w:b/>
                <w:bCs/>
                <w:color w:val="auto"/>
                <w:sz w:val="21"/>
                <w:szCs w:val="21"/>
                <w:highlight w:val="none"/>
                <w:lang w:val="en-US" w:eastAsia="zh-CN"/>
              </w:rPr>
            </w:pPr>
          </w:p>
          <w:p w14:paraId="7EA68DFF">
            <w:pPr>
              <w:pStyle w:val="41"/>
              <w:jc w:val="center"/>
              <w:rPr>
                <w:rFonts w:hint="eastAsia" w:ascii="Times New Roman" w:hAnsi="Times New Roman" w:eastAsia="宋体" w:cs="Times New Roman"/>
                <w:b/>
                <w:bCs/>
                <w:color w:val="auto"/>
                <w:sz w:val="21"/>
                <w:szCs w:val="21"/>
                <w:highlight w:val="none"/>
                <w:lang w:val="en-US" w:eastAsia="zh-CN"/>
              </w:rPr>
            </w:pPr>
          </w:p>
          <w:p w14:paraId="4AB8FB03">
            <w:pPr>
              <w:pStyle w:val="41"/>
              <w:jc w:val="center"/>
              <w:rPr>
                <w:rFonts w:hint="eastAsia" w:ascii="Times New Roman" w:hAnsi="Times New Roman" w:eastAsia="宋体" w:cs="Times New Roman"/>
                <w:b/>
                <w:bCs/>
                <w:color w:val="auto"/>
                <w:sz w:val="21"/>
                <w:szCs w:val="21"/>
                <w:highlight w:val="none"/>
                <w:lang w:val="en-US" w:eastAsia="zh-CN"/>
              </w:rPr>
            </w:pPr>
          </w:p>
          <w:p w14:paraId="0DB99A83">
            <w:pPr>
              <w:pStyle w:val="41"/>
              <w:jc w:val="center"/>
              <w:rPr>
                <w:rFonts w:hint="eastAsia" w:ascii="Times New Roman" w:hAnsi="Times New Roman" w:eastAsia="宋体" w:cs="Times New Roman"/>
                <w:b/>
                <w:bCs/>
                <w:color w:val="auto"/>
                <w:sz w:val="21"/>
                <w:szCs w:val="21"/>
                <w:highlight w:val="none"/>
                <w:lang w:val="en-US" w:eastAsia="zh-CN"/>
              </w:rPr>
            </w:pPr>
          </w:p>
          <w:p w14:paraId="7FF52948">
            <w:pPr>
              <w:pStyle w:val="41"/>
              <w:jc w:val="center"/>
              <w:rPr>
                <w:rFonts w:hint="eastAsia" w:ascii="Times New Roman" w:hAnsi="Times New Roman" w:eastAsia="宋体" w:cs="Times New Roman"/>
                <w:b/>
                <w:bCs/>
                <w:color w:val="auto"/>
                <w:sz w:val="21"/>
                <w:szCs w:val="21"/>
                <w:highlight w:val="none"/>
                <w:lang w:val="en-US" w:eastAsia="zh-CN"/>
              </w:rPr>
            </w:pPr>
          </w:p>
          <w:p w14:paraId="192B81D9">
            <w:pPr>
              <w:pStyle w:val="41"/>
              <w:jc w:val="center"/>
              <w:rPr>
                <w:rFonts w:hint="eastAsia" w:ascii="Times New Roman" w:hAnsi="Times New Roman" w:eastAsia="宋体" w:cs="Times New Roman"/>
                <w:b/>
                <w:bCs/>
                <w:color w:val="auto"/>
                <w:sz w:val="21"/>
                <w:szCs w:val="21"/>
                <w:highlight w:val="none"/>
                <w:lang w:val="en-US" w:eastAsia="zh-CN"/>
              </w:rPr>
            </w:pPr>
          </w:p>
          <w:p w14:paraId="0FC4D903">
            <w:pPr>
              <w:pStyle w:val="41"/>
              <w:jc w:val="center"/>
              <w:rPr>
                <w:rFonts w:hint="eastAsia" w:ascii="Times New Roman" w:hAnsi="Times New Roman" w:eastAsia="宋体" w:cs="Times New Roman"/>
                <w:b/>
                <w:bCs/>
                <w:color w:val="auto"/>
                <w:sz w:val="21"/>
                <w:szCs w:val="21"/>
                <w:highlight w:val="none"/>
                <w:lang w:val="en-US" w:eastAsia="zh-CN"/>
              </w:rPr>
            </w:pPr>
          </w:p>
          <w:p w14:paraId="6A7DB133">
            <w:pPr>
              <w:pStyle w:val="41"/>
              <w:jc w:val="center"/>
              <w:rPr>
                <w:rFonts w:hint="eastAsia" w:ascii="Times New Roman" w:hAnsi="Times New Roman" w:eastAsia="宋体" w:cs="Times New Roman"/>
                <w:b/>
                <w:bCs/>
                <w:color w:val="auto"/>
                <w:sz w:val="21"/>
                <w:szCs w:val="21"/>
                <w:highlight w:val="none"/>
                <w:lang w:val="en-US" w:eastAsia="zh-CN"/>
              </w:rPr>
            </w:pPr>
          </w:p>
          <w:p w14:paraId="46FB1008">
            <w:pPr>
              <w:pStyle w:val="41"/>
              <w:jc w:val="center"/>
              <w:rPr>
                <w:rFonts w:hint="eastAsia" w:ascii="Times New Roman" w:hAnsi="Times New Roman" w:eastAsia="宋体" w:cs="Times New Roman"/>
                <w:b/>
                <w:bCs/>
                <w:color w:val="auto"/>
                <w:sz w:val="21"/>
                <w:szCs w:val="21"/>
                <w:highlight w:val="none"/>
                <w:lang w:val="en-US" w:eastAsia="zh-CN"/>
              </w:rPr>
            </w:pPr>
          </w:p>
          <w:p w14:paraId="25420677">
            <w:pPr>
              <w:pStyle w:val="41"/>
              <w:jc w:val="center"/>
              <w:rPr>
                <w:rFonts w:hint="eastAsia" w:ascii="Times New Roman" w:hAnsi="Times New Roman" w:eastAsia="宋体" w:cs="Times New Roman"/>
                <w:b/>
                <w:bCs/>
                <w:color w:val="auto"/>
                <w:sz w:val="21"/>
                <w:szCs w:val="21"/>
                <w:highlight w:val="none"/>
                <w:lang w:val="en-US" w:eastAsia="zh-CN"/>
              </w:rPr>
            </w:pPr>
          </w:p>
          <w:p w14:paraId="2708C7E1">
            <w:pPr>
              <w:pStyle w:val="41"/>
              <w:jc w:val="center"/>
              <w:rPr>
                <w:rFonts w:hint="eastAsia" w:ascii="Times New Roman" w:hAnsi="Times New Roman" w:eastAsia="宋体" w:cs="Times New Roman"/>
                <w:b/>
                <w:bCs/>
                <w:color w:val="auto"/>
                <w:sz w:val="21"/>
                <w:szCs w:val="21"/>
                <w:highlight w:val="none"/>
                <w:lang w:val="en-US" w:eastAsia="zh-CN"/>
              </w:rPr>
            </w:pPr>
          </w:p>
          <w:p w14:paraId="03B27C02">
            <w:pPr>
              <w:pStyle w:val="41"/>
              <w:jc w:val="center"/>
              <w:rPr>
                <w:rFonts w:hint="eastAsia" w:ascii="Times New Roman" w:hAnsi="Times New Roman" w:eastAsia="宋体" w:cs="Times New Roman"/>
                <w:b/>
                <w:bCs/>
                <w:color w:val="auto"/>
                <w:sz w:val="21"/>
                <w:szCs w:val="21"/>
                <w:highlight w:val="none"/>
                <w:lang w:val="en-US" w:eastAsia="zh-CN"/>
              </w:rPr>
            </w:pPr>
          </w:p>
          <w:p w14:paraId="374E1B48">
            <w:pPr>
              <w:pStyle w:val="41"/>
              <w:jc w:val="center"/>
              <w:rPr>
                <w:rFonts w:hint="eastAsia" w:ascii="Times New Roman" w:hAnsi="Times New Roman" w:eastAsia="宋体" w:cs="Times New Roman"/>
                <w:b/>
                <w:bCs/>
                <w:color w:val="auto"/>
                <w:sz w:val="21"/>
                <w:szCs w:val="21"/>
                <w:highlight w:val="none"/>
                <w:lang w:val="en-US" w:eastAsia="zh-CN"/>
              </w:rPr>
            </w:pPr>
          </w:p>
          <w:p w14:paraId="328FE963">
            <w:pPr>
              <w:pStyle w:val="41"/>
              <w:jc w:val="center"/>
              <w:rPr>
                <w:rFonts w:hint="eastAsia" w:ascii="Times New Roman" w:hAnsi="Times New Roman" w:eastAsia="宋体" w:cs="Times New Roman"/>
                <w:b/>
                <w:bCs/>
                <w:color w:val="auto"/>
                <w:sz w:val="21"/>
                <w:szCs w:val="21"/>
                <w:highlight w:val="none"/>
                <w:lang w:val="en-US" w:eastAsia="zh-CN"/>
              </w:rPr>
            </w:pPr>
          </w:p>
          <w:p w14:paraId="7C354A0B">
            <w:pPr>
              <w:pStyle w:val="41"/>
              <w:jc w:val="center"/>
              <w:rPr>
                <w:rFonts w:hint="eastAsia" w:ascii="Times New Roman" w:hAnsi="Times New Roman" w:eastAsia="宋体" w:cs="Times New Roman"/>
                <w:b/>
                <w:bCs/>
                <w:color w:val="auto"/>
                <w:sz w:val="21"/>
                <w:szCs w:val="21"/>
                <w:highlight w:val="none"/>
                <w:lang w:val="en-US" w:eastAsia="zh-CN"/>
              </w:rPr>
            </w:pPr>
          </w:p>
          <w:p w14:paraId="511DC4FF">
            <w:pPr>
              <w:pStyle w:val="41"/>
              <w:jc w:val="center"/>
              <w:rPr>
                <w:rFonts w:hint="eastAsia" w:ascii="Times New Roman" w:hAnsi="Times New Roman" w:eastAsia="宋体" w:cs="Times New Roman"/>
                <w:b/>
                <w:bCs/>
                <w:color w:val="auto"/>
                <w:sz w:val="21"/>
                <w:szCs w:val="21"/>
                <w:highlight w:val="none"/>
                <w:lang w:val="en-US" w:eastAsia="zh-CN"/>
              </w:rPr>
            </w:pPr>
          </w:p>
          <w:p w14:paraId="24E787CB">
            <w:pPr>
              <w:pStyle w:val="41"/>
              <w:jc w:val="center"/>
              <w:rPr>
                <w:rFonts w:hint="eastAsia" w:ascii="Times New Roman" w:hAnsi="Times New Roman" w:eastAsia="宋体" w:cs="Times New Roman"/>
                <w:b/>
                <w:bCs/>
                <w:color w:val="auto"/>
                <w:sz w:val="21"/>
                <w:szCs w:val="21"/>
                <w:highlight w:val="none"/>
                <w:lang w:val="en-US" w:eastAsia="zh-CN"/>
              </w:rPr>
            </w:pPr>
          </w:p>
          <w:p w14:paraId="2ED34897">
            <w:pPr>
              <w:pStyle w:val="41"/>
              <w:jc w:val="center"/>
              <w:rPr>
                <w:rFonts w:hint="eastAsia" w:ascii="Times New Roman" w:hAnsi="Times New Roman" w:eastAsia="宋体" w:cs="Times New Roman"/>
                <w:b/>
                <w:bCs/>
                <w:color w:val="auto"/>
                <w:sz w:val="21"/>
                <w:szCs w:val="21"/>
                <w:highlight w:val="none"/>
                <w:lang w:val="en-US" w:eastAsia="zh-CN"/>
              </w:rPr>
            </w:pPr>
          </w:p>
          <w:p w14:paraId="1CBAD70E">
            <w:pPr>
              <w:pStyle w:val="41"/>
              <w:jc w:val="center"/>
              <w:rPr>
                <w:rFonts w:hint="eastAsia" w:ascii="Times New Roman" w:hAnsi="Times New Roman" w:eastAsia="宋体" w:cs="Times New Roman"/>
                <w:b/>
                <w:bCs/>
                <w:color w:val="auto"/>
                <w:sz w:val="21"/>
                <w:szCs w:val="21"/>
                <w:highlight w:val="none"/>
                <w:lang w:val="en-US" w:eastAsia="zh-CN"/>
              </w:rPr>
            </w:pPr>
          </w:p>
          <w:p w14:paraId="6F3D3D41">
            <w:pPr>
              <w:keepNext w:val="0"/>
              <w:keepLines w:val="0"/>
              <w:pageBreakBefore w:val="0"/>
              <w:widowControl w:val="0"/>
              <w:tabs>
                <w:tab w:val="left" w:pos="1859"/>
                <w:tab w:val="center" w:pos="4032"/>
              </w:tabs>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图 2-</w:t>
            </w:r>
            <w:r>
              <w:rPr>
                <w:rFonts w:hint="eastAsia" w:cs="Times New Roman"/>
                <w:b/>
                <w:bCs/>
                <w:color w:val="auto"/>
                <w:sz w:val="21"/>
                <w:szCs w:val="21"/>
                <w:highlight w:val="none"/>
                <w:lang w:val="en-US" w:eastAsia="zh-CN"/>
              </w:rPr>
              <w:t>4</w:t>
            </w:r>
            <w:r>
              <w:rPr>
                <w:rFonts w:hint="default" w:ascii="Times New Roman" w:hAnsi="Times New Roman" w:eastAsia="宋体" w:cs="Times New Roman"/>
                <w:b/>
                <w:bCs/>
                <w:color w:val="auto"/>
                <w:sz w:val="21"/>
                <w:szCs w:val="21"/>
                <w:highlight w:val="none"/>
                <w:lang w:val="en-US" w:eastAsia="zh-CN"/>
              </w:rPr>
              <w:t xml:space="preserve"> </w:t>
            </w:r>
            <w:r>
              <w:rPr>
                <w:rFonts w:hint="eastAsia" w:ascii="Times New Roman" w:hAnsi="Times New Roman" w:eastAsia="宋体" w:cs="Times New Roman"/>
                <w:b/>
                <w:bCs/>
                <w:color w:val="auto"/>
                <w:sz w:val="21"/>
                <w:szCs w:val="21"/>
                <w:highlight w:val="none"/>
                <w:lang w:val="en-US" w:eastAsia="zh-CN"/>
              </w:rPr>
              <w:t>甘氨酸</w:t>
            </w:r>
            <w:r>
              <w:rPr>
                <w:rFonts w:hint="eastAsia" w:cs="Times New Roman"/>
                <w:b/>
                <w:bCs/>
                <w:color w:val="auto"/>
                <w:sz w:val="21"/>
                <w:szCs w:val="21"/>
                <w:highlight w:val="none"/>
                <w:lang w:val="en-US" w:eastAsia="zh-CN"/>
              </w:rPr>
              <w:t>亚铁</w:t>
            </w:r>
            <w:r>
              <w:rPr>
                <w:rFonts w:hint="default" w:ascii="Times New Roman" w:hAnsi="Times New Roman" w:eastAsia="宋体" w:cs="Times New Roman"/>
                <w:b/>
                <w:bCs/>
                <w:color w:val="auto"/>
                <w:sz w:val="21"/>
                <w:szCs w:val="21"/>
                <w:highlight w:val="none"/>
                <w:lang w:val="en-US" w:eastAsia="zh-CN"/>
              </w:rPr>
              <w:t>工艺</w:t>
            </w:r>
            <w:r>
              <w:rPr>
                <w:rFonts w:hint="eastAsia" w:ascii="Times New Roman" w:hAnsi="Times New Roman" w:eastAsia="宋体" w:cs="Times New Roman"/>
                <w:b/>
                <w:bCs/>
                <w:color w:val="auto"/>
                <w:sz w:val="21"/>
                <w:szCs w:val="21"/>
                <w:highlight w:val="none"/>
                <w:lang w:val="en-US" w:eastAsia="zh-CN"/>
              </w:rPr>
              <w:t>流程及产污节点图</w:t>
            </w:r>
          </w:p>
          <w:p w14:paraId="479F5563">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baseline"/>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甘氨酸亚铁</w:t>
            </w:r>
            <w:r>
              <w:rPr>
                <w:rFonts w:hint="eastAsia" w:ascii="Times New Roman" w:hAnsi="Times New Roman" w:eastAsia="宋体" w:cs="Times New Roman"/>
                <w:b w:val="0"/>
                <w:bCs w:val="0"/>
                <w:color w:val="auto"/>
                <w:sz w:val="21"/>
                <w:szCs w:val="21"/>
                <w:highlight w:val="none"/>
                <w:lang w:val="en-US" w:eastAsia="zh-CN"/>
              </w:rPr>
              <w:t>生产工艺产排污节点汇总表见表</w:t>
            </w:r>
            <w:r>
              <w:rPr>
                <w:rFonts w:hint="eastAsia" w:cs="Times New Roman"/>
                <w:b w:val="0"/>
                <w:bCs w:val="0"/>
                <w:color w:val="auto"/>
                <w:sz w:val="21"/>
                <w:szCs w:val="21"/>
                <w:highlight w:val="none"/>
                <w:lang w:val="en-US" w:eastAsia="zh-CN"/>
              </w:rPr>
              <w:t>2-14</w:t>
            </w:r>
            <w:r>
              <w:rPr>
                <w:rFonts w:hint="eastAsia" w:ascii="Times New Roman" w:hAnsi="Times New Roman" w:eastAsia="宋体" w:cs="Times New Roman"/>
                <w:b w:val="0"/>
                <w:bCs w:val="0"/>
                <w:color w:val="auto"/>
                <w:sz w:val="21"/>
                <w:szCs w:val="21"/>
                <w:highlight w:val="none"/>
                <w:lang w:val="en-US" w:eastAsia="zh-CN"/>
              </w:rPr>
              <w:t>。</w:t>
            </w:r>
          </w:p>
          <w:p w14:paraId="14C8305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p>
          <w:p w14:paraId="2ED3A04A">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p>
          <w:p w14:paraId="47ECAA1F">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 2-</w:t>
            </w:r>
            <w:r>
              <w:rPr>
                <w:rFonts w:hint="eastAsia" w:ascii="Times New Roman" w:hAnsi="Times New Roman" w:eastAsia="宋体" w:cs="Times New Roman"/>
                <w:b/>
                <w:bCs/>
                <w:color w:val="auto"/>
                <w:sz w:val="21"/>
                <w:szCs w:val="21"/>
                <w:highlight w:val="none"/>
                <w:lang w:val="en-US" w:eastAsia="zh-CN"/>
              </w:rPr>
              <w:t>1</w:t>
            </w:r>
            <w:r>
              <w:rPr>
                <w:rFonts w:hint="eastAsia" w:cs="Times New Roman"/>
                <w:b/>
                <w:bCs/>
                <w:color w:val="auto"/>
                <w:sz w:val="21"/>
                <w:szCs w:val="21"/>
                <w:highlight w:val="none"/>
                <w:lang w:val="en-US" w:eastAsia="zh-CN"/>
              </w:rPr>
              <w:t>4</w:t>
            </w:r>
            <w:r>
              <w:rPr>
                <w:rFonts w:hint="default" w:ascii="Times New Roman" w:hAnsi="Times New Roman" w:eastAsia="宋体" w:cs="Times New Roman"/>
                <w:b/>
                <w:bCs/>
                <w:color w:val="auto"/>
                <w:sz w:val="21"/>
                <w:szCs w:val="21"/>
                <w:highlight w:val="none"/>
                <w:lang w:val="en-US" w:eastAsia="zh-CN"/>
              </w:rPr>
              <w:t xml:space="preserve"> </w:t>
            </w:r>
            <w:r>
              <w:rPr>
                <w:rFonts w:hint="eastAsia" w:ascii="Times New Roman" w:hAnsi="Times New Roman" w:eastAsia="宋体" w:cs="Times New Roman"/>
                <w:b/>
                <w:bCs/>
                <w:color w:val="auto"/>
                <w:sz w:val="21"/>
                <w:szCs w:val="21"/>
                <w:highlight w:val="none"/>
                <w:lang w:val="en-US" w:eastAsia="zh-CN"/>
              </w:rPr>
              <w:t>项目</w:t>
            </w:r>
            <w:r>
              <w:rPr>
                <w:rFonts w:hint="default" w:ascii="Times New Roman" w:hAnsi="Times New Roman" w:eastAsia="宋体" w:cs="Times New Roman"/>
                <w:b/>
                <w:bCs/>
                <w:color w:val="auto"/>
                <w:sz w:val="21"/>
                <w:szCs w:val="21"/>
                <w:highlight w:val="none"/>
                <w:lang w:val="en-US" w:eastAsia="zh-CN"/>
              </w:rPr>
              <w:t>排污节点汇总表</w:t>
            </w:r>
          </w:p>
          <w:tbl>
            <w:tblPr>
              <w:tblStyle w:val="26"/>
              <w:tblW w:w="79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5"/>
              <w:gridCol w:w="645"/>
              <w:gridCol w:w="1329"/>
              <w:gridCol w:w="1791"/>
              <w:gridCol w:w="636"/>
              <w:gridCol w:w="1089"/>
              <w:gridCol w:w="990"/>
              <w:gridCol w:w="799"/>
            </w:tblGrid>
            <w:tr w14:paraId="4391D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tcBorders>
                    <w:tl2br w:val="nil"/>
                    <w:tr2bl w:val="nil"/>
                  </w:tcBorders>
                  <w:noWrap w:val="0"/>
                  <w:vAlign w:val="center"/>
                </w:tcPr>
                <w:p w14:paraId="16FC561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类别</w:t>
                  </w:r>
                </w:p>
              </w:tc>
              <w:tc>
                <w:tcPr>
                  <w:tcW w:w="645" w:type="dxa"/>
                  <w:tcBorders>
                    <w:tl2br w:val="nil"/>
                    <w:tr2bl w:val="nil"/>
                  </w:tcBorders>
                  <w:noWrap w:val="0"/>
                  <w:vAlign w:val="center"/>
                </w:tcPr>
                <w:p w14:paraId="24BFDFD8">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代码</w:t>
                  </w:r>
                </w:p>
              </w:tc>
              <w:tc>
                <w:tcPr>
                  <w:tcW w:w="1329" w:type="dxa"/>
                  <w:tcBorders>
                    <w:tl2br w:val="nil"/>
                    <w:tr2bl w:val="nil"/>
                  </w:tcBorders>
                  <w:noWrap w:val="0"/>
                  <w:vAlign w:val="center"/>
                </w:tcPr>
                <w:p w14:paraId="09DE066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排污节点</w:t>
                  </w:r>
                </w:p>
              </w:tc>
              <w:tc>
                <w:tcPr>
                  <w:tcW w:w="1791" w:type="dxa"/>
                  <w:tcBorders>
                    <w:tl2br w:val="nil"/>
                    <w:tr2bl w:val="nil"/>
                  </w:tcBorders>
                  <w:noWrap w:val="0"/>
                  <w:vAlign w:val="center"/>
                </w:tcPr>
                <w:p w14:paraId="356A06C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主要污染物</w:t>
                  </w:r>
                </w:p>
              </w:tc>
              <w:tc>
                <w:tcPr>
                  <w:tcW w:w="636" w:type="dxa"/>
                  <w:tcBorders>
                    <w:tl2br w:val="nil"/>
                    <w:tr2bl w:val="nil"/>
                  </w:tcBorders>
                  <w:noWrap w:val="0"/>
                  <w:vAlign w:val="center"/>
                </w:tcPr>
                <w:p w14:paraId="020BC82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排放特征</w:t>
                  </w:r>
                </w:p>
              </w:tc>
              <w:tc>
                <w:tcPr>
                  <w:tcW w:w="2079" w:type="dxa"/>
                  <w:gridSpan w:val="2"/>
                  <w:tcBorders>
                    <w:tl2br w:val="nil"/>
                    <w:tr2bl w:val="nil"/>
                  </w:tcBorders>
                  <w:noWrap w:val="0"/>
                  <w:vAlign w:val="center"/>
                </w:tcPr>
                <w:p w14:paraId="78CF608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lang w:val="en-US" w:eastAsia="zh-CN" w:bidi="ar-SA"/>
                    </w:rPr>
                    <w:t>环保措施</w:t>
                  </w:r>
                </w:p>
              </w:tc>
              <w:tc>
                <w:tcPr>
                  <w:tcW w:w="799" w:type="dxa"/>
                  <w:tcBorders>
                    <w:tl2br w:val="nil"/>
                    <w:tr2bl w:val="nil"/>
                  </w:tcBorders>
                  <w:noWrap w:val="0"/>
                  <w:vAlign w:val="center"/>
                </w:tcPr>
                <w:p w14:paraId="66063B2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排放</w:t>
                  </w:r>
                </w:p>
                <w:p w14:paraId="4FAD943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去向</w:t>
                  </w:r>
                </w:p>
              </w:tc>
            </w:tr>
            <w:tr w14:paraId="13B73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restart"/>
                  <w:tcBorders>
                    <w:tl2br w:val="nil"/>
                    <w:tr2bl w:val="nil"/>
                  </w:tcBorders>
                  <w:noWrap w:val="0"/>
                  <w:vAlign w:val="center"/>
                </w:tcPr>
                <w:p w14:paraId="33051E3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废气</w:t>
                  </w:r>
                </w:p>
              </w:tc>
              <w:tc>
                <w:tcPr>
                  <w:tcW w:w="645" w:type="dxa"/>
                  <w:tcBorders>
                    <w:tl2br w:val="nil"/>
                    <w:tr2bl w:val="nil"/>
                  </w:tcBorders>
                  <w:noWrap w:val="0"/>
                  <w:vAlign w:val="center"/>
                </w:tcPr>
                <w:p w14:paraId="474A237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G1</w:t>
                  </w:r>
                </w:p>
              </w:tc>
              <w:tc>
                <w:tcPr>
                  <w:tcW w:w="1329" w:type="dxa"/>
                  <w:tcBorders>
                    <w:tl2br w:val="nil"/>
                    <w:tr2bl w:val="nil"/>
                  </w:tcBorders>
                  <w:noWrap w:val="0"/>
                  <w:vAlign w:val="center"/>
                </w:tcPr>
                <w:p w14:paraId="538B33E3">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投料</w:t>
                  </w:r>
                </w:p>
              </w:tc>
              <w:tc>
                <w:tcPr>
                  <w:tcW w:w="1791" w:type="dxa"/>
                  <w:tcBorders>
                    <w:tl2br w:val="nil"/>
                    <w:tr2bl w:val="nil"/>
                  </w:tcBorders>
                  <w:noWrap w:val="0"/>
                  <w:vAlign w:val="center"/>
                </w:tcPr>
                <w:p w14:paraId="6B6225C9">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颗粒物</w:t>
                  </w:r>
                </w:p>
              </w:tc>
              <w:tc>
                <w:tcPr>
                  <w:tcW w:w="636" w:type="dxa"/>
                  <w:tcBorders>
                    <w:tl2br w:val="nil"/>
                    <w:tr2bl w:val="nil"/>
                  </w:tcBorders>
                  <w:noWrap w:val="0"/>
                  <w:vAlign w:val="center"/>
                </w:tcPr>
                <w:p w14:paraId="32FE4CE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间断</w:t>
                  </w:r>
                </w:p>
              </w:tc>
              <w:tc>
                <w:tcPr>
                  <w:tcW w:w="1089" w:type="dxa"/>
                  <w:vMerge w:val="restart"/>
                  <w:tcBorders>
                    <w:tl2br w:val="nil"/>
                    <w:tr2bl w:val="nil"/>
                  </w:tcBorders>
                  <w:noWrap w:val="0"/>
                  <w:vAlign w:val="center"/>
                </w:tcPr>
                <w:p w14:paraId="089862C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集气罩+软帘收集+布袋除尘器</w:t>
                  </w:r>
                </w:p>
              </w:tc>
              <w:tc>
                <w:tcPr>
                  <w:tcW w:w="990" w:type="dxa"/>
                  <w:vMerge w:val="restart"/>
                  <w:tcBorders>
                    <w:tl2br w:val="nil"/>
                    <w:tr2bl w:val="nil"/>
                  </w:tcBorders>
                  <w:noWrap w:val="0"/>
                  <w:vAlign w:val="center"/>
                </w:tcPr>
                <w:p w14:paraId="4715502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共同经</w:t>
                  </w:r>
                  <w:r>
                    <w:rPr>
                      <w:rFonts w:hint="eastAsia" w:ascii="Times New Roman" w:hAnsi="Times New Roman" w:cs="Times New Roman"/>
                      <w:color w:val="auto"/>
                      <w:sz w:val="21"/>
                      <w:szCs w:val="21"/>
                      <w:highlight w:val="none"/>
                      <w:lang w:val="en-US" w:eastAsia="zh-CN"/>
                    </w:rPr>
                    <w:t>1根</w:t>
                  </w:r>
                  <w:r>
                    <w:rPr>
                      <w:rFonts w:hint="eastAsia" w:cs="Times New Roman"/>
                      <w:color w:val="auto"/>
                      <w:sz w:val="21"/>
                      <w:szCs w:val="21"/>
                      <w:highlight w:val="none"/>
                      <w:lang w:val="en-US" w:eastAsia="zh-CN"/>
                    </w:rPr>
                    <w:t>25</w:t>
                  </w:r>
                  <w:r>
                    <w:rPr>
                      <w:rFonts w:hint="eastAsia" w:ascii="Times New Roman" w:hAnsi="Times New Roman" w:cs="Times New Roman"/>
                      <w:color w:val="auto"/>
                      <w:sz w:val="21"/>
                      <w:szCs w:val="21"/>
                      <w:highlight w:val="none"/>
                      <w:lang w:val="en-US" w:eastAsia="zh-CN"/>
                    </w:rPr>
                    <w:t>m高排气筒</w:t>
                  </w:r>
                  <w:r>
                    <w:rPr>
                      <w:rFonts w:hint="eastAsia" w:cs="Times New Roman"/>
                      <w:color w:val="auto"/>
                      <w:sz w:val="21"/>
                      <w:szCs w:val="21"/>
                      <w:highlight w:val="none"/>
                      <w:lang w:val="en-US" w:eastAsia="zh-CN"/>
                    </w:rPr>
                    <w:t>（DA028）</w:t>
                  </w:r>
                </w:p>
                <w:p w14:paraId="4716244D">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p>
              </w:tc>
              <w:tc>
                <w:tcPr>
                  <w:tcW w:w="799" w:type="dxa"/>
                  <w:vMerge w:val="restart"/>
                  <w:tcBorders>
                    <w:tl2br w:val="nil"/>
                    <w:tr2bl w:val="nil"/>
                  </w:tcBorders>
                  <w:noWrap w:val="0"/>
                  <w:vAlign w:val="center"/>
                </w:tcPr>
                <w:p w14:paraId="7F17E99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治理后排放到外环境</w:t>
                  </w:r>
                </w:p>
              </w:tc>
            </w:tr>
            <w:tr w14:paraId="72E48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5287A9BF">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76BA4603">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bidi="ar-SA"/>
                    </w:rPr>
                    <w:t>G</w:t>
                  </w:r>
                  <w:r>
                    <w:rPr>
                      <w:rFonts w:hint="eastAsia" w:ascii="Times New Roman" w:cs="Times New Roman"/>
                      <w:color w:val="auto"/>
                      <w:kern w:val="2"/>
                      <w:sz w:val="21"/>
                      <w:szCs w:val="21"/>
                      <w:highlight w:val="none"/>
                      <w:vertAlign w:val="baseline"/>
                      <w:lang w:val="en-US" w:eastAsia="zh-CN" w:bidi="ar-SA"/>
                    </w:rPr>
                    <w:t>3</w:t>
                  </w:r>
                </w:p>
              </w:tc>
              <w:tc>
                <w:tcPr>
                  <w:tcW w:w="1329" w:type="dxa"/>
                  <w:tcBorders>
                    <w:tl2br w:val="nil"/>
                    <w:tr2bl w:val="nil"/>
                  </w:tcBorders>
                  <w:noWrap w:val="0"/>
                  <w:vAlign w:val="center"/>
                </w:tcPr>
                <w:p w14:paraId="27767071">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粉碎</w:t>
                  </w:r>
                  <w:r>
                    <w:rPr>
                      <w:rFonts w:hint="eastAsia" w:cs="Times New Roman"/>
                      <w:color w:val="auto"/>
                      <w:kern w:val="2"/>
                      <w:sz w:val="21"/>
                      <w:szCs w:val="21"/>
                      <w:highlight w:val="none"/>
                      <w:lang w:val="en-US" w:eastAsia="zh-CN" w:bidi="ar-SA"/>
                    </w:rPr>
                    <w:t>、包装</w:t>
                  </w:r>
                </w:p>
              </w:tc>
              <w:tc>
                <w:tcPr>
                  <w:tcW w:w="1791" w:type="dxa"/>
                  <w:tcBorders>
                    <w:tl2br w:val="nil"/>
                    <w:tr2bl w:val="nil"/>
                  </w:tcBorders>
                  <w:noWrap w:val="0"/>
                  <w:vAlign w:val="center"/>
                </w:tcPr>
                <w:p w14:paraId="2E7771A2">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颗粒物</w:t>
                  </w:r>
                </w:p>
              </w:tc>
              <w:tc>
                <w:tcPr>
                  <w:tcW w:w="636" w:type="dxa"/>
                  <w:tcBorders>
                    <w:tl2br w:val="nil"/>
                    <w:tr2bl w:val="nil"/>
                  </w:tcBorders>
                  <w:noWrap w:val="0"/>
                  <w:vAlign w:val="center"/>
                </w:tcPr>
                <w:p w14:paraId="545C85F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间断</w:t>
                  </w:r>
                </w:p>
              </w:tc>
              <w:tc>
                <w:tcPr>
                  <w:tcW w:w="1089" w:type="dxa"/>
                  <w:vMerge w:val="continue"/>
                  <w:tcBorders>
                    <w:tl2br w:val="nil"/>
                    <w:tr2bl w:val="nil"/>
                  </w:tcBorders>
                  <w:noWrap w:val="0"/>
                  <w:vAlign w:val="center"/>
                </w:tcPr>
                <w:p w14:paraId="2BCB1E2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rPr>
                  </w:pPr>
                </w:p>
              </w:tc>
              <w:tc>
                <w:tcPr>
                  <w:tcW w:w="990" w:type="dxa"/>
                  <w:vMerge w:val="continue"/>
                  <w:tcBorders>
                    <w:tl2br w:val="nil"/>
                    <w:tr2bl w:val="nil"/>
                  </w:tcBorders>
                  <w:noWrap w:val="0"/>
                  <w:vAlign w:val="center"/>
                </w:tcPr>
                <w:p w14:paraId="051539A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rPr>
                  </w:pPr>
                </w:p>
              </w:tc>
              <w:tc>
                <w:tcPr>
                  <w:tcW w:w="799" w:type="dxa"/>
                  <w:vMerge w:val="continue"/>
                  <w:tcBorders>
                    <w:tl2br w:val="nil"/>
                    <w:tr2bl w:val="nil"/>
                  </w:tcBorders>
                  <w:noWrap w:val="0"/>
                  <w:vAlign w:val="center"/>
                </w:tcPr>
                <w:p w14:paraId="23DEAD5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14146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25F9329B">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10220811">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G</w:t>
                  </w:r>
                  <w:r>
                    <w:rPr>
                      <w:rFonts w:hint="eastAsia" w:ascii="Times New Roman" w:cs="Times New Roman"/>
                      <w:color w:val="auto"/>
                      <w:sz w:val="21"/>
                      <w:szCs w:val="21"/>
                      <w:highlight w:val="none"/>
                      <w:vertAlign w:val="baseline"/>
                      <w:lang w:val="en-US" w:eastAsia="zh-CN" w:bidi="ar-SA"/>
                    </w:rPr>
                    <w:t>2</w:t>
                  </w:r>
                </w:p>
              </w:tc>
              <w:tc>
                <w:tcPr>
                  <w:tcW w:w="1329" w:type="dxa"/>
                  <w:tcBorders>
                    <w:tl2br w:val="nil"/>
                    <w:tr2bl w:val="nil"/>
                  </w:tcBorders>
                  <w:noWrap w:val="0"/>
                  <w:vAlign w:val="center"/>
                </w:tcPr>
                <w:p w14:paraId="7482580F">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喷雾干燥</w:t>
                  </w:r>
                </w:p>
              </w:tc>
              <w:tc>
                <w:tcPr>
                  <w:tcW w:w="1791" w:type="dxa"/>
                  <w:tcBorders>
                    <w:tl2br w:val="nil"/>
                    <w:tr2bl w:val="nil"/>
                  </w:tcBorders>
                  <w:noWrap w:val="0"/>
                  <w:vAlign w:val="center"/>
                </w:tcPr>
                <w:p w14:paraId="69F1E747">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cs="Times New Roman"/>
                      <w:color w:val="auto"/>
                      <w:sz w:val="21"/>
                      <w:szCs w:val="21"/>
                      <w:highlight w:val="none"/>
                      <w:lang w:val="en-US" w:eastAsia="zh-CN"/>
                    </w:rPr>
                    <w:t>颗粒物</w:t>
                  </w:r>
                </w:p>
              </w:tc>
              <w:tc>
                <w:tcPr>
                  <w:tcW w:w="636" w:type="dxa"/>
                  <w:tcBorders>
                    <w:tl2br w:val="nil"/>
                    <w:tr2bl w:val="nil"/>
                  </w:tcBorders>
                  <w:noWrap w:val="0"/>
                  <w:vAlign w:val="center"/>
                </w:tcPr>
                <w:p w14:paraId="3F711C5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间断</w:t>
                  </w:r>
                </w:p>
              </w:tc>
              <w:tc>
                <w:tcPr>
                  <w:tcW w:w="1089" w:type="dxa"/>
                  <w:tcBorders>
                    <w:tl2br w:val="nil"/>
                    <w:tr2bl w:val="nil"/>
                  </w:tcBorders>
                  <w:noWrap w:val="0"/>
                  <w:vAlign w:val="center"/>
                </w:tcPr>
                <w:p w14:paraId="6B19930F">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rPr>
                  </w:pPr>
                  <w:r>
                    <w:rPr>
                      <w:rFonts w:hint="eastAsia" w:cs="Times New Roman"/>
                      <w:color w:val="auto"/>
                      <w:sz w:val="21"/>
                      <w:szCs w:val="21"/>
                      <w:highlight w:val="none"/>
                      <w:lang w:val="en-US" w:eastAsia="zh-CN"/>
                    </w:rPr>
                    <w:t>密闭管道+水洗塔+酸洗塔</w:t>
                  </w:r>
                </w:p>
              </w:tc>
              <w:tc>
                <w:tcPr>
                  <w:tcW w:w="990" w:type="dxa"/>
                  <w:vMerge w:val="continue"/>
                  <w:tcBorders>
                    <w:tl2br w:val="nil"/>
                    <w:tr2bl w:val="nil"/>
                  </w:tcBorders>
                  <w:noWrap w:val="0"/>
                  <w:vAlign w:val="center"/>
                </w:tcPr>
                <w:p w14:paraId="2AF1B32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rPr>
                  </w:pPr>
                </w:p>
              </w:tc>
              <w:tc>
                <w:tcPr>
                  <w:tcW w:w="799" w:type="dxa"/>
                  <w:vMerge w:val="continue"/>
                  <w:tcBorders>
                    <w:tl2br w:val="nil"/>
                    <w:tr2bl w:val="nil"/>
                  </w:tcBorders>
                  <w:noWrap w:val="0"/>
                  <w:vAlign w:val="center"/>
                </w:tcPr>
                <w:p w14:paraId="4684937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24FD4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13AA097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20137F0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cs="Times New Roman"/>
                      <w:color w:val="auto"/>
                      <w:kern w:val="2"/>
                      <w:sz w:val="21"/>
                      <w:szCs w:val="21"/>
                      <w:highlight w:val="none"/>
                      <w:vertAlign w:val="baseline"/>
                      <w:lang w:val="en-US" w:eastAsia="zh-CN" w:bidi="ar-SA"/>
                    </w:rPr>
                    <w:t>G4</w:t>
                  </w:r>
                </w:p>
              </w:tc>
              <w:tc>
                <w:tcPr>
                  <w:tcW w:w="1329" w:type="dxa"/>
                  <w:tcBorders>
                    <w:tl2br w:val="nil"/>
                    <w:tr2bl w:val="nil"/>
                  </w:tcBorders>
                  <w:noWrap w:val="0"/>
                  <w:vAlign w:val="center"/>
                </w:tcPr>
                <w:p w14:paraId="3AECC907">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污水站废气</w:t>
                  </w:r>
                </w:p>
              </w:tc>
              <w:tc>
                <w:tcPr>
                  <w:tcW w:w="1791" w:type="dxa"/>
                  <w:tcBorders>
                    <w:tl2br w:val="nil"/>
                    <w:tr2bl w:val="nil"/>
                  </w:tcBorders>
                  <w:noWrap w:val="0"/>
                  <w:vAlign w:val="center"/>
                </w:tcPr>
                <w:p w14:paraId="2DD3526E">
                  <w:pPr>
                    <w:keepNext w:val="0"/>
                    <w:keepLines w:val="0"/>
                    <w:pageBreakBefore w:val="0"/>
                    <w:widowControl w:val="0"/>
                    <w:suppressLineNumbers w:val="0"/>
                    <w:kinsoku/>
                    <w:wordWrap/>
                    <w:overflowPunct/>
                    <w:topLinePunct w:val="0"/>
                    <w:autoSpaceDE/>
                    <w:autoSpaceDN/>
                    <w:bidi w:val="0"/>
                    <w:spacing w:beforeAutospacing="0" w:after="0" w:afterAutospacing="0" w:line="240" w:lineRule="auto"/>
                    <w:ind w:left="0" w:leftChars="0" w:right="0" w:rightChars="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氨、硫化氢、臭气浓度</w:t>
                  </w:r>
                </w:p>
              </w:tc>
              <w:tc>
                <w:tcPr>
                  <w:tcW w:w="636" w:type="dxa"/>
                  <w:tcBorders>
                    <w:tl2br w:val="nil"/>
                    <w:tr2bl w:val="nil"/>
                  </w:tcBorders>
                  <w:noWrap w:val="0"/>
                  <w:vAlign w:val="center"/>
                </w:tcPr>
                <w:p w14:paraId="65FB9F60">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连续</w:t>
                  </w:r>
                </w:p>
              </w:tc>
              <w:tc>
                <w:tcPr>
                  <w:tcW w:w="2079" w:type="dxa"/>
                  <w:gridSpan w:val="2"/>
                  <w:tcBorders>
                    <w:tl2br w:val="nil"/>
                    <w:tr2bl w:val="nil"/>
                  </w:tcBorders>
                  <w:noWrap w:val="0"/>
                  <w:vAlign w:val="center"/>
                </w:tcPr>
                <w:p w14:paraId="471AE1C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经水吸收+恒温多级生物滤池装置+1根15m排气筒（DA010）</w:t>
                  </w:r>
                </w:p>
              </w:tc>
              <w:tc>
                <w:tcPr>
                  <w:tcW w:w="799" w:type="dxa"/>
                  <w:vMerge w:val="continue"/>
                  <w:tcBorders>
                    <w:tl2br w:val="nil"/>
                    <w:tr2bl w:val="nil"/>
                  </w:tcBorders>
                  <w:noWrap w:val="0"/>
                  <w:vAlign w:val="center"/>
                </w:tcPr>
                <w:p w14:paraId="6A04088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08B1A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restart"/>
                  <w:tcBorders>
                    <w:tl2br w:val="nil"/>
                    <w:tr2bl w:val="nil"/>
                  </w:tcBorders>
                  <w:noWrap w:val="0"/>
                  <w:vAlign w:val="center"/>
                </w:tcPr>
                <w:p w14:paraId="4C1176A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废水</w:t>
                  </w:r>
                </w:p>
              </w:tc>
              <w:tc>
                <w:tcPr>
                  <w:tcW w:w="645" w:type="dxa"/>
                  <w:tcBorders>
                    <w:tl2br w:val="nil"/>
                    <w:tr2bl w:val="nil"/>
                  </w:tcBorders>
                  <w:noWrap w:val="0"/>
                  <w:vAlign w:val="center"/>
                </w:tcPr>
                <w:p w14:paraId="778DF900">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W1</w:t>
                  </w:r>
                </w:p>
              </w:tc>
              <w:tc>
                <w:tcPr>
                  <w:tcW w:w="1329" w:type="dxa"/>
                  <w:tcBorders>
                    <w:tl2br w:val="nil"/>
                    <w:tr2bl w:val="nil"/>
                  </w:tcBorders>
                  <w:noWrap w:val="0"/>
                  <w:vAlign w:val="center"/>
                </w:tcPr>
                <w:p w14:paraId="174796C3">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水洗塔废</w:t>
                  </w:r>
                  <w:r>
                    <w:rPr>
                      <w:rFonts w:hint="default" w:ascii="Times New Roman" w:hAnsi="Times New Roman" w:eastAsia="宋体" w:cs="Times New Roman"/>
                      <w:b w:val="0"/>
                      <w:bCs w:val="0"/>
                      <w:color w:val="auto"/>
                      <w:sz w:val="21"/>
                      <w:szCs w:val="21"/>
                      <w:highlight w:val="none"/>
                      <w:lang w:val="en-US" w:eastAsia="zh-CN" w:bidi="ar-SA"/>
                    </w:rPr>
                    <w:t>水</w:t>
                  </w:r>
                </w:p>
              </w:tc>
              <w:tc>
                <w:tcPr>
                  <w:tcW w:w="1791" w:type="dxa"/>
                  <w:tcBorders>
                    <w:tl2br w:val="nil"/>
                    <w:tr2bl w:val="nil"/>
                  </w:tcBorders>
                  <w:noWrap w:val="0"/>
                  <w:vAlign w:val="center"/>
                </w:tcPr>
                <w:p w14:paraId="4F1F40D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rPr>
                    <w:t>pH、COD、SS、氨氮、BOD</w:t>
                  </w:r>
                  <w:r>
                    <w:rPr>
                      <w:rFonts w:hint="default" w:ascii="Times New Roman" w:hAnsi="Times New Roman" w:eastAsia="宋体" w:cs="Times New Roman"/>
                      <w:color w:val="auto"/>
                      <w:kern w:val="2"/>
                      <w:sz w:val="21"/>
                      <w:szCs w:val="21"/>
                      <w:highlight w:val="none"/>
                      <w:vertAlign w:val="subscript"/>
                    </w:rPr>
                    <w:t>5</w:t>
                  </w:r>
                </w:p>
              </w:tc>
              <w:tc>
                <w:tcPr>
                  <w:tcW w:w="636" w:type="dxa"/>
                  <w:tcBorders>
                    <w:tl2br w:val="nil"/>
                    <w:tr2bl w:val="nil"/>
                  </w:tcBorders>
                  <w:noWrap w:val="0"/>
                  <w:vAlign w:val="center"/>
                </w:tcPr>
                <w:p w14:paraId="2F5F8991">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间断</w:t>
                  </w:r>
                </w:p>
              </w:tc>
              <w:tc>
                <w:tcPr>
                  <w:tcW w:w="2079" w:type="dxa"/>
                  <w:gridSpan w:val="2"/>
                  <w:vMerge w:val="restart"/>
                  <w:tcBorders>
                    <w:tl2br w:val="nil"/>
                    <w:tr2bl w:val="nil"/>
                  </w:tcBorders>
                  <w:noWrap w:val="0"/>
                  <w:vAlign w:val="center"/>
                </w:tcPr>
                <w:p w14:paraId="1BEB98F6">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排入厂</w:t>
                  </w:r>
                  <w:r>
                    <w:rPr>
                      <w:rFonts w:hint="eastAsia" w:cs="Times New Roman"/>
                      <w:color w:val="auto"/>
                      <w:sz w:val="21"/>
                      <w:szCs w:val="21"/>
                      <w:highlight w:val="none"/>
                      <w:lang w:val="en-US" w:eastAsia="zh-CN" w:bidi="ar-SA"/>
                    </w:rPr>
                    <w:t>综合</w:t>
                  </w:r>
                  <w:r>
                    <w:rPr>
                      <w:rFonts w:hint="eastAsia" w:eastAsia="宋体" w:cs="Times New Roman"/>
                      <w:color w:val="auto"/>
                      <w:sz w:val="21"/>
                      <w:szCs w:val="21"/>
                      <w:highlight w:val="none"/>
                      <w:lang w:val="en-US" w:eastAsia="zh-CN" w:bidi="ar-SA"/>
                    </w:rPr>
                    <w:t>污水处理</w:t>
                  </w:r>
                  <w:r>
                    <w:rPr>
                      <w:rFonts w:hint="eastAsia" w:cs="Times New Roman"/>
                      <w:color w:val="auto"/>
                      <w:sz w:val="21"/>
                      <w:szCs w:val="21"/>
                      <w:highlight w:val="none"/>
                      <w:lang w:val="en-US" w:eastAsia="zh-CN" w:bidi="ar-SA"/>
                    </w:rPr>
                    <w:t>站</w:t>
                  </w:r>
                  <w:r>
                    <w:rPr>
                      <w:rFonts w:hint="default" w:ascii="Times New Roman" w:hAnsi="Times New Roman" w:eastAsia="宋体" w:cs="Times New Roman"/>
                      <w:color w:val="auto"/>
                      <w:sz w:val="21"/>
                      <w:szCs w:val="21"/>
                      <w:highlight w:val="none"/>
                      <w:lang w:val="en-US" w:eastAsia="zh-CN" w:bidi="ar-SA"/>
                    </w:rPr>
                    <w:t>处理</w:t>
                  </w:r>
                </w:p>
              </w:tc>
              <w:tc>
                <w:tcPr>
                  <w:tcW w:w="799" w:type="dxa"/>
                  <w:vMerge w:val="restart"/>
                  <w:tcBorders>
                    <w:tl2br w:val="nil"/>
                    <w:tr2bl w:val="nil"/>
                  </w:tcBorders>
                  <w:noWrap w:val="0"/>
                  <w:vAlign w:val="center"/>
                </w:tcPr>
                <w:p w14:paraId="2B019B4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eastAsia="zh-CN"/>
                    </w:rPr>
                    <w:t>最终</w:t>
                  </w:r>
                  <w:r>
                    <w:rPr>
                      <w:rFonts w:hint="default" w:ascii="Times New Roman" w:hAnsi="Times New Roman" w:eastAsia="宋体" w:cs="Times New Roman"/>
                      <w:color w:val="auto"/>
                      <w:spacing w:val="0"/>
                      <w:w w:val="100"/>
                      <w:position w:val="0"/>
                      <w:sz w:val="21"/>
                      <w:szCs w:val="21"/>
                      <w:highlight w:val="none"/>
                    </w:rPr>
                    <w:t>排入</w:t>
                  </w:r>
                  <w:r>
                    <w:rPr>
                      <w:rFonts w:hint="eastAsia" w:cs="Times New Roman"/>
                      <w:color w:val="auto"/>
                      <w:spacing w:val="0"/>
                      <w:w w:val="100"/>
                      <w:position w:val="0"/>
                      <w:sz w:val="21"/>
                      <w:szCs w:val="21"/>
                      <w:highlight w:val="none"/>
                      <w:lang w:eastAsia="zh-CN"/>
                    </w:rPr>
                    <w:t>石家庄高新区循化环境水务有限公司（良村南污水处理厂）</w:t>
                  </w:r>
                </w:p>
              </w:tc>
            </w:tr>
            <w:tr w14:paraId="3165A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31F4D4FC">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43B1AE2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W2</w:t>
                  </w:r>
                </w:p>
              </w:tc>
              <w:tc>
                <w:tcPr>
                  <w:tcW w:w="1329" w:type="dxa"/>
                  <w:tcBorders>
                    <w:tl2br w:val="nil"/>
                    <w:tr2bl w:val="nil"/>
                  </w:tcBorders>
                  <w:noWrap w:val="0"/>
                  <w:vAlign w:val="center"/>
                </w:tcPr>
                <w:p w14:paraId="12B7CD63">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酸洗塔废水</w:t>
                  </w:r>
                </w:p>
              </w:tc>
              <w:tc>
                <w:tcPr>
                  <w:tcW w:w="1791" w:type="dxa"/>
                  <w:tcBorders>
                    <w:tl2br w:val="nil"/>
                    <w:tr2bl w:val="nil"/>
                  </w:tcBorders>
                  <w:noWrap w:val="0"/>
                  <w:vAlign w:val="center"/>
                </w:tcPr>
                <w:p w14:paraId="1E98D991">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default" w:ascii="Times New Roman" w:hAnsi="Times New Roman" w:eastAsia="宋体" w:cs="Times New Roman"/>
                      <w:color w:val="auto"/>
                      <w:kern w:val="2"/>
                      <w:sz w:val="21"/>
                      <w:szCs w:val="21"/>
                      <w:highlight w:val="none"/>
                    </w:rPr>
                    <w:t>pH、COD、SS、氨氮、BOD</w:t>
                  </w:r>
                  <w:r>
                    <w:rPr>
                      <w:rFonts w:hint="default" w:ascii="Times New Roman" w:hAnsi="Times New Roman" w:eastAsia="宋体" w:cs="Times New Roman"/>
                      <w:color w:val="auto"/>
                      <w:kern w:val="2"/>
                      <w:sz w:val="21"/>
                      <w:szCs w:val="21"/>
                      <w:highlight w:val="none"/>
                      <w:vertAlign w:val="subscript"/>
                    </w:rPr>
                    <w:t>5</w:t>
                  </w:r>
                </w:p>
              </w:tc>
              <w:tc>
                <w:tcPr>
                  <w:tcW w:w="636" w:type="dxa"/>
                  <w:tcBorders>
                    <w:tl2br w:val="nil"/>
                    <w:tr2bl w:val="nil"/>
                  </w:tcBorders>
                  <w:noWrap w:val="0"/>
                  <w:vAlign w:val="center"/>
                </w:tcPr>
                <w:p w14:paraId="49D960B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37417798">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c>
                <w:tcPr>
                  <w:tcW w:w="799" w:type="dxa"/>
                  <w:vMerge w:val="continue"/>
                  <w:tcBorders>
                    <w:tl2br w:val="nil"/>
                    <w:tr2bl w:val="nil"/>
                  </w:tcBorders>
                  <w:noWrap w:val="0"/>
                  <w:vAlign w:val="center"/>
                </w:tcPr>
                <w:p w14:paraId="3F05273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3A7E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55396AC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6D5DF62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W3</w:t>
                  </w:r>
                </w:p>
              </w:tc>
              <w:tc>
                <w:tcPr>
                  <w:tcW w:w="1329" w:type="dxa"/>
                  <w:tcBorders>
                    <w:tl2br w:val="nil"/>
                    <w:tr2bl w:val="nil"/>
                  </w:tcBorders>
                  <w:noWrap w:val="0"/>
                  <w:vAlign w:val="center"/>
                </w:tcPr>
                <w:p w14:paraId="5276164F">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软水制备废水</w:t>
                  </w:r>
                </w:p>
              </w:tc>
              <w:tc>
                <w:tcPr>
                  <w:tcW w:w="1791" w:type="dxa"/>
                  <w:tcBorders>
                    <w:tl2br w:val="nil"/>
                    <w:tr2bl w:val="nil"/>
                  </w:tcBorders>
                  <w:noWrap w:val="0"/>
                  <w:vAlign w:val="center"/>
                </w:tcPr>
                <w:p w14:paraId="28601958">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kern w:val="2"/>
                      <w:sz w:val="21"/>
                      <w:szCs w:val="21"/>
                      <w:highlight w:val="none"/>
                      <w:lang w:val="en-US" w:eastAsia="zh-CN"/>
                    </w:rPr>
                  </w:pPr>
                  <w:r>
                    <w:rPr>
                      <w:rFonts w:hint="default" w:ascii="Times New Roman" w:hAnsi="Times New Roman" w:eastAsia="宋体" w:cs="Times New Roman"/>
                      <w:color w:val="auto"/>
                      <w:kern w:val="2"/>
                      <w:sz w:val="21"/>
                      <w:szCs w:val="21"/>
                      <w:highlight w:val="none"/>
                    </w:rPr>
                    <w:t>COD、</w:t>
                  </w:r>
                  <w:r>
                    <w:rPr>
                      <w:rFonts w:hint="eastAsia" w:ascii="Times New Roman" w:hAnsi="Times New Roman" w:cs="Times New Roman"/>
                      <w:color w:val="auto"/>
                      <w:kern w:val="2"/>
                      <w:sz w:val="21"/>
                      <w:szCs w:val="21"/>
                      <w:highlight w:val="none"/>
                      <w:lang w:val="en-US" w:eastAsia="zh-CN"/>
                    </w:rPr>
                    <w:t>SS</w:t>
                  </w:r>
                </w:p>
              </w:tc>
              <w:tc>
                <w:tcPr>
                  <w:tcW w:w="636" w:type="dxa"/>
                  <w:tcBorders>
                    <w:tl2br w:val="nil"/>
                    <w:tr2bl w:val="nil"/>
                  </w:tcBorders>
                  <w:noWrap w:val="0"/>
                  <w:vAlign w:val="center"/>
                </w:tcPr>
                <w:p w14:paraId="6BD0AEC8">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eastAsia"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083191D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c>
                <w:tcPr>
                  <w:tcW w:w="799" w:type="dxa"/>
                  <w:vMerge w:val="continue"/>
                  <w:tcBorders>
                    <w:tl2br w:val="nil"/>
                    <w:tr2bl w:val="nil"/>
                  </w:tcBorders>
                  <w:noWrap w:val="0"/>
                  <w:vAlign w:val="center"/>
                </w:tcPr>
                <w:p w14:paraId="60DD57F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2A0D73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6826A9A0">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762892B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W4</w:t>
                  </w:r>
                </w:p>
              </w:tc>
              <w:tc>
                <w:tcPr>
                  <w:tcW w:w="1329" w:type="dxa"/>
                  <w:tcBorders>
                    <w:tl2br w:val="nil"/>
                    <w:tr2bl w:val="nil"/>
                  </w:tcBorders>
                  <w:noWrap w:val="0"/>
                  <w:vAlign w:val="center"/>
                </w:tcPr>
                <w:p w14:paraId="709F7B7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b w:val="0"/>
                      <w:bCs w:val="0"/>
                      <w:color w:val="auto"/>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循环冷却水系统废水</w:t>
                  </w:r>
                </w:p>
              </w:tc>
              <w:tc>
                <w:tcPr>
                  <w:tcW w:w="1791" w:type="dxa"/>
                  <w:tcBorders>
                    <w:tl2br w:val="nil"/>
                    <w:tr2bl w:val="nil"/>
                  </w:tcBorders>
                  <w:noWrap w:val="0"/>
                  <w:vAlign w:val="center"/>
                </w:tcPr>
                <w:p w14:paraId="19F404A9">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kern w:val="2"/>
                      <w:sz w:val="21"/>
                      <w:szCs w:val="21"/>
                      <w:highlight w:val="none"/>
                    </w:rPr>
                  </w:pPr>
                  <w:r>
                    <w:rPr>
                      <w:rFonts w:hint="default" w:ascii="Times New Roman" w:hAnsi="Times New Roman" w:eastAsia="宋体" w:cs="Times New Roman"/>
                      <w:color w:val="auto"/>
                      <w:kern w:val="2"/>
                      <w:sz w:val="21"/>
                      <w:szCs w:val="21"/>
                      <w:highlight w:val="none"/>
                    </w:rPr>
                    <w:t>COD、SS</w:t>
                  </w:r>
                </w:p>
              </w:tc>
              <w:tc>
                <w:tcPr>
                  <w:tcW w:w="636" w:type="dxa"/>
                  <w:tcBorders>
                    <w:tl2br w:val="nil"/>
                    <w:tr2bl w:val="nil"/>
                  </w:tcBorders>
                  <w:noWrap w:val="0"/>
                  <w:vAlign w:val="center"/>
                </w:tcPr>
                <w:p w14:paraId="7A6FC5B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eastAsia" w:ascii="Times New Roman"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7F77B662">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c>
                <w:tcPr>
                  <w:tcW w:w="799" w:type="dxa"/>
                  <w:vMerge w:val="continue"/>
                  <w:tcBorders>
                    <w:tl2br w:val="nil"/>
                    <w:tr2bl w:val="nil"/>
                  </w:tcBorders>
                  <w:noWrap w:val="0"/>
                  <w:vAlign w:val="center"/>
                </w:tcPr>
                <w:p w14:paraId="3594BA2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536C3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655108B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733383C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W5</w:t>
                  </w:r>
                </w:p>
              </w:tc>
              <w:tc>
                <w:tcPr>
                  <w:tcW w:w="1329" w:type="dxa"/>
                  <w:tcBorders>
                    <w:tl2br w:val="nil"/>
                    <w:tr2bl w:val="nil"/>
                  </w:tcBorders>
                  <w:noWrap w:val="0"/>
                  <w:vAlign w:val="center"/>
                </w:tcPr>
                <w:p w14:paraId="7279E0F3">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设备冲洗废水</w:t>
                  </w:r>
                </w:p>
              </w:tc>
              <w:tc>
                <w:tcPr>
                  <w:tcW w:w="1791" w:type="dxa"/>
                  <w:tcBorders>
                    <w:tl2br w:val="nil"/>
                    <w:tr2bl w:val="nil"/>
                  </w:tcBorders>
                  <w:noWrap w:val="0"/>
                  <w:vAlign w:val="center"/>
                </w:tcPr>
                <w:p w14:paraId="3711049B">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rPr>
                    <w:t>pH、COD、SS、氨氮、BOD</w:t>
                  </w:r>
                  <w:r>
                    <w:rPr>
                      <w:rFonts w:hint="default" w:ascii="Times New Roman" w:hAnsi="Times New Roman" w:eastAsia="宋体" w:cs="Times New Roman"/>
                      <w:color w:val="auto"/>
                      <w:kern w:val="2"/>
                      <w:sz w:val="21"/>
                      <w:szCs w:val="21"/>
                      <w:highlight w:val="none"/>
                      <w:vertAlign w:val="subscript"/>
                    </w:rPr>
                    <w:t>5</w:t>
                  </w:r>
                </w:p>
              </w:tc>
              <w:tc>
                <w:tcPr>
                  <w:tcW w:w="636" w:type="dxa"/>
                  <w:tcBorders>
                    <w:tl2br w:val="nil"/>
                    <w:tr2bl w:val="nil"/>
                  </w:tcBorders>
                  <w:noWrap w:val="0"/>
                  <w:vAlign w:val="center"/>
                </w:tcPr>
                <w:p w14:paraId="74D9F85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337164C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c>
                <w:tcPr>
                  <w:tcW w:w="799" w:type="dxa"/>
                  <w:vMerge w:val="continue"/>
                  <w:tcBorders>
                    <w:tl2br w:val="nil"/>
                    <w:tr2bl w:val="nil"/>
                  </w:tcBorders>
                  <w:noWrap w:val="0"/>
                  <w:vAlign w:val="center"/>
                </w:tcPr>
                <w:p w14:paraId="2BC6EEE1">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5291F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001DAE8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62E768D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W6</w:t>
                  </w:r>
                </w:p>
              </w:tc>
              <w:tc>
                <w:tcPr>
                  <w:tcW w:w="1329" w:type="dxa"/>
                  <w:tcBorders>
                    <w:tl2br w:val="nil"/>
                    <w:tr2bl w:val="nil"/>
                  </w:tcBorders>
                  <w:noWrap w:val="0"/>
                  <w:vAlign w:val="center"/>
                </w:tcPr>
                <w:p w14:paraId="5F63893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车间地面冲洗废水</w:t>
                  </w:r>
                </w:p>
              </w:tc>
              <w:tc>
                <w:tcPr>
                  <w:tcW w:w="1791" w:type="dxa"/>
                  <w:tcBorders>
                    <w:tl2br w:val="nil"/>
                    <w:tr2bl w:val="nil"/>
                  </w:tcBorders>
                  <w:noWrap w:val="0"/>
                  <w:vAlign w:val="center"/>
                </w:tcPr>
                <w:p w14:paraId="6FCB0719">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rPr>
                    <w:t>pH、COD、SS、氨氮、BOD</w:t>
                  </w:r>
                  <w:r>
                    <w:rPr>
                      <w:rFonts w:hint="default" w:ascii="Times New Roman" w:hAnsi="Times New Roman" w:eastAsia="宋体" w:cs="Times New Roman"/>
                      <w:color w:val="auto"/>
                      <w:kern w:val="2"/>
                      <w:sz w:val="21"/>
                      <w:szCs w:val="21"/>
                      <w:highlight w:val="none"/>
                      <w:vertAlign w:val="subscript"/>
                    </w:rPr>
                    <w:t>5</w:t>
                  </w:r>
                </w:p>
              </w:tc>
              <w:tc>
                <w:tcPr>
                  <w:tcW w:w="636" w:type="dxa"/>
                  <w:tcBorders>
                    <w:tl2br w:val="nil"/>
                    <w:tr2bl w:val="nil"/>
                  </w:tcBorders>
                  <w:noWrap w:val="0"/>
                  <w:vAlign w:val="center"/>
                </w:tcPr>
                <w:p w14:paraId="57CB8C78">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2F0764A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c>
                <w:tcPr>
                  <w:tcW w:w="799" w:type="dxa"/>
                  <w:vMerge w:val="continue"/>
                  <w:tcBorders>
                    <w:tl2br w:val="nil"/>
                    <w:tr2bl w:val="nil"/>
                  </w:tcBorders>
                  <w:noWrap w:val="0"/>
                  <w:vAlign w:val="center"/>
                </w:tcPr>
                <w:p w14:paraId="31005B6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4371A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15B65A19">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5B3116A1">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W7</w:t>
                  </w:r>
                </w:p>
              </w:tc>
              <w:tc>
                <w:tcPr>
                  <w:tcW w:w="1329" w:type="dxa"/>
                  <w:tcBorders>
                    <w:tl2br w:val="nil"/>
                    <w:tr2bl w:val="nil"/>
                  </w:tcBorders>
                  <w:noWrap w:val="0"/>
                  <w:vAlign w:val="center"/>
                </w:tcPr>
                <w:p w14:paraId="6735915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cs="Times New Roman"/>
                      <w:b w:val="0"/>
                      <w:bCs w:val="0"/>
                      <w:color w:val="auto"/>
                      <w:sz w:val="21"/>
                      <w:szCs w:val="21"/>
                      <w:highlight w:val="none"/>
                      <w:lang w:val="en-US" w:eastAsia="zh-CN" w:bidi="ar-SA"/>
                    </w:rPr>
                    <w:t>生活污水</w:t>
                  </w:r>
                </w:p>
              </w:tc>
              <w:tc>
                <w:tcPr>
                  <w:tcW w:w="1791" w:type="dxa"/>
                  <w:tcBorders>
                    <w:tl2br w:val="nil"/>
                    <w:tr2bl w:val="nil"/>
                  </w:tcBorders>
                  <w:noWrap w:val="0"/>
                  <w:vAlign w:val="center"/>
                </w:tcPr>
                <w:p w14:paraId="483ABD44">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rPr>
                    <w:t>pH、COD、SS、氨氮、BOD</w:t>
                  </w:r>
                  <w:r>
                    <w:rPr>
                      <w:rFonts w:hint="default" w:ascii="Times New Roman" w:hAnsi="Times New Roman" w:eastAsia="宋体" w:cs="Times New Roman"/>
                      <w:color w:val="auto"/>
                      <w:kern w:val="2"/>
                      <w:sz w:val="21"/>
                      <w:szCs w:val="21"/>
                      <w:highlight w:val="none"/>
                      <w:vertAlign w:val="subscript"/>
                    </w:rPr>
                    <w:t>5</w:t>
                  </w:r>
                </w:p>
              </w:tc>
              <w:tc>
                <w:tcPr>
                  <w:tcW w:w="636" w:type="dxa"/>
                  <w:tcBorders>
                    <w:tl2br w:val="nil"/>
                    <w:tr2bl w:val="nil"/>
                  </w:tcBorders>
                  <w:noWrap w:val="0"/>
                  <w:vAlign w:val="center"/>
                </w:tcPr>
                <w:p w14:paraId="2FDC03A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46776FF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c>
                <w:tcPr>
                  <w:tcW w:w="799" w:type="dxa"/>
                  <w:vMerge w:val="continue"/>
                  <w:tcBorders>
                    <w:tl2br w:val="nil"/>
                    <w:tr2bl w:val="nil"/>
                  </w:tcBorders>
                  <w:noWrap w:val="0"/>
                  <w:vAlign w:val="center"/>
                </w:tcPr>
                <w:p w14:paraId="5DDF5075">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0334A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tcBorders>
                    <w:tl2br w:val="nil"/>
                    <w:tr2bl w:val="nil"/>
                  </w:tcBorders>
                  <w:noWrap w:val="0"/>
                  <w:vAlign w:val="center"/>
                </w:tcPr>
                <w:p w14:paraId="487E781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snapToGrid w:val="0"/>
                      <w:color w:val="auto"/>
                      <w:kern w:val="0"/>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噪声</w:t>
                  </w:r>
                </w:p>
              </w:tc>
              <w:tc>
                <w:tcPr>
                  <w:tcW w:w="645" w:type="dxa"/>
                  <w:tcBorders>
                    <w:tl2br w:val="nil"/>
                    <w:tr2bl w:val="nil"/>
                  </w:tcBorders>
                  <w:noWrap w:val="0"/>
                  <w:vAlign w:val="center"/>
                </w:tcPr>
                <w:p w14:paraId="5EF49B2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N</w:t>
                  </w:r>
                </w:p>
              </w:tc>
              <w:tc>
                <w:tcPr>
                  <w:tcW w:w="1329" w:type="dxa"/>
                  <w:tcBorders>
                    <w:tl2br w:val="nil"/>
                    <w:tr2bl w:val="nil"/>
                  </w:tcBorders>
                  <w:noWrap w:val="0"/>
                  <w:vAlign w:val="center"/>
                </w:tcPr>
                <w:p w14:paraId="4AA9571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风机</w:t>
                  </w:r>
                  <w:r>
                    <w:rPr>
                      <w:rFonts w:hint="eastAsia" w:ascii="Times New Roman" w:hAnsi="Times New Roman" w:cs="Times New Roman"/>
                      <w:i w:val="0"/>
                      <w:iCs w:val="0"/>
                      <w:color w:val="auto"/>
                      <w:kern w:val="0"/>
                      <w:sz w:val="21"/>
                      <w:szCs w:val="21"/>
                      <w:highlight w:val="none"/>
                      <w:u w:val="none"/>
                      <w:lang w:val="en-US" w:eastAsia="zh-CN" w:bidi="ar"/>
                    </w:rPr>
                    <w:t>泵类</w:t>
                  </w:r>
                  <w:r>
                    <w:rPr>
                      <w:rFonts w:hint="default" w:ascii="Times New Roman" w:hAnsi="Times New Roman" w:eastAsia="宋体" w:cs="Times New Roman"/>
                      <w:i w:val="0"/>
                      <w:iCs w:val="0"/>
                      <w:color w:val="auto"/>
                      <w:kern w:val="0"/>
                      <w:sz w:val="21"/>
                      <w:szCs w:val="21"/>
                      <w:highlight w:val="none"/>
                      <w:u w:val="none"/>
                      <w:lang w:val="en-US" w:eastAsia="zh-CN" w:bidi="ar"/>
                    </w:rPr>
                    <w:t>等设备</w:t>
                  </w:r>
                  <w:r>
                    <w:rPr>
                      <w:rFonts w:hint="eastAsia" w:ascii="Times New Roman" w:hAnsi="Times New Roman" w:cs="Times New Roman"/>
                      <w:i w:val="0"/>
                      <w:iCs w:val="0"/>
                      <w:color w:val="auto"/>
                      <w:kern w:val="0"/>
                      <w:sz w:val="21"/>
                      <w:szCs w:val="21"/>
                      <w:highlight w:val="none"/>
                      <w:u w:val="none"/>
                      <w:lang w:val="en-US" w:eastAsia="zh-CN" w:bidi="ar"/>
                    </w:rPr>
                    <w:t>噪声</w:t>
                  </w:r>
                </w:p>
              </w:tc>
              <w:tc>
                <w:tcPr>
                  <w:tcW w:w="1791" w:type="dxa"/>
                  <w:tcBorders>
                    <w:tl2br w:val="nil"/>
                    <w:tr2bl w:val="nil"/>
                  </w:tcBorders>
                  <w:noWrap w:val="0"/>
                  <w:vAlign w:val="center"/>
                </w:tcPr>
                <w:p w14:paraId="18C82D17">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噪声</w:t>
                  </w:r>
                </w:p>
              </w:tc>
              <w:tc>
                <w:tcPr>
                  <w:tcW w:w="636" w:type="dxa"/>
                  <w:tcBorders>
                    <w:tl2br w:val="nil"/>
                    <w:tr2bl w:val="nil"/>
                  </w:tcBorders>
                  <w:noWrap w:val="0"/>
                  <w:vAlign w:val="center"/>
                </w:tcPr>
                <w:p w14:paraId="6EF7705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连续</w:t>
                  </w:r>
                </w:p>
              </w:tc>
              <w:tc>
                <w:tcPr>
                  <w:tcW w:w="2079" w:type="dxa"/>
                  <w:gridSpan w:val="2"/>
                  <w:tcBorders>
                    <w:tl2br w:val="nil"/>
                    <w:tr2bl w:val="nil"/>
                  </w:tcBorders>
                  <w:noWrap w:val="0"/>
                  <w:vAlign w:val="center"/>
                </w:tcPr>
                <w:p w14:paraId="011F2E5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采用低噪声设备、基础减振、隔声、加强设备维护、保养等措施</w:t>
                  </w:r>
                </w:p>
              </w:tc>
              <w:tc>
                <w:tcPr>
                  <w:tcW w:w="799" w:type="dxa"/>
                  <w:tcBorders>
                    <w:tl2br w:val="nil"/>
                    <w:tr2bl w:val="nil"/>
                  </w:tcBorders>
                  <w:noWrap w:val="0"/>
                  <w:vAlign w:val="center"/>
                </w:tcPr>
                <w:p w14:paraId="679CC87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bidi="ar-SA"/>
                    </w:rPr>
                    <w:t>外环境</w:t>
                  </w:r>
                </w:p>
              </w:tc>
            </w:tr>
            <w:tr w14:paraId="7DA47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645" w:type="dxa"/>
                  <w:vMerge w:val="restart"/>
                  <w:tcBorders>
                    <w:tl2br w:val="nil"/>
                    <w:tr2bl w:val="nil"/>
                  </w:tcBorders>
                  <w:noWrap w:val="0"/>
                  <w:vAlign w:val="center"/>
                </w:tcPr>
                <w:p w14:paraId="6DA0AFD0">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default" w:ascii="Times New Roman" w:hAnsi="Times New Roman" w:eastAsia="宋体" w:cs="Times New Roman"/>
                      <w:color w:val="auto"/>
                      <w:sz w:val="21"/>
                      <w:szCs w:val="21"/>
                      <w:highlight w:val="none"/>
                      <w:vertAlign w:val="baseline"/>
                      <w:lang w:val="en-US" w:eastAsia="zh-CN" w:bidi="ar-SA"/>
                    </w:rPr>
                    <w:t>固废</w:t>
                  </w:r>
                </w:p>
              </w:tc>
              <w:tc>
                <w:tcPr>
                  <w:tcW w:w="645" w:type="dxa"/>
                  <w:tcBorders>
                    <w:tl2br w:val="nil"/>
                    <w:tr2bl w:val="nil"/>
                  </w:tcBorders>
                  <w:noWrap w:val="0"/>
                  <w:vAlign w:val="center"/>
                </w:tcPr>
                <w:p w14:paraId="49494BF2">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eastAsia="宋体" w:cs="Times New Roman"/>
                      <w:color w:val="auto"/>
                      <w:sz w:val="21"/>
                      <w:szCs w:val="21"/>
                      <w:highlight w:val="none"/>
                      <w:vertAlign w:val="baseline"/>
                      <w:lang w:val="en-US" w:eastAsia="zh-CN" w:bidi="ar-SA"/>
                    </w:rPr>
                    <w:t>S1</w:t>
                  </w:r>
                </w:p>
              </w:tc>
              <w:tc>
                <w:tcPr>
                  <w:tcW w:w="1329" w:type="dxa"/>
                  <w:tcBorders>
                    <w:tl2br w:val="nil"/>
                    <w:tr2bl w:val="nil"/>
                  </w:tcBorders>
                  <w:noWrap w:val="0"/>
                  <w:vAlign w:val="center"/>
                </w:tcPr>
                <w:p w14:paraId="4459470A">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olor w:val="auto"/>
                      <w:kern w:val="0"/>
                      <w:sz w:val="21"/>
                      <w:szCs w:val="21"/>
                      <w:highlight w:val="none"/>
                      <w:lang w:val="en-US" w:eastAsia="zh-CN" w:bidi="ar-SA"/>
                    </w:rPr>
                  </w:pPr>
                  <w:r>
                    <w:rPr>
                      <w:rFonts w:hint="eastAsia"/>
                      <w:color w:val="auto"/>
                      <w:kern w:val="0"/>
                      <w:sz w:val="21"/>
                      <w:szCs w:val="21"/>
                      <w:highlight w:val="none"/>
                      <w:lang w:val="en-US" w:eastAsia="zh-CN"/>
                    </w:rPr>
                    <w:t>反渗透装置</w:t>
                  </w:r>
                </w:p>
              </w:tc>
              <w:tc>
                <w:tcPr>
                  <w:tcW w:w="1791" w:type="dxa"/>
                  <w:tcBorders>
                    <w:tl2br w:val="nil"/>
                    <w:tr2bl w:val="nil"/>
                  </w:tcBorders>
                  <w:noWrap w:val="0"/>
                  <w:vAlign w:val="center"/>
                </w:tcPr>
                <w:p w14:paraId="393E0DC7">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olor w:val="auto"/>
                      <w:kern w:val="0"/>
                      <w:sz w:val="21"/>
                      <w:szCs w:val="21"/>
                      <w:highlight w:val="none"/>
                      <w:lang w:val="en-US" w:eastAsia="zh-CN" w:bidi="ar-SA"/>
                    </w:rPr>
                  </w:pPr>
                  <w:r>
                    <w:rPr>
                      <w:rFonts w:hint="eastAsia" w:ascii="Times New Roman" w:eastAsia="宋体"/>
                      <w:color w:val="auto"/>
                      <w:kern w:val="0"/>
                      <w:sz w:val="21"/>
                      <w:szCs w:val="21"/>
                      <w:highlight w:val="none"/>
                      <w:lang w:val="en-US" w:eastAsia="zh-CN"/>
                    </w:rPr>
                    <w:t>废</w:t>
                  </w:r>
                  <w:r>
                    <w:rPr>
                      <w:rFonts w:hint="eastAsia"/>
                      <w:color w:val="auto"/>
                      <w:kern w:val="0"/>
                      <w:sz w:val="21"/>
                      <w:szCs w:val="21"/>
                      <w:highlight w:val="none"/>
                      <w:lang w:val="en-US" w:eastAsia="zh-CN"/>
                    </w:rPr>
                    <w:t>反渗透</w:t>
                  </w:r>
                  <w:r>
                    <w:rPr>
                      <w:rFonts w:hint="eastAsia" w:ascii="Times New Roman" w:eastAsia="宋体"/>
                      <w:color w:val="auto"/>
                      <w:kern w:val="0"/>
                      <w:sz w:val="21"/>
                      <w:szCs w:val="21"/>
                      <w:highlight w:val="none"/>
                      <w:lang w:val="en-US" w:eastAsia="zh-CN"/>
                    </w:rPr>
                    <w:t>膜</w:t>
                  </w:r>
                </w:p>
              </w:tc>
              <w:tc>
                <w:tcPr>
                  <w:tcW w:w="636" w:type="dxa"/>
                  <w:tcBorders>
                    <w:tl2br w:val="nil"/>
                    <w:tr2bl w:val="nil"/>
                  </w:tcBorders>
                  <w:noWrap w:val="0"/>
                  <w:vAlign w:val="center"/>
                </w:tcPr>
                <w:p w14:paraId="282F39E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2"/>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间断</w:t>
                  </w:r>
                </w:p>
              </w:tc>
              <w:tc>
                <w:tcPr>
                  <w:tcW w:w="2079" w:type="dxa"/>
                  <w:gridSpan w:val="2"/>
                  <w:vMerge w:val="restart"/>
                  <w:tcBorders>
                    <w:tl2br w:val="nil"/>
                    <w:tr2bl w:val="nil"/>
                  </w:tcBorders>
                  <w:noWrap w:val="0"/>
                  <w:vAlign w:val="center"/>
                </w:tcPr>
                <w:p w14:paraId="20D4BA66">
                  <w:pPr>
                    <w:pStyle w:val="35"/>
                    <w:keepNext w:val="0"/>
                    <w:keepLines w:val="0"/>
                    <w:pageBreakBefore w:val="0"/>
                    <w:widowControl w:val="0"/>
                    <w:kinsoku/>
                    <w:wordWrap/>
                    <w:overflowPunct/>
                    <w:topLinePunct w:val="0"/>
                    <w:autoSpaceDE/>
                    <w:autoSpaceDN/>
                    <w:bidi w:val="0"/>
                    <w:spacing w:beforeLines="0" w:line="240" w:lineRule="auto"/>
                    <w:ind w:firstLine="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cs="Times New Roman"/>
                      <w:b w:val="0"/>
                      <w:bCs w:val="0"/>
                      <w:color w:val="auto"/>
                      <w:spacing w:val="0"/>
                      <w:w w:val="100"/>
                      <w:position w:val="0"/>
                      <w:sz w:val="21"/>
                      <w:szCs w:val="21"/>
                      <w:highlight w:val="none"/>
                      <w:lang w:val="en-US" w:eastAsia="zh-CN"/>
                    </w:rPr>
                    <w:t>一般工业固废，</w:t>
                  </w:r>
                  <w:r>
                    <w:rPr>
                      <w:rFonts w:hint="eastAsia" w:eastAsia="宋体" w:cs="Times New Roman"/>
                      <w:b w:val="0"/>
                      <w:bCs/>
                      <w:color w:val="auto"/>
                      <w:sz w:val="21"/>
                      <w:szCs w:val="21"/>
                      <w:highlight w:val="none"/>
                      <w:lang w:val="en-US" w:eastAsia="zh-CN"/>
                    </w:rPr>
                    <w:t>统一收集后外售</w:t>
                  </w:r>
                </w:p>
              </w:tc>
              <w:tc>
                <w:tcPr>
                  <w:tcW w:w="799" w:type="dxa"/>
                  <w:vMerge w:val="restart"/>
                  <w:tcBorders>
                    <w:tl2br w:val="nil"/>
                    <w:tr2bl w:val="nil"/>
                  </w:tcBorders>
                  <w:noWrap w:val="0"/>
                  <w:vAlign w:val="center"/>
                </w:tcPr>
                <w:p w14:paraId="4DD8EB4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r>
                    <w:rPr>
                      <w:rFonts w:hint="eastAsia" w:cs="Times New Roman"/>
                      <w:color w:val="auto"/>
                      <w:sz w:val="21"/>
                      <w:szCs w:val="21"/>
                      <w:highlight w:val="none"/>
                      <w:lang w:val="en-US" w:eastAsia="zh-CN" w:bidi="ar-SA"/>
                    </w:rPr>
                    <w:t>全部合理处置</w:t>
                  </w:r>
                </w:p>
              </w:tc>
            </w:tr>
            <w:tr w14:paraId="61A59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645" w:type="dxa"/>
                  <w:vMerge w:val="continue"/>
                  <w:tcBorders>
                    <w:tl2br w:val="nil"/>
                    <w:tr2bl w:val="nil"/>
                  </w:tcBorders>
                  <w:noWrap w:val="0"/>
                  <w:vAlign w:val="center"/>
                </w:tcPr>
                <w:p w14:paraId="14DCA023">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476F2D2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S2</w:t>
                  </w:r>
                </w:p>
              </w:tc>
              <w:tc>
                <w:tcPr>
                  <w:tcW w:w="1329" w:type="dxa"/>
                  <w:tcBorders>
                    <w:tl2br w:val="nil"/>
                    <w:tr2bl w:val="nil"/>
                  </w:tcBorders>
                  <w:noWrap w:val="0"/>
                  <w:vAlign w:val="center"/>
                </w:tcPr>
                <w:p w14:paraId="28C6A9E3">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eastAsia="宋体" w:cs="Times New Roman"/>
                      <w:color w:val="auto"/>
                      <w:sz w:val="21"/>
                      <w:szCs w:val="21"/>
                      <w:highlight w:val="none"/>
                      <w:lang w:eastAsia="zh-CN"/>
                    </w:rPr>
                  </w:pPr>
                  <w:r>
                    <w:rPr>
                      <w:rFonts w:hint="eastAsia" w:cs="Times New Roman"/>
                      <w:color w:val="auto"/>
                      <w:sz w:val="21"/>
                      <w:szCs w:val="21"/>
                      <w:highlight w:val="none"/>
                      <w:lang w:eastAsia="zh-CN"/>
                    </w:rPr>
                    <w:t>投料</w:t>
                  </w:r>
                </w:p>
              </w:tc>
              <w:tc>
                <w:tcPr>
                  <w:tcW w:w="1791" w:type="dxa"/>
                  <w:tcBorders>
                    <w:tl2br w:val="nil"/>
                    <w:tr2bl w:val="nil"/>
                  </w:tcBorders>
                  <w:noWrap w:val="0"/>
                  <w:vAlign w:val="center"/>
                </w:tcPr>
                <w:p w14:paraId="3FC857A1">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eastAsia="zh-CN"/>
                    </w:rPr>
                    <w:t>废包装袋</w:t>
                  </w:r>
                </w:p>
              </w:tc>
              <w:tc>
                <w:tcPr>
                  <w:tcW w:w="636" w:type="dxa"/>
                  <w:tcBorders>
                    <w:tl2br w:val="nil"/>
                    <w:tr2bl w:val="nil"/>
                  </w:tcBorders>
                  <w:noWrap w:val="0"/>
                  <w:vAlign w:val="center"/>
                </w:tcPr>
                <w:p w14:paraId="08C1382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kern w:val="0"/>
                      <w:sz w:val="21"/>
                      <w:szCs w:val="21"/>
                      <w:highlight w:val="none"/>
                      <w:vertAlign w:val="baseline"/>
                      <w:lang w:val="en-US" w:eastAsia="zh-CN" w:bidi="ar-SA"/>
                    </w:rPr>
                    <w:t>间断</w:t>
                  </w:r>
                </w:p>
              </w:tc>
              <w:tc>
                <w:tcPr>
                  <w:tcW w:w="2079" w:type="dxa"/>
                  <w:gridSpan w:val="2"/>
                  <w:vMerge w:val="continue"/>
                  <w:tcBorders>
                    <w:tl2br w:val="nil"/>
                    <w:tr2bl w:val="nil"/>
                  </w:tcBorders>
                  <w:noWrap w:val="0"/>
                  <w:vAlign w:val="center"/>
                </w:tcPr>
                <w:p w14:paraId="4291CD43">
                  <w:pPr>
                    <w:pStyle w:val="35"/>
                    <w:keepNext w:val="0"/>
                    <w:keepLines w:val="0"/>
                    <w:pageBreakBefore w:val="0"/>
                    <w:widowControl w:val="0"/>
                    <w:kinsoku/>
                    <w:wordWrap/>
                    <w:overflowPunct/>
                    <w:topLinePunct w:val="0"/>
                    <w:autoSpaceDE/>
                    <w:autoSpaceDN/>
                    <w:bidi w:val="0"/>
                    <w:adjustRightInd/>
                    <w:spacing w:beforeLines="0" w:line="240" w:lineRule="auto"/>
                    <w:ind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p>
              </w:tc>
              <w:tc>
                <w:tcPr>
                  <w:tcW w:w="799" w:type="dxa"/>
                  <w:vMerge w:val="continue"/>
                  <w:tcBorders>
                    <w:tl2br w:val="nil"/>
                    <w:tr2bl w:val="nil"/>
                  </w:tcBorders>
                  <w:noWrap w:val="0"/>
                  <w:vAlign w:val="center"/>
                </w:tcPr>
                <w:p w14:paraId="50EEF12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151A9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531109CE">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37A16410">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S3</w:t>
                  </w:r>
                </w:p>
              </w:tc>
              <w:tc>
                <w:tcPr>
                  <w:tcW w:w="1329" w:type="dxa"/>
                  <w:tcBorders>
                    <w:tl2br w:val="nil"/>
                    <w:tr2bl w:val="nil"/>
                  </w:tcBorders>
                  <w:noWrap w:val="0"/>
                  <w:vAlign w:val="center"/>
                </w:tcPr>
                <w:p w14:paraId="6421C335">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eastAsia="宋体"/>
                      <w:color w:val="auto"/>
                      <w:kern w:val="0"/>
                      <w:sz w:val="21"/>
                      <w:szCs w:val="21"/>
                      <w:highlight w:val="none"/>
                      <w:lang w:val="en-US" w:eastAsia="zh-CN"/>
                    </w:rPr>
                    <w:t>设备检修维护</w:t>
                  </w:r>
                </w:p>
              </w:tc>
              <w:tc>
                <w:tcPr>
                  <w:tcW w:w="1791" w:type="dxa"/>
                  <w:tcBorders>
                    <w:tl2br w:val="nil"/>
                    <w:tr2bl w:val="nil"/>
                  </w:tcBorders>
                  <w:noWrap w:val="0"/>
                  <w:vAlign w:val="center"/>
                </w:tcPr>
                <w:p w14:paraId="311318BE">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eastAsia="宋体"/>
                      <w:color w:val="auto"/>
                      <w:kern w:val="0"/>
                      <w:sz w:val="21"/>
                      <w:szCs w:val="21"/>
                      <w:highlight w:val="none"/>
                      <w:lang w:val="en-US" w:eastAsia="zh-CN"/>
                    </w:rPr>
                    <w:t>废</w:t>
                  </w:r>
                  <w:r>
                    <w:rPr>
                      <w:rFonts w:hint="eastAsia"/>
                      <w:color w:val="auto"/>
                      <w:kern w:val="0"/>
                      <w:sz w:val="21"/>
                      <w:szCs w:val="21"/>
                      <w:highlight w:val="none"/>
                      <w:lang w:val="en-US" w:eastAsia="zh-CN"/>
                    </w:rPr>
                    <w:t>润滑油、废润滑油桶</w:t>
                  </w:r>
                </w:p>
              </w:tc>
              <w:tc>
                <w:tcPr>
                  <w:tcW w:w="636" w:type="dxa"/>
                  <w:tcBorders>
                    <w:tl2br w:val="nil"/>
                    <w:tr2bl w:val="nil"/>
                  </w:tcBorders>
                  <w:noWrap w:val="0"/>
                  <w:vAlign w:val="center"/>
                </w:tcPr>
                <w:p w14:paraId="433A192A">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间断</w:t>
                  </w:r>
                </w:p>
              </w:tc>
              <w:tc>
                <w:tcPr>
                  <w:tcW w:w="2079" w:type="dxa"/>
                  <w:gridSpan w:val="2"/>
                  <w:tcBorders>
                    <w:tl2br w:val="nil"/>
                    <w:tr2bl w:val="nil"/>
                  </w:tcBorders>
                  <w:noWrap w:val="0"/>
                  <w:vAlign w:val="center"/>
                </w:tcPr>
                <w:p w14:paraId="25CD2BA9">
                  <w:pPr>
                    <w:pStyle w:val="35"/>
                    <w:keepNext w:val="0"/>
                    <w:keepLines w:val="0"/>
                    <w:pageBreakBefore w:val="0"/>
                    <w:widowControl w:val="0"/>
                    <w:kinsoku/>
                    <w:wordWrap/>
                    <w:overflowPunct/>
                    <w:topLinePunct w:val="0"/>
                    <w:autoSpaceDE/>
                    <w:autoSpaceDN/>
                    <w:bidi w:val="0"/>
                    <w:adjustRightInd/>
                    <w:spacing w:beforeLines="0" w:line="240" w:lineRule="auto"/>
                    <w:ind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cs="Times New Roman"/>
                      <w:snapToGrid w:val="0"/>
                      <w:color w:val="auto"/>
                      <w:kern w:val="0"/>
                      <w:sz w:val="21"/>
                      <w:szCs w:val="21"/>
                      <w:highlight w:val="none"/>
                      <w:lang w:val="en-US" w:eastAsia="zh-CN" w:bidi="ar-SA"/>
                    </w:rPr>
                    <w:t>危险废物，</w:t>
                  </w:r>
                  <w:r>
                    <w:rPr>
                      <w:rFonts w:hint="default" w:ascii="Times New Roman" w:hAnsi="Times New Roman" w:eastAsia="宋体" w:cs="Times New Roman"/>
                      <w:snapToGrid w:val="0"/>
                      <w:color w:val="auto"/>
                      <w:kern w:val="0"/>
                      <w:sz w:val="21"/>
                      <w:szCs w:val="21"/>
                      <w:highlight w:val="none"/>
                      <w:lang w:val="en-US" w:eastAsia="zh-CN" w:bidi="ar-SA"/>
                    </w:rPr>
                    <w:t>暂存于危废暂存间，定期由有资质单位清运处理</w:t>
                  </w:r>
                </w:p>
              </w:tc>
              <w:tc>
                <w:tcPr>
                  <w:tcW w:w="799" w:type="dxa"/>
                  <w:vMerge w:val="continue"/>
                  <w:tcBorders>
                    <w:tl2br w:val="nil"/>
                    <w:tr2bl w:val="nil"/>
                  </w:tcBorders>
                  <w:noWrap w:val="0"/>
                  <w:vAlign w:val="center"/>
                </w:tcPr>
                <w:p w14:paraId="2AAA626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49BD0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45" w:type="dxa"/>
                  <w:vMerge w:val="continue"/>
                  <w:tcBorders>
                    <w:tl2br w:val="nil"/>
                    <w:tr2bl w:val="nil"/>
                  </w:tcBorders>
                  <w:noWrap w:val="0"/>
                  <w:vAlign w:val="center"/>
                </w:tcPr>
                <w:p w14:paraId="796B4A1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35E8CB46">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S4</w:t>
                  </w:r>
                </w:p>
              </w:tc>
              <w:tc>
                <w:tcPr>
                  <w:tcW w:w="1329" w:type="dxa"/>
                  <w:tcBorders>
                    <w:tl2br w:val="nil"/>
                    <w:tr2bl w:val="nil"/>
                  </w:tcBorders>
                  <w:noWrap w:val="0"/>
                  <w:vAlign w:val="center"/>
                </w:tcPr>
                <w:p w14:paraId="11996000">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color w:val="auto"/>
                      <w:kern w:val="0"/>
                      <w:sz w:val="21"/>
                      <w:szCs w:val="21"/>
                      <w:highlight w:val="none"/>
                      <w:lang w:val="en-US" w:eastAsia="zh-CN"/>
                    </w:rPr>
                    <w:t>布袋除尘器</w:t>
                  </w:r>
                </w:p>
              </w:tc>
              <w:tc>
                <w:tcPr>
                  <w:tcW w:w="1791" w:type="dxa"/>
                  <w:tcBorders>
                    <w:tl2br w:val="nil"/>
                    <w:tr2bl w:val="nil"/>
                  </w:tcBorders>
                  <w:noWrap w:val="0"/>
                  <w:vAlign w:val="center"/>
                </w:tcPr>
                <w:p w14:paraId="5466FE7E">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olor w:val="auto"/>
                      <w:kern w:val="0"/>
                      <w:sz w:val="21"/>
                      <w:szCs w:val="21"/>
                      <w:highlight w:val="none"/>
                      <w:lang w:val="en-US" w:eastAsia="zh-CN"/>
                    </w:rPr>
                    <w:t>除尘灰</w:t>
                  </w:r>
                </w:p>
              </w:tc>
              <w:tc>
                <w:tcPr>
                  <w:tcW w:w="636" w:type="dxa"/>
                  <w:tcBorders>
                    <w:tl2br w:val="nil"/>
                    <w:tr2bl w:val="nil"/>
                  </w:tcBorders>
                  <w:noWrap w:val="0"/>
                  <w:vAlign w:val="center"/>
                </w:tcPr>
                <w:p w14:paraId="4AC102EB">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间断</w:t>
                  </w:r>
                </w:p>
              </w:tc>
              <w:tc>
                <w:tcPr>
                  <w:tcW w:w="2079" w:type="dxa"/>
                  <w:gridSpan w:val="2"/>
                  <w:tcBorders>
                    <w:tl2br w:val="nil"/>
                    <w:tr2bl w:val="nil"/>
                  </w:tcBorders>
                  <w:noWrap w:val="0"/>
                  <w:vAlign w:val="center"/>
                </w:tcPr>
                <w:p w14:paraId="2BA75588">
                  <w:pPr>
                    <w:pStyle w:val="35"/>
                    <w:keepNext w:val="0"/>
                    <w:keepLines w:val="0"/>
                    <w:pageBreakBefore w:val="0"/>
                    <w:widowControl w:val="0"/>
                    <w:kinsoku/>
                    <w:wordWrap/>
                    <w:overflowPunct/>
                    <w:topLinePunct w:val="0"/>
                    <w:autoSpaceDE/>
                    <w:autoSpaceDN/>
                    <w:bidi w:val="0"/>
                    <w:adjustRightInd/>
                    <w:spacing w:beforeLines="0" w:line="240" w:lineRule="auto"/>
                    <w:ind w:firstLine="0" w:firstLineChars="0"/>
                    <w:jc w:val="center"/>
                    <w:textAlignment w:val="auto"/>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cs="Times New Roman"/>
                      <w:snapToGrid w:val="0"/>
                      <w:color w:val="auto"/>
                      <w:kern w:val="0"/>
                      <w:sz w:val="21"/>
                      <w:szCs w:val="21"/>
                      <w:highlight w:val="none"/>
                      <w:lang w:val="en-US" w:eastAsia="zh-CN" w:bidi="ar-SA"/>
                    </w:rPr>
                    <w:t>回用于生产</w:t>
                  </w:r>
                </w:p>
              </w:tc>
              <w:tc>
                <w:tcPr>
                  <w:tcW w:w="799" w:type="dxa"/>
                  <w:vMerge w:val="continue"/>
                  <w:tcBorders>
                    <w:tl2br w:val="nil"/>
                    <w:tr2bl w:val="nil"/>
                  </w:tcBorders>
                  <w:noWrap w:val="0"/>
                  <w:vAlign w:val="center"/>
                </w:tcPr>
                <w:p w14:paraId="3C66868D">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4A328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5D1F25D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605EC57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default"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S5</w:t>
                  </w:r>
                </w:p>
              </w:tc>
              <w:tc>
                <w:tcPr>
                  <w:tcW w:w="1329" w:type="dxa"/>
                  <w:tcBorders>
                    <w:tl2br w:val="nil"/>
                    <w:tr2bl w:val="nil"/>
                  </w:tcBorders>
                  <w:noWrap w:val="0"/>
                  <w:vAlign w:val="center"/>
                </w:tcPr>
                <w:p w14:paraId="5E137224">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olor w:val="auto"/>
                      <w:kern w:val="0"/>
                      <w:sz w:val="21"/>
                      <w:szCs w:val="21"/>
                      <w:highlight w:val="none"/>
                      <w:lang w:val="en-US" w:eastAsia="zh-CN"/>
                    </w:rPr>
                    <w:t>布袋除尘器</w:t>
                  </w:r>
                </w:p>
              </w:tc>
              <w:tc>
                <w:tcPr>
                  <w:tcW w:w="1791" w:type="dxa"/>
                  <w:tcBorders>
                    <w:tl2br w:val="nil"/>
                    <w:tr2bl w:val="nil"/>
                  </w:tcBorders>
                  <w:noWrap w:val="0"/>
                  <w:vAlign w:val="center"/>
                </w:tcPr>
                <w:p w14:paraId="3B1E7F5A">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 w:val="0"/>
                      <w:bCs w:val="0"/>
                      <w:color w:val="auto"/>
                      <w:kern w:val="2"/>
                      <w:sz w:val="21"/>
                      <w:szCs w:val="21"/>
                      <w:highlight w:val="none"/>
                      <w:lang w:val="en-US" w:eastAsia="zh-CN" w:bidi="ar-SA"/>
                    </w:rPr>
                  </w:pPr>
                  <w:r>
                    <w:rPr>
                      <w:rFonts w:hint="eastAsia" w:cs="Times New Roman"/>
                      <w:color w:val="auto"/>
                      <w:kern w:val="0"/>
                      <w:sz w:val="21"/>
                      <w:szCs w:val="21"/>
                      <w:highlight w:val="none"/>
                      <w:lang w:val="en-US" w:eastAsia="zh-CN" w:bidi="ar-SA"/>
                    </w:rPr>
                    <w:t>废布袋</w:t>
                  </w:r>
                </w:p>
              </w:tc>
              <w:tc>
                <w:tcPr>
                  <w:tcW w:w="636" w:type="dxa"/>
                  <w:tcBorders>
                    <w:tl2br w:val="nil"/>
                    <w:tr2bl w:val="nil"/>
                  </w:tcBorders>
                  <w:noWrap w:val="0"/>
                  <w:vAlign w:val="center"/>
                </w:tcPr>
                <w:p w14:paraId="15D099A5">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eastAsia="宋体" w:cs="Times New Roman"/>
                      <w:color w:val="auto"/>
                      <w:sz w:val="21"/>
                      <w:szCs w:val="21"/>
                      <w:highlight w:val="none"/>
                      <w:vertAlign w:val="baseline"/>
                      <w:lang w:val="en-US" w:eastAsia="zh-CN" w:bidi="ar-SA"/>
                    </w:rPr>
                    <w:t>间断</w:t>
                  </w:r>
                </w:p>
              </w:tc>
              <w:tc>
                <w:tcPr>
                  <w:tcW w:w="2079" w:type="dxa"/>
                  <w:gridSpan w:val="2"/>
                  <w:tcBorders>
                    <w:tl2br w:val="nil"/>
                    <w:tr2bl w:val="nil"/>
                  </w:tcBorders>
                  <w:noWrap w:val="0"/>
                  <w:vAlign w:val="center"/>
                </w:tcPr>
                <w:p w14:paraId="14DCCA7E">
                  <w:pPr>
                    <w:pStyle w:val="35"/>
                    <w:keepNext w:val="0"/>
                    <w:keepLines w:val="0"/>
                    <w:pageBreakBefore w:val="0"/>
                    <w:widowControl w:val="0"/>
                    <w:kinsoku/>
                    <w:wordWrap/>
                    <w:overflowPunct/>
                    <w:topLinePunct w:val="0"/>
                    <w:autoSpaceDE/>
                    <w:autoSpaceDN/>
                    <w:bidi w:val="0"/>
                    <w:adjustRightInd/>
                    <w:spacing w:beforeLines="0" w:line="240" w:lineRule="auto"/>
                    <w:ind w:firstLine="0" w:firstLineChars="0"/>
                    <w:jc w:val="center"/>
                    <w:textAlignment w:val="auto"/>
                    <w:rPr>
                      <w:rFonts w:hint="default" w:ascii="宋体" w:hAnsi="宋体" w:eastAsia="宋体" w:cs="Times New Roman"/>
                      <w:color w:val="auto"/>
                      <w:kern w:val="0"/>
                      <w:sz w:val="21"/>
                      <w:szCs w:val="21"/>
                      <w:highlight w:val="none"/>
                      <w:lang w:val="en-US" w:eastAsia="zh-CN" w:bidi="ar-SA"/>
                    </w:rPr>
                  </w:pPr>
                  <w:r>
                    <w:rPr>
                      <w:rFonts w:hint="eastAsia" w:ascii="Times New Roman" w:hAnsi="Times New Roman" w:cs="Times New Roman"/>
                      <w:b w:val="0"/>
                      <w:bCs w:val="0"/>
                      <w:color w:val="auto"/>
                      <w:spacing w:val="0"/>
                      <w:w w:val="100"/>
                      <w:position w:val="0"/>
                      <w:sz w:val="21"/>
                      <w:szCs w:val="21"/>
                      <w:highlight w:val="none"/>
                      <w:lang w:val="en-US" w:eastAsia="zh-CN"/>
                    </w:rPr>
                    <w:t>一般工业固废，</w:t>
                  </w:r>
                  <w:r>
                    <w:rPr>
                      <w:rFonts w:hint="eastAsia" w:eastAsia="宋体" w:cs="Times New Roman"/>
                      <w:b w:val="0"/>
                      <w:bCs/>
                      <w:color w:val="auto"/>
                      <w:sz w:val="21"/>
                      <w:szCs w:val="21"/>
                      <w:highlight w:val="none"/>
                      <w:lang w:val="en-US" w:eastAsia="zh-CN"/>
                    </w:rPr>
                    <w:t>统一收集后外售</w:t>
                  </w:r>
                </w:p>
              </w:tc>
              <w:tc>
                <w:tcPr>
                  <w:tcW w:w="799" w:type="dxa"/>
                  <w:vMerge w:val="continue"/>
                  <w:tcBorders>
                    <w:tl2br w:val="nil"/>
                    <w:tr2bl w:val="nil"/>
                  </w:tcBorders>
                  <w:noWrap w:val="0"/>
                  <w:vAlign w:val="center"/>
                </w:tcPr>
                <w:p w14:paraId="438433C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r w14:paraId="5A778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45" w:type="dxa"/>
                  <w:vMerge w:val="continue"/>
                  <w:tcBorders>
                    <w:tl2br w:val="nil"/>
                    <w:tr2bl w:val="nil"/>
                  </w:tcBorders>
                  <w:noWrap w:val="0"/>
                  <w:vAlign w:val="center"/>
                </w:tcPr>
                <w:p w14:paraId="5F546C6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jc w:val="center"/>
                    <w:textAlignment w:val="auto"/>
                    <w:rPr>
                      <w:rFonts w:hint="default" w:ascii="Times New Roman" w:hAnsi="Times New Roman" w:eastAsia="宋体" w:cs="Times New Roman"/>
                      <w:color w:val="auto"/>
                      <w:sz w:val="21"/>
                      <w:szCs w:val="21"/>
                      <w:highlight w:val="none"/>
                      <w:vertAlign w:val="baseline"/>
                      <w:lang w:val="en-US" w:eastAsia="zh-CN" w:bidi="ar-SA"/>
                    </w:rPr>
                  </w:pPr>
                </w:p>
              </w:tc>
              <w:tc>
                <w:tcPr>
                  <w:tcW w:w="645" w:type="dxa"/>
                  <w:tcBorders>
                    <w:tl2br w:val="nil"/>
                    <w:tr2bl w:val="nil"/>
                  </w:tcBorders>
                  <w:noWrap w:val="0"/>
                  <w:vAlign w:val="center"/>
                </w:tcPr>
                <w:p w14:paraId="1941D37D">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宋体" w:eastAsia="宋体" w:cs="Times New Roman"/>
                      <w:color w:val="auto"/>
                      <w:kern w:val="0"/>
                      <w:sz w:val="21"/>
                      <w:szCs w:val="21"/>
                      <w:highlight w:val="none"/>
                      <w:vertAlign w:val="baseline"/>
                      <w:lang w:val="en-US" w:eastAsia="zh-CN" w:bidi="ar-SA"/>
                    </w:rPr>
                  </w:pPr>
                  <w:r>
                    <w:rPr>
                      <w:rFonts w:hint="eastAsia" w:ascii="Times New Roman" w:cs="Times New Roman"/>
                      <w:color w:val="auto"/>
                      <w:sz w:val="21"/>
                      <w:szCs w:val="21"/>
                      <w:highlight w:val="none"/>
                      <w:vertAlign w:val="baseline"/>
                      <w:lang w:val="en-US" w:eastAsia="zh-CN" w:bidi="ar-SA"/>
                    </w:rPr>
                    <w:t>S6</w:t>
                  </w:r>
                </w:p>
              </w:tc>
              <w:tc>
                <w:tcPr>
                  <w:tcW w:w="1329" w:type="dxa"/>
                  <w:tcBorders>
                    <w:tl2br w:val="nil"/>
                    <w:tr2bl w:val="nil"/>
                  </w:tcBorders>
                  <w:noWrap w:val="0"/>
                  <w:vAlign w:val="center"/>
                </w:tcPr>
                <w:p w14:paraId="25700477">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color w:val="auto"/>
                      <w:kern w:val="0"/>
                      <w:sz w:val="21"/>
                      <w:szCs w:val="21"/>
                      <w:highlight w:val="none"/>
                      <w:lang w:val="en-US" w:eastAsia="zh-CN"/>
                    </w:rPr>
                    <w:t>污泥</w:t>
                  </w:r>
                </w:p>
              </w:tc>
              <w:tc>
                <w:tcPr>
                  <w:tcW w:w="1791" w:type="dxa"/>
                  <w:tcBorders>
                    <w:tl2br w:val="nil"/>
                    <w:tr2bl w:val="nil"/>
                  </w:tcBorders>
                  <w:noWrap w:val="0"/>
                  <w:vAlign w:val="center"/>
                </w:tcPr>
                <w:p w14:paraId="2CBA0863">
                  <w:pPr>
                    <w:keepNext w:val="0"/>
                    <w:keepLines w:val="0"/>
                    <w:pageBreakBefore w:val="0"/>
                    <w:widowControl w:val="0"/>
                    <w:kinsoku/>
                    <w:wordWrap/>
                    <w:overflowPunct/>
                    <w:topLinePunct w:val="0"/>
                    <w:autoSpaceDE/>
                    <w:autoSpaceDN/>
                    <w:bidi w:val="0"/>
                    <w:spacing w:line="240" w:lineRule="auto"/>
                    <w:ind w:firstLine="0" w:firstLineChars="0"/>
                    <w:jc w:val="center"/>
                    <w:textAlignment w:val="auto"/>
                    <w:rPr>
                      <w:rFonts w:hint="eastAsia" w:ascii="Times New Roman" w:hAnsi="Times New Roman" w:eastAsia="宋体" w:cs="Times New Roman"/>
                      <w:b w:val="0"/>
                      <w:bCs w:val="0"/>
                      <w:color w:val="auto"/>
                      <w:kern w:val="2"/>
                      <w:sz w:val="21"/>
                      <w:szCs w:val="21"/>
                      <w:highlight w:val="none"/>
                      <w:lang w:val="en-US" w:eastAsia="zh-CN" w:bidi="ar-SA"/>
                    </w:rPr>
                  </w:pPr>
                  <w:r>
                    <w:rPr>
                      <w:rFonts w:hint="eastAsia" w:cs="Times New Roman"/>
                      <w:b w:val="0"/>
                      <w:bCs w:val="0"/>
                      <w:color w:val="auto"/>
                      <w:sz w:val="21"/>
                      <w:szCs w:val="21"/>
                      <w:highlight w:val="none"/>
                      <w:lang w:val="en-US" w:eastAsia="zh-CN" w:bidi="ar-SA"/>
                    </w:rPr>
                    <w:t>污泥</w:t>
                  </w:r>
                </w:p>
              </w:tc>
              <w:tc>
                <w:tcPr>
                  <w:tcW w:w="636" w:type="dxa"/>
                  <w:tcBorders>
                    <w:tl2br w:val="nil"/>
                    <w:tr2bl w:val="nil"/>
                  </w:tcBorders>
                  <w:noWrap w:val="0"/>
                  <w:vAlign w:val="center"/>
                </w:tcPr>
                <w:p w14:paraId="1435F420">
                  <w:pPr>
                    <w:pStyle w:val="35"/>
                    <w:keepNext w:val="0"/>
                    <w:keepLines w:val="0"/>
                    <w:pageBreakBefore w:val="0"/>
                    <w:widowControl w:val="0"/>
                    <w:numPr>
                      <w:ilvl w:val="0"/>
                      <w:numId w:val="0"/>
                    </w:numPr>
                    <w:kinsoku/>
                    <w:wordWrap/>
                    <w:overflowPunct/>
                    <w:topLinePunct w:val="0"/>
                    <w:autoSpaceDE/>
                    <w:autoSpaceDN/>
                    <w:bidi w:val="0"/>
                    <w:adjustRightInd/>
                    <w:snapToGrid/>
                    <w:spacing w:beforeLines="0" w:line="240" w:lineRule="auto"/>
                    <w:ind w:left="0" w:leftChars="0" w:firstLine="0" w:firstLineChars="0"/>
                    <w:jc w:val="center"/>
                    <w:textAlignment w:val="auto"/>
                    <w:rPr>
                      <w:rFonts w:hint="eastAsia" w:ascii="Times New Roman" w:hAnsi="Times New Roman" w:eastAsia="宋体" w:cs="Times New Roman"/>
                      <w:color w:val="auto"/>
                      <w:kern w:val="0"/>
                      <w:sz w:val="21"/>
                      <w:szCs w:val="21"/>
                      <w:highlight w:val="none"/>
                      <w:vertAlign w:val="baseline"/>
                      <w:lang w:val="en-US" w:eastAsia="zh-CN" w:bidi="ar-SA"/>
                    </w:rPr>
                  </w:pPr>
                  <w:r>
                    <w:rPr>
                      <w:rFonts w:hint="eastAsia" w:ascii="Times New Roman" w:hAnsi="Times New Roman" w:cs="Times New Roman"/>
                      <w:color w:val="auto"/>
                      <w:sz w:val="21"/>
                      <w:szCs w:val="21"/>
                      <w:highlight w:val="none"/>
                      <w:vertAlign w:val="baseline"/>
                      <w:lang w:val="en-US" w:eastAsia="zh-CN" w:bidi="ar-SA"/>
                    </w:rPr>
                    <w:t>间断</w:t>
                  </w:r>
                </w:p>
              </w:tc>
              <w:tc>
                <w:tcPr>
                  <w:tcW w:w="2079" w:type="dxa"/>
                  <w:gridSpan w:val="2"/>
                  <w:tcBorders>
                    <w:tl2br w:val="nil"/>
                    <w:tr2bl w:val="nil"/>
                  </w:tcBorders>
                  <w:noWrap w:val="0"/>
                  <w:vAlign w:val="center"/>
                </w:tcPr>
                <w:p w14:paraId="75CB2605">
                  <w:pPr>
                    <w:keepNext w:val="0"/>
                    <w:keepLines w:val="0"/>
                    <w:pageBreakBefore w:val="0"/>
                    <w:widowControl w:val="0"/>
                    <w:suppressLineNumbers w:val="0"/>
                    <w:shd w:val="clear"/>
                    <w:kinsoku/>
                    <w:wordWrap/>
                    <w:overflowPunct/>
                    <w:topLinePunct w:val="0"/>
                    <w:autoSpaceDE/>
                    <w:autoSpaceDN/>
                    <w:bidi w:val="0"/>
                    <w:adjustRightInd/>
                    <w:snapToGrid w:val="0"/>
                    <w:spacing w:beforeAutospacing="0" w:after="0" w:afterAutospacing="0" w:line="240" w:lineRule="auto"/>
                    <w:ind w:left="0" w:leftChars="0" w:right="0" w:rightChars="0" w:firstLine="0" w:firstLineChars="0"/>
                    <w:jc w:val="both"/>
                    <w:textAlignment w:val="auto"/>
                    <w:rPr>
                      <w:rFonts w:hint="eastAsia" w:cs="Times New Roman"/>
                      <w:color w:val="0000FF"/>
                      <w:spacing w:val="0"/>
                      <w:w w:val="100"/>
                      <w:position w:val="0"/>
                      <w:sz w:val="21"/>
                      <w:szCs w:val="21"/>
                      <w:highlight w:val="none"/>
                      <w:lang w:val="en-US" w:eastAsia="zh-CN"/>
                    </w:rPr>
                  </w:pPr>
                  <w:r>
                    <w:rPr>
                      <w:rFonts w:hint="eastAsia" w:ascii="Times New Roman" w:hAnsi="Times New Roman" w:cs="Times New Roman"/>
                      <w:b w:val="0"/>
                      <w:bCs w:val="0"/>
                      <w:color w:val="auto"/>
                      <w:spacing w:val="0"/>
                      <w:w w:val="100"/>
                      <w:position w:val="0"/>
                      <w:sz w:val="21"/>
                      <w:szCs w:val="21"/>
                      <w:highlight w:val="none"/>
                      <w:lang w:val="en-US" w:eastAsia="zh-CN"/>
                    </w:rPr>
                    <w:t>一般工业固废，</w:t>
                  </w:r>
                  <w:r>
                    <w:rPr>
                      <w:rFonts w:hint="eastAsia" w:cs="Times New Roman"/>
                      <w:color w:val="0000FF"/>
                      <w:spacing w:val="0"/>
                      <w:w w:val="100"/>
                      <w:position w:val="0"/>
                      <w:sz w:val="21"/>
                      <w:szCs w:val="21"/>
                      <w:highlight w:val="none"/>
                      <w:lang w:val="en-US" w:eastAsia="zh-CN"/>
                    </w:rPr>
                    <w:t>交由有利用能力单位处置后综合利用。</w:t>
                  </w:r>
                </w:p>
                <w:p w14:paraId="100736AB">
                  <w:pPr>
                    <w:pStyle w:val="35"/>
                    <w:keepNext w:val="0"/>
                    <w:keepLines w:val="0"/>
                    <w:pageBreakBefore w:val="0"/>
                    <w:widowControl w:val="0"/>
                    <w:kinsoku/>
                    <w:wordWrap/>
                    <w:overflowPunct/>
                    <w:topLinePunct w:val="0"/>
                    <w:autoSpaceDE/>
                    <w:autoSpaceDN/>
                    <w:bidi w:val="0"/>
                    <w:adjustRightInd/>
                    <w:spacing w:beforeLines="0" w:line="240" w:lineRule="auto"/>
                    <w:ind w:firstLine="0" w:firstLineChars="0"/>
                    <w:jc w:val="center"/>
                    <w:textAlignment w:val="auto"/>
                    <w:rPr>
                      <w:rFonts w:hint="eastAsia" w:ascii="宋体" w:hAnsi="宋体" w:eastAsia="宋体" w:cs="Times New Roman"/>
                      <w:color w:val="auto"/>
                      <w:kern w:val="0"/>
                      <w:sz w:val="21"/>
                      <w:szCs w:val="21"/>
                      <w:highlight w:val="none"/>
                      <w:lang w:val="en-US" w:eastAsia="zh-CN" w:bidi="ar-SA"/>
                    </w:rPr>
                  </w:pPr>
                </w:p>
              </w:tc>
              <w:tc>
                <w:tcPr>
                  <w:tcW w:w="799" w:type="dxa"/>
                  <w:tcBorders>
                    <w:tl2br w:val="nil"/>
                    <w:tr2bl w:val="nil"/>
                  </w:tcBorders>
                  <w:noWrap w:val="0"/>
                  <w:vAlign w:val="center"/>
                </w:tcPr>
                <w:p w14:paraId="3D62F9AD">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bidi="ar-SA"/>
                    </w:rPr>
                  </w:pPr>
                </w:p>
              </w:tc>
            </w:tr>
          </w:tbl>
          <w:p w14:paraId="7C2D766B">
            <w:pPr>
              <w:adjustRightInd w:val="0"/>
              <w:snapToGrid w:val="0"/>
              <w:rPr>
                <w:rFonts w:ascii="宋体" w:hAnsi="宋体"/>
                <w:bCs/>
                <w:color w:val="auto"/>
                <w:sz w:val="21"/>
                <w:szCs w:val="21"/>
                <w:highlight w:val="none"/>
              </w:rPr>
            </w:pPr>
          </w:p>
        </w:tc>
      </w:tr>
      <w:tr w14:paraId="63A98F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734" w:hRule="atLeast"/>
          <w:jc w:val="center"/>
        </w:trPr>
        <w:tc>
          <w:tcPr>
            <w:tcW w:w="823" w:type="dxa"/>
            <w:noWrap w:val="0"/>
            <w:vAlign w:val="center"/>
          </w:tcPr>
          <w:p w14:paraId="39DD2058">
            <w:pPr>
              <w:widowControl w:val="0"/>
              <w:adjustRightInd/>
              <w:snapToGrid/>
              <w:spacing w:before="0" w:beforeAutospacing="0" w:after="0" w:afterAutospacing="0" w:line="240" w:lineRule="auto"/>
              <w:jc w:val="center"/>
              <w:rPr>
                <w:rFonts w:ascii="宋体" w:hAnsi="宋体" w:eastAsia="宋体" w:cs="宋体"/>
                <w:color w:val="auto"/>
                <w:kern w:val="0"/>
                <w:sz w:val="21"/>
                <w:szCs w:val="21"/>
                <w:highlight w:val="none"/>
                <w:lang w:val="en-US" w:eastAsia="zh-CN" w:bidi="ar-SA"/>
              </w:rPr>
            </w:pPr>
            <w:r>
              <w:rPr>
                <w:rFonts w:hint="eastAsia" w:ascii="宋体" w:hAnsi="宋体" w:eastAsia="宋体" w:cs="宋体"/>
                <w:bCs/>
                <w:color w:val="auto"/>
                <w:kern w:val="2"/>
                <w:sz w:val="21"/>
                <w:szCs w:val="21"/>
                <w:highlight w:val="none"/>
                <w:lang w:val="en-US" w:eastAsia="zh-CN" w:bidi="ar-SA"/>
              </w:rPr>
              <w:t>与项目有关的原有环境污染问题</w:t>
            </w:r>
          </w:p>
        </w:tc>
        <w:tc>
          <w:tcPr>
            <w:tcW w:w="8161" w:type="dxa"/>
            <w:noWrap w:val="0"/>
            <w:vAlign w:val="top"/>
          </w:tcPr>
          <w:p w14:paraId="1F3B2612">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（一）现有工程情况简介</w:t>
            </w:r>
          </w:p>
          <w:p w14:paraId="76A13F24">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（1）现有环保手续</w:t>
            </w:r>
          </w:p>
          <w:p w14:paraId="04F1020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olor w:val="auto"/>
                <w:sz w:val="21"/>
                <w:szCs w:val="21"/>
                <w:highlight w:val="none"/>
                <w:lang w:val="en-US" w:eastAsia="zh-CN"/>
              </w:rPr>
            </w:pPr>
            <w:r>
              <w:rPr>
                <w:rFonts w:hint="default"/>
                <w:color w:val="auto"/>
                <w:sz w:val="21"/>
                <w:szCs w:val="21"/>
                <w:highlight w:val="none"/>
                <w:lang w:val="en-US" w:eastAsia="zh-CN"/>
              </w:rPr>
              <w:t>目前石家庄东华金龙化工有限公司现有环保手续见表2-1</w:t>
            </w:r>
            <w:r>
              <w:rPr>
                <w:rFonts w:hint="eastAsia"/>
                <w:color w:val="auto"/>
                <w:sz w:val="21"/>
                <w:szCs w:val="21"/>
                <w:highlight w:val="none"/>
                <w:lang w:val="en-US" w:eastAsia="zh-CN"/>
              </w:rPr>
              <w:t>5</w:t>
            </w:r>
            <w:r>
              <w:rPr>
                <w:rFonts w:hint="default"/>
                <w:color w:val="auto"/>
                <w:sz w:val="21"/>
                <w:szCs w:val="21"/>
                <w:highlight w:val="none"/>
                <w:lang w:val="en-US" w:eastAsia="zh-CN"/>
              </w:rPr>
              <w:t>。</w:t>
            </w:r>
          </w:p>
          <w:p w14:paraId="46168970">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表 2-1</w:t>
            </w:r>
            <w:r>
              <w:rPr>
                <w:rFonts w:hint="eastAsia" w:ascii="Times New Roman" w:hAnsi="Times New Roman" w:eastAsia="宋体" w:cs="Times New Roman"/>
                <w:b/>
                <w:bCs/>
                <w:color w:val="auto"/>
                <w:sz w:val="21"/>
                <w:szCs w:val="21"/>
                <w:highlight w:val="none"/>
                <w:lang w:val="en-US" w:eastAsia="zh-CN"/>
              </w:rPr>
              <w:t>5</w:t>
            </w:r>
            <w:r>
              <w:rPr>
                <w:rFonts w:hint="default" w:ascii="Times New Roman" w:hAnsi="Times New Roman" w:eastAsia="宋体" w:cs="Times New Roman"/>
                <w:b/>
                <w:bCs/>
                <w:color w:val="auto"/>
                <w:sz w:val="21"/>
                <w:szCs w:val="21"/>
                <w:highlight w:val="none"/>
                <w:lang w:val="en-US" w:eastAsia="zh-CN"/>
              </w:rPr>
              <w:t xml:space="preserve"> 石家庄东华金龙化工有限公司项目环评情况一览表</w:t>
            </w:r>
          </w:p>
          <w:tbl>
            <w:tblPr>
              <w:tblStyle w:val="4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86"/>
              <w:gridCol w:w="1247"/>
              <w:gridCol w:w="283"/>
              <w:gridCol w:w="424"/>
              <w:gridCol w:w="318"/>
              <w:gridCol w:w="948"/>
              <w:gridCol w:w="605"/>
              <w:gridCol w:w="1169"/>
              <w:gridCol w:w="1388"/>
              <w:gridCol w:w="573"/>
              <w:gridCol w:w="694"/>
            </w:tblGrid>
            <w:tr w14:paraId="2FAC8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180" w:type="pct"/>
                  <w:vMerge w:val="restart"/>
                  <w:vAlign w:val="center"/>
                </w:tcPr>
                <w:p w14:paraId="1FF1F00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序号</w:t>
                  </w:r>
                </w:p>
              </w:tc>
              <w:tc>
                <w:tcPr>
                  <w:tcW w:w="785" w:type="pct"/>
                  <w:vMerge w:val="restart"/>
                  <w:vAlign w:val="center"/>
                </w:tcPr>
                <w:p w14:paraId="6976622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项目名称</w:t>
                  </w:r>
                </w:p>
              </w:tc>
              <w:tc>
                <w:tcPr>
                  <w:tcW w:w="178" w:type="pct"/>
                  <w:vMerge w:val="restart"/>
                  <w:vAlign w:val="center"/>
                </w:tcPr>
                <w:p w14:paraId="74FC478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eastAsia="zh-CN"/>
                    </w:rPr>
                    <w:t>类别</w:t>
                  </w:r>
                </w:p>
              </w:tc>
              <w:tc>
                <w:tcPr>
                  <w:tcW w:w="267" w:type="pct"/>
                  <w:vMerge w:val="restart"/>
                  <w:vAlign w:val="center"/>
                </w:tcPr>
                <w:p w14:paraId="4629EDE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建设地点</w:t>
                  </w:r>
                </w:p>
              </w:tc>
              <w:tc>
                <w:tcPr>
                  <w:tcW w:w="200" w:type="pct"/>
                  <w:vMerge w:val="restart"/>
                  <w:vAlign w:val="center"/>
                </w:tcPr>
                <w:p w14:paraId="5C4B7F1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建设进度</w:t>
                  </w:r>
                </w:p>
              </w:tc>
              <w:tc>
                <w:tcPr>
                  <w:tcW w:w="1714" w:type="pct"/>
                  <w:gridSpan w:val="3"/>
                  <w:vAlign w:val="center"/>
                </w:tcPr>
                <w:p w14:paraId="458B248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环评文件</w:t>
                  </w:r>
                </w:p>
              </w:tc>
              <w:tc>
                <w:tcPr>
                  <w:tcW w:w="1672" w:type="pct"/>
                  <w:gridSpan w:val="3"/>
                  <w:vAlign w:val="center"/>
                </w:tcPr>
                <w:p w14:paraId="4169EE1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验收文件</w:t>
                  </w:r>
                </w:p>
              </w:tc>
            </w:tr>
            <w:tr w14:paraId="46F60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tblHeader/>
                <w:jc w:val="center"/>
              </w:trPr>
              <w:tc>
                <w:tcPr>
                  <w:tcW w:w="180" w:type="pct"/>
                  <w:vMerge w:val="continue"/>
                  <w:vAlign w:val="center"/>
                </w:tcPr>
                <w:p w14:paraId="3957C80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785" w:type="pct"/>
                  <w:vMerge w:val="continue"/>
                  <w:vAlign w:val="center"/>
                </w:tcPr>
                <w:p w14:paraId="40CC62B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178" w:type="pct"/>
                  <w:vMerge w:val="continue"/>
                  <w:vAlign w:val="center"/>
                </w:tcPr>
                <w:p w14:paraId="2D1F9BD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67" w:type="pct"/>
                  <w:vMerge w:val="continue"/>
                  <w:vAlign w:val="center"/>
                </w:tcPr>
                <w:p w14:paraId="0F5EC9D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continue"/>
                  <w:vAlign w:val="center"/>
                </w:tcPr>
                <w:p w14:paraId="5354363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597" w:type="pct"/>
                  <w:vAlign w:val="center"/>
                </w:tcPr>
                <w:p w14:paraId="220381F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审批单位</w:t>
                  </w:r>
                </w:p>
              </w:tc>
              <w:tc>
                <w:tcPr>
                  <w:tcW w:w="381" w:type="pct"/>
                  <w:vAlign w:val="center"/>
                </w:tcPr>
                <w:p w14:paraId="75FA37A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批准时间</w:t>
                  </w:r>
                </w:p>
              </w:tc>
              <w:tc>
                <w:tcPr>
                  <w:tcW w:w="735" w:type="pct"/>
                  <w:vAlign w:val="center"/>
                </w:tcPr>
                <w:p w14:paraId="7A7B91A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批准文号</w:t>
                  </w:r>
                </w:p>
              </w:tc>
              <w:tc>
                <w:tcPr>
                  <w:tcW w:w="874" w:type="pct"/>
                  <w:vAlign w:val="center"/>
                </w:tcPr>
                <w:p w14:paraId="1873138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验收单位</w:t>
                  </w:r>
                </w:p>
              </w:tc>
              <w:tc>
                <w:tcPr>
                  <w:tcW w:w="361" w:type="pct"/>
                  <w:vAlign w:val="center"/>
                </w:tcPr>
                <w:p w14:paraId="43643FA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验收时间</w:t>
                  </w:r>
                </w:p>
              </w:tc>
              <w:tc>
                <w:tcPr>
                  <w:tcW w:w="437" w:type="pct"/>
                  <w:vAlign w:val="center"/>
                </w:tcPr>
                <w:p w14:paraId="39825C1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验收文号</w:t>
                  </w:r>
                </w:p>
              </w:tc>
            </w:tr>
            <w:tr w14:paraId="454BC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6EC06E0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1</w:t>
                  </w:r>
                </w:p>
              </w:tc>
              <w:tc>
                <w:tcPr>
                  <w:tcW w:w="785" w:type="pct"/>
                  <w:vAlign w:val="center"/>
                </w:tcPr>
                <w:p w14:paraId="23DC2E7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年产5万吨氨基乙酸及配套工程建设项目</w:t>
                  </w:r>
                </w:p>
              </w:tc>
              <w:tc>
                <w:tcPr>
                  <w:tcW w:w="178" w:type="pct"/>
                  <w:vAlign w:val="center"/>
                </w:tcPr>
                <w:p w14:paraId="10D5475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eastAsia="zh-CN"/>
                    </w:rPr>
                    <w:t>报告书</w:t>
                  </w:r>
                </w:p>
              </w:tc>
              <w:tc>
                <w:tcPr>
                  <w:tcW w:w="267" w:type="pct"/>
                  <w:vMerge w:val="restart"/>
                  <w:vAlign w:val="center"/>
                </w:tcPr>
                <w:p w14:paraId="7050B6E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石家庄高新技术产业开发区循环化工园区</w:t>
                  </w:r>
                  <w:r>
                    <w:rPr>
                      <w:rFonts w:hint="default"/>
                      <w:color w:val="auto"/>
                      <w:sz w:val="21"/>
                      <w:szCs w:val="21"/>
                      <w:highlight w:val="none"/>
                    </w:rPr>
                    <w:t>化工中路100号</w:t>
                  </w:r>
                </w:p>
              </w:tc>
              <w:tc>
                <w:tcPr>
                  <w:tcW w:w="200" w:type="pct"/>
                  <w:vAlign w:val="center"/>
                </w:tcPr>
                <w:p w14:paraId="34842CA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已验收</w:t>
                  </w:r>
                </w:p>
              </w:tc>
              <w:tc>
                <w:tcPr>
                  <w:tcW w:w="597" w:type="pct"/>
                  <w:vAlign w:val="center"/>
                </w:tcPr>
                <w:p w14:paraId="7746344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河北省环境保护局</w:t>
                  </w:r>
                </w:p>
              </w:tc>
              <w:tc>
                <w:tcPr>
                  <w:tcW w:w="381" w:type="pct"/>
                  <w:vAlign w:val="center"/>
                </w:tcPr>
                <w:p w14:paraId="15E811B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2005.9.30</w:t>
                  </w:r>
                </w:p>
              </w:tc>
              <w:tc>
                <w:tcPr>
                  <w:tcW w:w="735" w:type="pct"/>
                  <w:vAlign w:val="center"/>
                </w:tcPr>
                <w:p w14:paraId="09FE2E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冀环管[2005]260号</w:t>
                  </w:r>
                </w:p>
              </w:tc>
              <w:tc>
                <w:tcPr>
                  <w:tcW w:w="874" w:type="pct"/>
                  <w:vAlign w:val="center"/>
                </w:tcPr>
                <w:p w14:paraId="3303EFF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河北省环境保护厅</w:t>
                  </w:r>
                </w:p>
              </w:tc>
              <w:tc>
                <w:tcPr>
                  <w:tcW w:w="361" w:type="pct"/>
                  <w:vAlign w:val="center"/>
                </w:tcPr>
                <w:p w14:paraId="2BED842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2010.4.13</w:t>
                  </w:r>
                </w:p>
              </w:tc>
              <w:tc>
                <w:tcPr>
                  <w:tcW w:w="437" w:type="pct"/>
                  <w:vAlign w:val="center"/>
                </w:tcPr>
                <w:p w14:paraId="628021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冀环验[2010]067号</w:t>
                  </w:r>
                </w:p>
              </w:tc>
            </w:tr>
            <w:tr w14:paraId="32DB5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Merge w:val="restart"/>
                  <w:vAlign w:val="center"/>
                </w:tcPr>
                <w:p w14:paraId="5422788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2</w:t>
                  </w:r>
                </w:p>
              </w:tc>
              <w:tc>
                <w:tcPr>
                  <w:tcW w:w="785" w:type="pct"/>
                  <w:vMerge w:val="restart"/>
                  <w:vAlign w:val="center"/>
                </w:tcPr>
                <w:p w14:paraId="5A768BB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年产3万吨工业氨基乙酸及深加工项目</w:t>
                  </w:r>
                </w:p>
              </w:tc>
              <w:tc>
                <w:tcPr>
                  <w:tcW w:w="178" w:type="pct"/>
                  <w:vMerge w:val="restart"/>
                  <w:vAlign w:val="center"/>
                </w:tcPr>
                <w:p w14:paraId="5772CAD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33FE0CC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restart"/>
                  <w:vAlign w:val="center"/>
                </w:tcPr>
                <w:p w14:paraId="466393C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已验收</w:t>
                  </w:r>
                </w:p>
              </w:tc>
              <w:tc>
                <w:tcPr>
                  <w:tcW w:w="597" w:type="pct"/>
                  <w:vMerge w:val="restart"/>
                  <w:vAlign w:val="center"/>
                </w:tcPr>
                <w:p w14:paraId="3EFB5AA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石家庄市环境保护局</w:t>
                  </w:r>
                </w:p>
              </w:tc>
              <w:tc>
                <w:tcPr>
                  <w:tcW w:w="381" w:type="pct"/>
                  <w:vAlign w:val="center"/>
                </w:tcPr>
                <w:p w14:paraId="773A570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2012.11.9</w:t>
                  </w:r>
                </w:p>
              </w:tc>
              <w:tc>
                <w:tcPr>
                  <w:tcW w:w="735" w:type="pct"/>
                  <w:vAlign w:val="center"/>
                </w:tcPr>
                <w:p w14:paraId="193361E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石环发[2012]157号</w:t>
                  </w:r>
                </w:p>
              </w:tc>
              <w:tc>
                <w:tcPr>
                  <w:tcW w:w="874" w:type="pct"/>
                  <w:vAlign w:val="center"/>
                </w:tcPr>
                <w:p w14:paraId="3D99641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61" w:type="pct"/>
                  <w:vAlign w:val="center"/>
                </w:tcPr>
                <w:p w14:paraId="612A869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2016.11.24</w:t>
                  </w:r>
                </w:p>
              </w:tc>
              <w:tc>
                <w:tcPr>
                  <w:tcW w:w="437" w:type="pct"/>
                  <w:vAlign w:val="center"/>
                </w:tcPr>
                <w:p w14:paraId="47DD99A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石化安环验[2016]6号</w:t>
                  </w:r>
                </w:p>
              </w:tc>
            </w:tr>
            <w:tr w14:paraId="5581F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Merge w:val="continue"/>
                  <w:vAlign w:val="center"/>
                </w:tcPr>
                <w:p w14:paraId="75896AD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785" w:type="pct"/>
                  <w:vMerge w:val="continue"/>
                  <w:vAlign w:val="center"/>
                </w:tcPr>
                <w:p w14:paraId="011610F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178" w:type="pct"/>
                  <w:vMerge w:val="continue"/>
                  <w:vAlign w:val="center"/>
                </w:tcPr>
                <w:p w14:paraId="1DB6E7C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67" w:type="pct"/>
                  <w:vMerge w:val="continue"/>
                  <w:vAlign w:val="center"/>
                </w:tcPr>
                <w:p w14:paraId="5D69508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continue"/>
                  <w:vAlign w:val="center"/>
                </w:tcPr>
                <w:p w14:paraId="63267B9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597" w:type="pct"/>
                  <w:vMerge w:val="continue"/>
                  <w:vAlign w:val="center"/>
                </w:tcPr>
                <w:p w14:paraId="072AEC2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381" w:type="pct"/>
                  <w:vAlign w:val="center"/>
                </w:tcPr>
                <w:p w14:paraId="1318E96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2015.11.25</w:t>
                  </w:r>
                </w:p>
              </w:tc>
              <w:tc>
                <w:tcPr>
                  <w:tcW w:w="735" w:type="pct"/>
                  <w:vAlign w:val="center"/>
                </w:tcPr>
                <w:p w14:paraId="5F3F122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补充报告备案</w:t>
                  </w:r>
                </w:p>
              </w:tc>
              <w:tc>
                <w:tcPr>
                  <w:tcW w:w="874" w:type="pct"/>
                  <w:vAlign w:val="center"/>
                </w:tcPr>
                <w:p w14:paraId="799CBC2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石家庄循环经济化工园区管理委员会安全生产监督管理局（食品药品监督管理局）</w:t>
                  </w:r>
                </w:p>
              </w:tc>
              <w:tc>
                <w:tcPr>
                  <w:tcW w:w="361" w:type="pct"/>
                  <w:vAlign w:val="center"/>
                </w:tcPr>
                <w:p w14:paraId="34B1474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2017.5.9</w:t>
                  </w:r>
                </w:p>
              </w:tc>
              <w:tc>
                <w:tcPr>
                  <w:tcW w:w="437" w:type="pct"/>
                  <w:vAlign w:val="center"/>
                </w:tcPr>
                <w:p w14:paraId="08A9F96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冀石化安环验[2017]3号</w:t>
                  </w:r>
                </w:p>
              </w:tc>
            </w:tr>
            <w:tr w14:paraId="41685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5D3276A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3</w:t>
                  </w:r>
                </w:p>
              </w:tc>
              <w:tc>
                <w:tcPr>
                  <w:tcW w:w="785" w:type="pct"/>
                  <w:vAlign w:val="center"/>
                </w:tcPr>
                <w:p w14:paraId="06D5F4D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年产4000吨氨基乙酸钠项目</w:t>
                  </w:r>
                </w:p>
              </w:tc>
              <w:tc>
                <w:tcPr>
                  <w:tcW w:w="178" w:type="pct"/>
                  <w:vAlign w:val="center"/>
                </w:tcPr>
                <w:p w14:paraId="57B9758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01AFF4F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0621DF5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已验收</w:t>
                  </w:r>
                </w:p>
              </w:tc>
              <w:tc>
                <w:tcPr>
                  <w:tcW w:w="597" w:type="pct"/>
                  <w:vAlign w:val="center"/>
                </w:tcPr>
                <w:p w14:paraId="1649014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81" w:type="pct"/>
                  <w:vAlign w:val="center"/>
                </w:tcPr>
                <w:p w14:paraId="6C2CB0B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2013.9.15</w:t>
                  </w:r>
                </w:p>
              </w:tc>
              <w:tc>
                <w:tcPr>
                  <w:tcW w:w="735" w:type="pct"/>
                  <w:vAlign w:val="center"/>
                </w:tcPr>
                <w:p w14:paraId="6002E41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石化安环审字[2013]7号</w:t>
                  </w:r>
                </w:p>
              </w:tc>
              <w:tc>
                <w:tcPr>
                  <w:tcW w:w="874" w:type="pct"/>
                  <w:vAlign w:val="center"/>
                </w:tcPr>
                <w:p w14:paraId="1F250CF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61" w:type="pct"/>
                  <w:vAlign w:val="center"/>
                </w:tcPr>
                <w:p w14:paraId="708A216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2016.7.29</w:t>
                  </w:r>
                </w:p>
              </w:tc>
              <w:tc>
                <w:tcPr>
                  <w:tcW w:w="437" w:type="pct"/>
                  <w:vAlign w:val="center"/>
                </w:tcPr>
                <w:p w14:paraId="39EA8A7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石化安环验[2016]3号</w:t>
                  </w:r>
                </w:p>
              </w:tc>
            </w:tr>
            <w:tr w14:paraId="73623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095F5F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p>
              </w:tc>
              <w:tc>
                <w:tcPr>
                  <w:tcW w:w="785" w:type="pct"/>
                  <w:vAlign w:val="center"/>
                </w:tcPr>
                <w:p w14:paraId="67E045A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工业氨基乙酸及氯乙酸技改项目</w:t>
                  </w:r>
                </w:p>
              </w:tc>
              <w:tc>
                <w:tcPr>
                  <w:tcW w:w="178" w:type="pct"/>
                  <w:vAlign w:val="center"/>
                </w:tcPr>
                <w:p w14:paraId="7266AD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35CD7DF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7AAF828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eastAsia="zh-CN"/>
                    </w:rPr>
                    <w:t>已验收</w:t>
                  </w:r>
                </w:p>
              </w:tc>
              <w:tc>
                <w:tcPr>
                  <w:tcW w:w="597" w:type="pct"/>
                  <w:vAlign w:val="center"/>
                </w:tcPr>
                <w:p w14:paraId="25DBFF6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81" w:type="pct"/>
                  <w:vAlign w:val="center"/>
                </w:tcPr>
                <w:p w14:paraId="6E7BD66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2014.5.5</w:t>
                  </w:r>
                </w:p>
              </w:tc>
              <w:tc>
                <w:tcPr>
                  <w:tcW w:w="735" w:type="pct"/>
                  <w:vAlign w:val="center"/>
                </w:tcPr>
                <w:p w14:paraId="3135B12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石化安环审字[2014]2号</w:t>
                  </w:r>
                </w:p>
              </w:tc>
              <w:tc>
                <w:tcPr>
                  <w:tcW w:w="874" w:type="pct"/>
                  <w:vAlign w:val="center"/>
                </w:tcPr>
                <w:p w14:paraId="40B28A0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61" w:type="pct"/>
                  <w:vAlign w:val="center"/>
                </w:tcPr>
                <w:p w14:paraId="3B64AB7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2017.5.9</w:t>
                  </w:r>
                </w:p>
              </w:tc>
              <w:tc>
                <w:tcPr>
                  <w:tcW w:w="437" w:type="pct"/>
                  <w:vAlign w:val="center"/>
                </w:tcPr>
                <w:p w14:paraId="37D1256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冀石化安环验[2017]2号</w:t>
                  </w:r>
                </w:p>
              </w:tc>
            </w:tr>
            <w:tr w14:paraId="2D9FD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4E54F16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5</w:t>
                  </w:r>
                </w:p>
              </w:tc>
              <w:tc>
                <w:tcPr>
                  <w:tcW w:w="785" w:type="pct"/>
                  <w:vAlign w:val="center"/>
                </w:tcPr>
                <w:p w14:paraId="1760E72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原料罐区项目</w:t>
                  </w:r>
                </w:p>
              </w:tc>
              <w:tc>
                <w:tcPr>
                  <w:tcW w:w="178" w:type="pct"/>
                  <w:vAlign w:val="center"/>
                </w:tcPr>
                <w:p w14:paraId="08C447B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56B7ABE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1DA556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eastAsia="zh-CN"/>
                    </w:rPr>
                    <w:t>已验收</w:t>
                  </w:r>
                </w:p>
              </w:tc>
              <w:tc>
                <w:tcPr>
                  <w:tcW w:w="597" w:type="pct"/>
                  <w:vAlign w:val="center"/>
                </w:tcPr>
                <w:p w14:paraId="5E5BA37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81" w:type="pct"/>
                  <w:vAlign w:val="center"/>
                </w:tcPr>
                <w:p w14:paraId="40D426A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2014.7.7</w:t>
                  </w:r>
                </w:p>
              </w:tc>
              <w:tc>
                <w:tcPr>
                  <w:tcW w:w="735" w:type="pct"/>
                  <w:vAlign w:val="center"/>
                </w:tcPr>
                <w:p w14:paraId="2AF3BAC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石化安环审字[2014]4号</w:t>
                  </w:r>
                </w:p>
              </w:tc>
              <w:tc>
                <w:tcPr>
                  <w:tcW w:w="874" w:type="pct"/>
                  <w:vAlign w:val="center"/>
                </w:tcPr>
                <w:p w14:paraId="07ACAC8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石家庄循环经济化工园区管理委员会安全生产监督管理和环境保护局</w:t>
                  </w:r>
                </w:p>
              </w:tc>
              <w:tc>
                <w:tcPr>
                  <w:tcW w:w="361" w:type="pct"/>
                  <w:vAlign w:val="center"/>
                </w:tcPr>
                <w:p w14:paraId="466A4E9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2015.12.18</w:t>
                  </w:r>
                </w:p>
              </w:tc>
              <w:tc>
                <w:tcPr>
                  <w:tcW w:w="437" w:type="pct"/>
                  <w:vAlign w:val="center"/>
                </w:tcPr>
                <w:p w14:paraId="3209D99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石化安环验[2015]1号</w:t>
                  </w:r>
                </w:p>
              </w:tc>
            </w:tr>
            <w:tr w14:paraId="7E359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D5B50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6</w:t>
                  </w:r>
                </w:p>
              </w:tc>
              <w:tc>
                <w:tcPr>
                  <w:tcW w:w="785" w:type="pct"/>
                  <w:vAlign w:val="center"/>
                </w:tcPr>
                <w:p w14:paraId="2C0077B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污染治理措施升级改造及资源回收利用项目</w:t>
                  </w:r>
                </w:p>
              </w:tc>
              <w:tc>
                <w:tcPr>
                  <w:tcW w:w="178" w:type="pct"/>
                  <w:vAlign w:val="center"/>
                </w:tcPr>
                <w:p w14:paraId="2513699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08DF7CD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4395437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eastAsia="zh-CN"/>
                    </w:rPr>
                    <w:t>已验收</w:t>
                  </w:r>
                </w:p>
              </w:tc>
              <w:tc>
                <w:tcPr>
                  <w:tcW w:w="597" w:type="pct"/>
                  <w:vAlign w:val="center"/>
                </w:tcPr>
                <w:p w14:paraId="238A08D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河北石家庄循环化工园区行政审批局</w:t>
                  </w:r>
                </w:p>
              </w:tc>
              <w:tc>
                <w:tcPr>
                  <w:tcW w:w="381" w:type="pct"/>
                  <w:vAlign w:val="center"/>
                </w:tcPr>
                <w:p w14:paraId="0956200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2017.9.11</w:t>
                  </w:r>
                </w:p>
              </w:tc>
              <w:tc>
                <w:tcPr>
                  <w:tcW w:w="735" w:type="pct"/>
                  <w:vAlign w:val="center"/>
                </w:tcPr>
                <w:p w14:paraId="35F8358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冀石化园环审[2017]2号</w:t>
                  </w:r>
                </w:p>
              </w:tc>
              <w:tc>
                <w:tcPr>
                  <w:tcW w:w="874" w:type="pct"/>
                  <w:vAlign w:val="center"/>
                </w:tcPr>
                <w:p w14:paraId="757BA0B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河北石家庄循环化工园区行政审批局</w:t>
                  </w:r>
                </w:p>
              </w:tc>
              <w:tc>
                <w:tcPr>
                  <w:tcW w:w="361" w:type="pct"/>
                  <w:vAlign w:val="center"/>
                </w:tcPr>
                <w:p w14:paraId="40D85F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2017.10.26</w:t>
                  </w:r>
                </w:p>
              </w:tc>
              <w:tc>
                <w:tcPr>
                  <w:tcW w:w="437" w:type="pct"/>
                  <w:vAlign w:val="center"/>
                </w:tcPr>
                <w:p w14:paraId="09F24D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454CA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Merge w:val="restart"/>
                  <w:vAlign w:val="center"/>
                </w:tcPr>
                <w:p w14:paraId="5212728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val="en-US" w:eastAsia="zh-CN"/>
                    </w:rPr>
                    <w:t>7</w:t>
                  </w:r>
                </w:p>
              </w:tc>
              <w:tc>
                <w:tcPr>
                  <w:tcW w:w="785" w:type="pct"/>
                  <w:vMerge w:val="restart"/>
                  <w:vAlign w:val="center"/>
                </w:tcPr>
                <w:p w14:paraId="78B4083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10000吨氨基乙酸项目</w:t>
                  </w:r>
                </w:p>
              </w:tc>
              <w:tc>
                <w:tcPr>
                  <w:tcW w:w="178" w:type="pct"/>
                  <w:vMerge w:val="restart"/>
                  <w:vAlign w:val="center"/>
                </w:tcPr>
                <w:p w14:paraId="646F090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483BC29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restart"/>
                  <w:vAlign w:val="center"/>
                </w:tcPr>
                <w:p w14:paraId="0DF5A6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eastAsia="zh-CN"/>
                    </w:rPr>
                    <w:t>已验收</w:t>
                  </w:r>
                </w:p>
              </w:tc>
              <w:tc>
                <w:tcPr>
                  <w:tcW w:w="597" w:type="pct"/>
                  <w:vMerge w:val="restart"/>
                  <w:vAlign w:val="center"/>
                </w:tcPr>
                <w:p w14:paraId="7B6F055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河北石家庄循环化工园区行政审批局</w:t>
                  </w:r>
                </w:p>
              </w:tc>
              <w:tc>
                <w:tcPr>
                  <w:tcW w:w="381" w:type="pct"/>
                  <w:vMerge w:val="restart"/>
                  <w:vAlign w:val="center"/>
                </w:tcPr>
                <w:p w14:paraId="4C454AC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2017.9.11</w:t>
                  </w:r>
                </w:p>
              </w:tc>
              <w:tc>
                <w:tcPr>
                  <w:tcW w:w="735" w:type="pct"/>
                  <w:vMerge w:val="restart"/>
                  <w:vAlign w:val="center"/>
                </w:tcPr>
                <w:p w14:paraId="660DABC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冀石化园环审[2017]3号</w:t>
                  </w:r>
                </w:p>
              </w:tc>
              <w:tc>
                <w:tcPr>
                  <w:tcW w:w="874" w:type="pct"/>
                  <w:vAlign w:val="center"/>
                </w:tcPr>
                <w:p w14:paraId="2A37E13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废气、废水自主验收</w:t>
                  </w:r>
                </w:p>
              </w:tc>
              <w:tc>
                <w:tcPr>
                  <w:tcW w:w="361" w:type="pct"/>
                  <w:vMerge w:val="restart"/>
                  <w:vAlign w:val="center"/>
                </w:tcPr>
                <w:p w14:paraId="24F9279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2018.</w:t>
                  </w:r>
                  <w:r>
                    <w:rPr>
                      <w:rFonts w:hint="eastAsia"/>
                      <w:color w:val="auto"/>
                      <w:sz w:val="21"/>
                      <w:szCs w:val="21"/>
                      <w:highlight w:val="none"/>
                      <w:lang w:val="en-US" w:eastAsia="zh-CN"/>
                    </w:rPr>
                    <w:t>12</w:t>
                  </w:r>
                  <w:r>
                    <w:rPr>
                      <w:rFonts w:hint="default"/>
                      <w:color w:val="auto"/>
                      <w:sz w:val="21"/>
                      <w:szCs w:val="21"/>
                      <w:highlight w:val="none"/>
                      <w:lang w:val="en-US" w:eastAsia="zh-CN"/>
                    </w:rPr>
                    <w:t>.1</w:t>
                  </w:r>
                  <w:r>
                    <w:rPr>
                      <w:rFonts w:hint="eastAsia"/>
                      <w:color w:val="auto"/>
                      <w:sz w:val="21"/>
                      <w:szCs w:val="21"/>
                      <w:highlight w:val="none"/>
                      <w:lang w:val="en-US" w:eastAsia="zh-CN"/>
                    </w:rPr>
                    <w:t>5</w:t>
                  </w:r>
                </w:p>
              </w:tc>
              <w:tc>
                <w:tcPr>
                  <w:tcW w:w="437" w:type="pct"/>
                  <w:vAlign w:val="center"/>
                </w:tcPr>
                <w:p w14:paraId="4E82CAC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558BF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Merge w:val="continue"/>
                  <w:vAlign w:val="center"/>
                </w:tcPr>
                <w:p w14:paraId="69E1310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785" w:type="pct"/>
                  <w:vMerge w:val="continue"/>
                  <w:vAlign w:val="center"/>
                </w:tcPr>
                <w:p w14:paraId="561ACB7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178" w:type="pct"/>
                  <w:vMerge w:val="continue"/>
                  <w:vAlign w:val="center"/>
                </w:tcPr>
                <w:p w14:paraId="43D074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67" w:type="pct"/>
                  <w:vMerge w:val="continue"/>
                  <w:vAlign w:val="center"/>
                </w:tcPr>
                <w:p w14:paraId="744D6D6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continue"/>
                  <w:vAlign w:val="center"/>
                </w:tcPr>
                <w:p w14:paraId="5F67815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597" w:type="pct"/>
                  <w:vMerge w:val="continue"/>
                  <w:vAlign w:val="center"/>
                </w:tcPr>
                <w:p w14:paraId="62FD520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381" w:type="pct"/>
                  <w:vMerge w:val="continue"/>
                  <w:vAlign w:val="center"/>
                </w:tcPr>
                <w:p w14:paraId="132C9F3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735" w:type="pct"/>
                  <w:vMerge w:val="continue"/>
                  <w:vAlign w:val="center"/>
                </w:tcPr>
                <w:p w14:paraId="7C5C852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874" w:type="pct"/>
                  <w:vAlign w:val="center"/>
                </w:tcPr>
                <w:p w14:paraId="0F9B8AB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河北石家庄循环化工园区行政审批局对项目固废、噪声进行验收</w:t>
                  </w:r>
                </w:p>
              </w:tc>
              <w:tc>
                <w:tcPr>
                  <w:tcW w:w="361" w:type="pct"/>
                  <w:vMerge w:val="continue"/>
                  <w:vAlign w:val="center"/>
                </w:tcPr>
                <w:p w14:paraId="1AE25A3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437" w:type="pct"/>
                  <w:vAlign w:val="center"/>
                </w:tcPr>
                <w:p w14:paraId="002A78E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bookmarkStart w:id="26" w:name="OLE_LINK1"/>
                  <w:r>
                    <w:rPr>
                      <w:rFonts w:hint="eastAsia"/>
                      <w:color w:val="auto"/>
                      <w:sz w:val="21"/>
                      <w:szCs w:val="21"/>
                      <w:highlight w:val="none"/>
                      <w:lang w:val="en-US" w:eastAsia="zh-CN"/>
                    </w:rPr>
                    <w:t>冀石化园行审环验</w:t>
                  </w:r>
                  <w:r>
                    <w:rPr>
                      <w:rFonts w:hint="default"/>
                      <w:color w:val="auto"/>
                      <w:sz w:val="21"/>
                      <w:szCs w:val="21"/>
                      <w:highlight w:val="none"/>
                    </w:rPr>
                    <w:t>[201</w:t>
                  </w:r>
                  <w:r>
                    <w:rPr>
                      <w:rFonts w:hint="eastAsia"/>
                      <w:color w:val="auto"/>
                      <w:sz w:val="21"/>
                      <w:szCs w:val="21"/>
                      <w:highlight w:val="none"/>
                      <w:lang w:val="en-US" w:eastAsia="zh-CN"/>
                    </w:rPr>
                    <w:t>8</w:t>
                  </w:r>
                  <w:r>
                    <w:rPr>
                      <w:rFonts w:hint="default"/>
                      <w:color w:val="auto"/>
                      <w:sz w:val="21"/>
                      <w:szCs w:val="21"/>
                      <w:highlight w:val="none"/>
                    </w:rPr>
                    <w:t>]</w:t>
                  </w:r>
                  <w:r>
                    <w:rPr>
                      <w:rFonts w:hint="eastAsia"/>
                      <w:color w:val="auto"/>
                      <w:sz w:val="21"/>
                      <w:szCs w:val="21"/>
                      <w:highlight w:val="none"/>
                      <w:lang w:val="en-US" w:eastAsia="zh-CN"/>
                    </w:rPr>
                    <w:t>7</w:t>
                  </w:r>
                  <w:r>
                    <w:rPr>
                      <w:rFonts w:hint="default"/>
                      <w:color w:val="auto"/>
                      <w:sz w:val="21"/>
                      <w:szCs w:val="21"/>
                      <w:highlight w:val="none"/>
                    </w:rPr>
                    <w:t>号</w:t>
                  </w:r>
                  <w:bookmarkEnd w:id="26"/>
                </w:p>
              </w:tc>
            </w:tr>
            <w:tr w14:paraId="53D1A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Merge w:val="restart"/>
                  <w:vAlign w:val="center"/>
                </w:tcPr>
                <w:p w14:paraId="7606D67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val="en-US" w:eastAsia="zh-CN"/>
                    </w:rPr>
                    <w:t>8</w:t>
                  </w:r>
                </w:p>
              </w:tc>
              <w:tc>
                <w:tcPr>
                  <w:tcW w:w="785" w:type="pct"/>
                  <w:vMerge w:val="restart"/>
                  <w:vAlign w:val="center"/>
                </w:tcPr>
                <w:p w14:paraId="083E1A3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10000吨液体甜菜碱项目</w:t>
                  </w:r>
                </w:p>
              </w:tc>
              <w:tc>
                <w:tcPr>
                  <w:tcW w:w="178" w:type="pct"/>
                  <w:vMerge w:val="restart"/>
                  <w:vAlign w:val="center"/>
                </w:tcPr>
                <w:p w14:paraId="033314F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报告书</w:t>
                  </w:r>
                </w:p>
              </w:tc>
              <w:tc>
                <w:tcPr>
                  <w:tcW w:w="267" w:type="pct"/>
                  <w:vMerge w:val="continue"/>
                  <w:vAlign w:val="center"/>
                </w:tcPr>
                <w:p w14:paraId="4C9B8A0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restart"/>
                  <w:vAlign w:val="center"/>
                </w:tcPr>
                <w:p w14:paraId="3ED897A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eastAsia="zh-CN"/>
                    </w:rPr>
                    <w:t>已验收</w:t>
                  </w:r>
                </w:p>
              </w:tc>
              <w:tc>
                <w:tcPr>
                  <w:tcW w:w="597" w:type="pct"/>
                  <w:vMerge w:val="restart"/>
                  <w:vAlign w:val="center"/>
                </w:tcPr>
                <w:p w14:paraId="66E74BC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河北石家庄循环化工园区行政审批局</w:t>
                  </w:r>
                </w:p>
              </w:tc>
              <w:tc>
                <w:tcPr>
                  <w:tcW w:w="381" w:type="pct"/>
                  <w:vMerge w:val="restart"/>
                  <w:vAlign w:val="center"/>
                </w:tcPr>
                <w:p w14:paraId="678F0F7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2017.</w:t>
                  </w:r>
                  <w:r>
                    <w:rPr>
                      <w:rFonts w:hint="eastAsia"/>
                      <w:color w:val="auto"/>
                      <w:sz w:val="21"/>
                      <w:szCs w:val="21"/>
                      <w:highlight w:val="none"/>
                      <w:lang w:val="en-US" w:eastAsia="zh-CN"/>
                    </w:rPr>
                    <w:t>11</w:t>
                  </w:r>
                  <w:r>
                    <w:rPr>
                      <w:rFonts w:hint="default"/>
                      <w:color w:val="auto"/>
                      <w:sz w:val="21"/>
                      <w:szCs w:val="21"/>
                      <w:highlight w:val="none"/>
                      <w:lang w:val="en-US" w:eastAsia="zh-CN"/>
                    </w:rPr>
                    <w:t>.1</w:t>
                  </w:r>
                  <w:r>
                    <w:rPr>
                      <w:rFonts w:hint="eastAsia"/>
                      <w:color w:val="auto"/>
                      <w:sz w:val="21"/>
                      <w:szCs w:val="21"/>
                      <w:highlight w:val="none"/>
                      <w:lang w:val="en-US" w:eastAsia="zh-CN"/>
                    </w:rPr>
                    <w:t>3</w:t>
                  </w:r>
                </w:p>
              </w:tc>
              <w:tc>
                <w:tcPr>
                  <w:tcW w:w="735" w:type="pct"/>
                  <w:vMerge w:val="restart"/>
                  <w:vAlign w:val="center"/>
                </w:tcPr>
                <w:p w14:paraId="762099E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冀石化园环审[2017]</w:t>
                  </w:r>
                  <w:r>
                    <w:rPr>
                      <w:rFonts w:hint="default"/>
                      <w:color w:val="auto"/>
                      <w:sz w:val="21"/>
                      <w:szCs w:val="21"/>
                      <w:highlight w:val="none"/>
                      <w:lang w:val="en-US" w:eastAsia="zh-CN"/>
                    </w:rPr>
                    <w:t>4</w:t>
                  </w:r>
                  <w:r>
                    <w:rPr>
                      <w:rFonts w:hint="default"/>
                      <w:color w:val="auto"/>
                      <w:sz w:val="21"/>
                      <w:szCs w:val="21"/>
                      <w:highlight w:val="none"/>
                    </w:rPr>
                    <w:t>号</w:t>
                  </w:r>
                </w:p>
              </w:tc>
              <w:tc>
                <w:tcPr>
                  <w:tcW w:w="874" w:type="pct"/>
                  <w:vAlign w:val="center"/>
                </w:tcPr>
                <w:p w14:paraId="35C6235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废气、废水自主验收</w:t>
                  </w:r>
                </w:p>
              </w:tc>
              <w:tc>
                <w:tcPr>
                  <w:tcW w:w="361" w:type="pct"/>
                  <w:vMerge w:val="restart"/>
                  <w:vAlign w:val="center"/>
                </w:tcPr>
                <w:p w14:paraId="3ABD47C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2018.1</w:t>
                  </w:r>
                  <w:r>
                    <w:rPr>
                      <w:rFonts w:hint="eastAsia"/>
                      <w:color w:val="auto"/>
                      <w:sz w:val="21"/>
                      <w:szCs w:val="21"/>
                      <w:highlight w:val="none"/>
                      <w:lang w:val="en-US" w:eastAsia="zh-CN"/>
                    </w:rPr>
                    <w:t>2</w:t>
                  </w:r>
                  <w:r>
                    <w:rPr>
                      <w:rFonts w:hint="default"/>
                      <w:color w:val="auto"/>
                      <w:sz w:val="21"/>
                      <w:szCs w:val="21"/>
                      <w:highlight w:val="none"/>
                      <w:lang w:val="en-US" w:eastAsia="zh-CN"/>
                    </w:rPr>
                    <w:t>.1</w:t>
                  </w:r>
                  <w:r>
                    <w:rPr>
                      <w:rFonts w:hint="eastAsia"/>
                      <w:color w:val="auto"/>
                      <w:sz w:val="21"/>
                      <w:szCs w:val="21"/>
                      <w:highlight w:val="none"/>
                      <w:lang w:val="en-US" w:eastAsia="zh-CN"/>
                    </w:rPr>
                    <w:t>3</w:t>
                  </w:r>
                </w:p>
              </w:tc>
              <w:tc>
                <w:tcPr>
                  <w:tcW w:w="437" w:type="pct"/>
                  <w:vAlign w:val="center"/>
                </w:tcPr>
                <w:p w14:paraId="22F050E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24EC4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Merge w:val="continue"/>
                  <w:vAlign w:val="center"/>
                </w:tcPr>
                <w:p w14:paraId="16C9EAD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785" w:type="pct"/>
                  <w:vMerge w:val="continue"/>
                  <w:vAlign w:val="center"/>
                </w:tcPr>
                <w:p w14:paraId="46B9D95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178" w:type="pct"/>
                  <w:vMerge w:val="continue"/>
                  <w:vAlign w:val="center"/>
                </w:tcPr>
                <w:p w14:paraId="453B650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67" w:type="pct"/>
                  <w:vMerge w:val="continue"/>
                  <w:vAlign w:val="center"/>
                </w:tcPr>
                <w:p w14:paraId="576B341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Merge w:val="continue"/>
                  <w:vAlign w:val="center"/>
                </w:tcPr>
                <w:p w14:paraId="45DEB54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597" w:type="pct"/>
                  <w:vMerge w:val="continue"/>
                  <w:vAlign w:val="center"/>
                </w:tcPr>
                <w:p w14:paraId="78607F9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381" w:type="pct"/>
                  <w:vMerge w:val="continue"/>
                  <w:vAlign w:val="center"/>
                </w:tcPr>
                <w:p w14:paraId="4375036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735" w:type="pct"/>
                  <w:vMerge w:val="continue"/>
                  <w:vAlign w:val="center"/>
                </w:tcPr>
                <w:p w14:paraId="2B508E6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874" w:type="pct"/>
                  <w:vAlign w:val="center"/>
                </w:tcPr>
                <w:p w14:paraId="3431B65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河北石家庄循环化工园区行政审批局对项目固废、噪声进行验收</w:t>
                  </w:r>
                </w:p>
              </w:tc>
              <w:tc>
                <w:tcPr>
                  <w:tcW w:w="361" w:type="pct"/>
                  <w:vMerge w:val="continue"/>
                  <w:vAlign w:val="center"/>
                </w:tcPr>
                <w:p w14:paraId="66056E6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437" w:type="pct"/>
                  <w:vAlign w:val="center"/>
                </w:tcPr>
                <w:p w14:paraId="18C1142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冀石化园行审环验</w:t>
                  </w:r>
                  <w:r>
                    <w:rPr>
                      <w:rFonts w:hint="default"/>
                      <w:color w:val="auto"/>
                      <w:sz w:val="21"/>
                      <w:szCs w:val="21"/>
                      <w:highlight w:val="none"/>
                    </w:rPr>
                    <w:t>[201</w:t>
                  </w:r>
                  <w:r>
                    <w:rPr>
                      <w:rFonts w:hint="eastAsia"/>
                      <w:color w:val="auto"/>
                      <w:sz w:val="21"/>
                      <w:szCs w:val="21"/>
                      <w:highlight w:val="none"/>
                      <w:lang w:val="en-US" w:eastAsia="zh-CN"/>
                    </w:rPr>
                    <w:t>8</w:t>
                  </w:r>
                  <w:r>
                    <w:rPr>
                      <w:rFonts w:hint="default"/>
                      <w:color w:val="auto"/>
                      <w:sz w:val="21"/>
                      <w:szCs w:val="21"/>
                      <w:highlight w:val="none"/>
                    </w:rPr>
                    <w:t>]</w:t>
                  </w:r>
                  <w:r>
                    <w:rPr>
                      <w:rFonts w:hint="eastAsia"/>
                      <w:color w:val="auto"/>
                      <w:sz w:val="21"/>
                      <w:szCs w:val="21"/>
                      <w:highlight w:val="none"/>
                      <w:lang w:val="en-US" w:eastAsia="zh-CN"/>
                    </w:rPr>
                    <w:t>6</w:t>
                  </w:r>
                  <w:r>
                    <w:rPr>
                      <w:rFonts w:hint="default"/>
                      <w:color w:val="auto"/>
                      <w:sz w:val="21"/>
                      <w:szCs w:val="21"/>
                      <w:highlight w:val="none"/>
                    </w:rPr>
                    <w:t>号</w:t>
                  </w:r>
                </w:p>
              </w:tc>
            </w:tr>
            <w:tr w14:paraId="71737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1057D1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9</w:t>
                  </w:r>
                </w:p>
              </w:tc>
              <w:tc>
                <w:tcPr>
                  <w:tcW w:w="785" w:type="pct"/>
                  <w:vAlign w:val="center"/>
                </w:tcPr>
                <w:p w14:paraId="4F917E0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污泥减量化项目</w:t>
                  </w:r>
                </w:p>
              </w:tc>
              <w:tc>
                <w:tcPr>
                  <w:tcW w:w="178" w:type="pct"/>
                  <w:vAlign w:val="center"/>
                </w:tcPr>
                <w:p w14:paraId="394B4E7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270852E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3142FD4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565103B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008B237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2019.2.21</w:t>
                  </w:r>
                </w:p>
              </w:tc>
              <w:tc>
                <w:tcPr>
                  <w:tcW w:w="735" w:type="pct"/>
                  <w:vAlign w:val="center"/>
                </w:tcPr>
                <w:p w14:paraId="28C125E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备案号：201913018200000057</w:t>
                  </w:r>
                </w:p>
              </w:tc>
              <w:tc>
                <w:tcPr>
                  <w:tcW w:w="874" w:type="pct"/>
                  <w:vAlign w:val="center"/>
                </w:tcPr>
                <w:p w14:paraId="6B9EA8B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527DC70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3D7A42E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557BF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CB1EBE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10</w:t>
                  </w:r>
                </w:p>
              </w:tc>
              <w:tc>
                <w:tcPr>
                  <w:tcW w:w="785" w:type="pct"/>
                  <w:vAlign w:val="center"/>
                </w:tcPr>
                <w:p w14:paraId="170C8D9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成品暂存和周转库房建设项目</w:t>
                  </w:r>
                </w:p>
              </w:tc>
              <w:tc>
                <w:tcPr>
                  <w:tcW w:w="178" w:type="pct"/>
                  <w:vAlign w:val="center"/>
                </w:tcPr>
                <w:p w14:paraId="1B0FF75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33BAEC9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12E2C01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7789AB5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09CF34C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2019.2.22</w:t>
                  </w:r>
                </w:p>
              </w:tc>
              <w:tc>
                <w:tcPr>
                  <w:tcW w:w="735" w:type="pct"/>
                  <w:vAlign w:val="center"/>
                </w:tcPr>
                <w:p w14:paraId="21A6450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备案号：201913018200000060</w:t>
                  </w:r>
                </w:p>
              </w:tc>
              <w:tc>
                <w:tcPr>
                  <w:tcW w:w="874" w:type="pct"/>
                  <w:vAlign w:val="center"/>
                </w:tcPr>
                <w:p w14:paraId="6E12B4C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6DD5168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3D4A1A8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6DF83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D9110B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11</w:t>
                  </w:r>
                </w:p>
              </w:tc>
              <w:tc>
                <w:tcPr>
                  <w:tcW w:w="785" w:type="pct"/>
                  <w:vAlign w:val="center"/>
                </w:tcPr>
                <w:p w14:paraId="45812FD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工业氨基乙酸周转库房建设项目</w:t>
                  </w:r>
                </w:p>
              </w:tc>
              <w:tc>
                <w:tcPr>
                  <w:tcW w:w="178" w:type="pct"/>
                  <w:vAlign w:val="center"/>
                </w:tcPr>
                <w:p w14:paraId="0581817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519B5C9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784D37C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4EAF260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43E2400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2019.3.21</w:t>
                  </w:r>
                </w:p>
              </w:tc>
              <w:tc>
                <w:tcPr>
                  <w:tcW w:w="735" w:type="pct"/>
                  <w:vAlign w:val="center"/>
                </w:tcPr>
                <w:p w14:paraId="41B56B6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备案号：201913018200000105</w:t>
                  </w:r>
                </w:p>
              </w:tc>
              <w:tc>
                <w:tcPr>
                  <w:tcW w:w="874" w:type="pct"/>
                  <w:vAlign w:val="center"/>
                </w:tcPr>
                <w:p w14:paraId="64715A4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53A6161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05A3EF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5AB1C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FDAA38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12</w:t>
                  </w:r>
                </w:p>
              </w:tc>
              <w:tc>
                <w:tcPr>
                  <w:tcW w:w="785" w:type="pct"/>
                  <w:vAlign w:val="center"/>
                </w:tcPr>
                <w:p w14:paraId="52486D2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废气和固废治理措施技改项目</w:t>
                  </w:r>
                </w:p>
              </w:tc>
              <w:tc>
                <w:tcPr>
                  <w:tcW w:w="178" w:type="pct"/>
                  <w:vAlign w:val="center"/>
                </w:tcPr>
                <w:p w14:paraId="2A89FF0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eastAsia"/>
                      <w:color w:val="auto"/>
                      <w:sz w:val="21"/>
                      <w:szCs w:val="21"/>
                      <w:highlight w:val="none"/>
                      <w:lang w:val="en-US" w:eastAsia="zh-CN"/>
                    </w:rPr>
                    <w:t>报告表</w:t>
                  </w:r>
                </w:p>
              </w:tc>
              <w:tc>
                <w:tcPr>
                  <w:tcW w:w="267" w:type="pct"/>
                  <w:vMerge w:val="continue"/>
                  <w:vAlign w:val="center"/>
                </w:tcPr>
                <w:p w14:paraId="654DBDA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vAlign w:val="center"/>
                </w:tcPr>
                <w:p w14:paraId="05D0285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eastAsia="zh-CN"/>
                    </w:rPr>
                    <w:t>已验收</w:t>
                  </w:r>
                </w:p>
              </w:tc>
              <w:tc>
                <w:tcPr>
                  <w:tcW w:w="597" w:type="pct"/>
                  <w:vAlign w:val="center"/>
                </w:tcPr>
                <w:p w14:paraId="077E73D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河北石家庄循环化工园区行政审批局</w:t>
                  </w:r>
                </w:p>
              </w:tc>
              <w:tc>
                <w:tcPr>
                  <w:tcW w:w="381" w:type="pct"/>
                  <w:vAlign w:val="center"/>
                </w:tcPr>
                <w:p w14:paraId="46CADB1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2019.7.3</w:t>
                  </w:r>
                </w:p>
              </w:tc>
              <w:tc>
                <w:tcPr>
                  <w:tcW w:w="735" w:type="pct"/>
                  <w:vAlign w:val="center"/>
                </w:tcPr>
                <w:p w14:paraId="309D63E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874" w:type="pct"/>
                  <w:vAlign w:val="center"/>
                </w:tcPr>
                <w:p w14:paraId="2B6DAF1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河北石家庄循环化工园区行政审批局</w:t>
                  </w:r>
                </w:p>
              </w:tc>
              <w:tc>
                <w:tcPr>
                  <w:tcW w:w="361" w:type="pct"/>
                  <w:vAlign w:val="center"/>
                </w:tcPr>
                <w:p w14:paraId="0C39D13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2020.1.4</w:t>
                  </w:r>
                </w:p>
              </w:tc>
              <w:tc>
                <w:tcPr>
                  <w:tcW w:w="437" w:type="pct"/>
                  <w:vAlign w:val="center"/>
                </w:tcPr>
                <w:p w14:paraId="2A5D7FD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环验</w:t>
                  </w:r>
                  <w:r>
                    <w:rPr>
                      <w:rFonts w:hint="default"/>
                      <w:color w:val="auto"/>
                      <w:sz w:val="21"/>
                      <w:szCs w:val="21"/>
                      <w:highlight w:val="none"/>
                      <w:lang w:val="en-US" w:eastAsia="zh-CN"/>
                    </w:rPr>
                    <w:t>[</w:t>
                  </w:r>
                  <w:r>
                    <w:rPr>
                      <w:rFonts w:hint="default"/>
                      <w:color w:val="auto"/>
                      <w:sz w:val="21"/>
                      <w:szCs w:val="21"/>
                      <w:highlight w:val="none"/>
                    </w:rPr>
                    <w:t>2020</w:t>
                  </w:r>
                  <w:r>
                    <w:rPr>
                      <w:rFonts w:hint="default"/>
                      <w:color w:val="auto"/>
                      <w:sz w:val="21"/>
                      <w:szCs w:val="21"/>
                      <w:highlight w:val="none"/>
                      <w:lang w:val="en-US" w:eastAsia="zh-CN"/>
                    </w:rPr>
                    <w:t>]</w:t>
                  </w:r>
                  <w:r>
                    <w:rPr>
                      <w:rFonts w:hint="default"/>
                      <w:color w:val="auto"/>
                      <w:sz w:val="21"/>
                      <w:szCs w:val="21"/>
                      <w:highlight w:val="none"/>
                    </w:rPr>
                    <w:t>1号</w:t>
                  </w:r>
                </w:p>
              </w:tc>
            </w:tr>
            <w:tr w14:paraId="1E779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A843D8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13</w:t>
                  </w:r>
                </w:p>
              </w:tc>
              <w:tc>
                <w:tcPr>
                  <w:tcW w:w="785" w:type="pct"/>
                  <w:vAlign w:val="center"/>
                </w:tcPr>
                <w:p w14:paraId="6D2A863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氯化铵工段环保治理设施提升改造及资源化利用项目</w:t>
                  </w:r>
                </w:p>
              </w:tc>
              <w:tc>
                <w:tcPr>
                  <w:tcW w:w="178" w:type="pct"/>
                  <w:vAlign w:val="center"/>
                </w:tcPr>
                <w:p w14:paraId="36FF7C4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eastAsia="zh-CN"/>
                    </w:rPr>
                  </w:pPr>
                  <w:r>
                    <w:rPr>
                      <w:rFonts w:hint="default"/>
                      <w:color w:val="auto"/>
                      <w:sz w:val="21"/>
                      <w:szCs w:val="21"/>
                      <w:highlight w:val="none"/>
                      <w:lang w:eastAsia="zh-CN"/>
                    </w:rPr>
                    <w:t>报告书</w:t>
                  </w:r>
                </w:p>
              </w:tc>
              <w:tc>
                <w:tcPr>
                  <w:tcW w:w="267" w:type="pct"/>
                  <w:vMerge w:val="continue"/>
                  <w:vAlign w:val="center"/>
                </w:tcPr>
                <w:p w14:paraId="10790BA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3EE5B30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已验收</w:t>
                  </w:r>
                </w:p>
              </w:tc>
              <w:tc>
                <w:tcPr>
                  <w:tcW w:w="597" w:type="pct"/>
                  <w:shd w:val="clear" w:color="auto" w:fill="auto"/>
                  <w:vAlign w:val="center"/>
                </w:tcPr>
                <w:p w14:paraId="3374A39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河北石家庄循环化工园区行政审批局</w:t>
                  </w:r>
                </w:p>
              </w:tc>
              <w:tc>
                <w:tcPr>
                  <w:tcW w:w="381" w:type="pct"/>
                  <w:shd w:val="clear" w:color="auto" w:fill="auto"/>
                  <w:vAlign w:val="center"/>
                </w:tcPr>
                <w:p w14:paraId="3A8F885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2019.9.11</w:t>
                  </w:r>
                </w:p>
              </w:tc>
              <w:tc>
                <w:tcPr>
                  <w:tcW w:w="735" w:type="pct"/>
                  <w:shd w:val="clear" w:color="auto" w:fill="auto"/>
                  <w:vAlign w:val="center"/>
                </w:tcPr>
                <w:p w14:paraId="68F7719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冀石化园行审环批</w:t>
                  </w:r>
                  <w:r>
                    <w:rPr>
                      <w:rFonts w:hint="default"/>
                      <w:color w:val="auto"/>
                      <w:sz w:val="21"/>
                      <w:szCs w:val="21"/>
                      <w:highlight w:val="none"/>
                      <w:lang w:val="en-US" w:eastAsia="zh-CN"/>
                    </w:rPr>
                    <w:t>[</w:t>
                  </w:r>
                  <w:r>
                    <w:rPr>
                      <w:rFonts w:hint="default"/>
                      <w:color w:val="auto"/>
                      <w:sz w:val="21"/>
                      <w:szCs w:val="21"/>
                      <w:highlight w:val="none"/>
                    </w:rPr>
                    <w:t>2019</w:t>
                  </w:r>
                  <w:r>
                    <w:rPr>
                      <w:rFonts w:hint="default"/>
                      <w:color w:val="auto"/>
                      <w:sz w:val="21"/>
                      <w:szCs w:val="21"/>
                      <w:highlight w:val="none"/>
                      <w:lang w:val="en-US" w:eastAsia="zh-CN"/>
                    </w:rPr>
                    <w:t>]</w:t>
                  </w:r>
                  <w:r>
                    <w:rPr>
                      <w:rFonts w:hint="default"/>
                      <w:color w:val="auto"/>
                      <w:sz w:val="21"/>
                      <w:szCs w:val="21"/>
                      <w:highlight w:val="none"/>
                    </w:rPr>
                    <w:t>11号</w:t>
                  </w:r>
                </w:p>
              </w:tc>
              <w:tc>
                <w:tcPr>
                  <w:tcW w:w="874" w:type="pct"/>
                  <w:shd w:val="clear" w:color="auto" w:fill="auto"/>
                  <w:vAlign w:val="center"/>
                </w:tcPr>
                <w:p w14:paraId="5BCB8E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河北石家庄循环化工园区行政审批局</w:t>
                  </w:r>
                </w:p>
              </w:tc>
              <w:tc>
                <w:tcPr>
                  <w:tcW w:w="361" w:type="pct"/>
                  <w:shd w:val="clear" w:color="auto" w:fill="auto"/>
                  <w:vAlign w:val="center"/>
                </w:tcPr>
                <w:p w14:paraId="7D98FD1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2020.7.22</w:t>
                  </w:r>
                </w:p>
              </w:tc>
              <w:tc>
                <w:tcPr>
                  <w:tcW w:w="437" w:type="pct"/>
                  <w:shd w:val="clear" w:color="auto" w:fill="auto"/>
                  <w:vAlign w:val="center"/>
                </w:tcPr>
                <w:p w14:paraId="1E082EE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环验</w:t>
                  </w:r>
                  <w:r>
                    <w:rPr>
                      <w:rFonts w:hint="default"/>
                      <w:color w:val="auto"/>
                      <w:sz w:val="21"/>
                      <w:szCs w:val="21"/>
                      <w:highlight w:val="none"/>
                      <w:lang w:val="en-US" w:eastAsia="zh-CN"/>
                    </w:rPr>
                    <w:t>[</w:t>
                  </w:r>
                  <w:r>
                    <w:rPr>
                      <w:rFonts w:hint="default"/>
                      <w:color w:val="auto"/>
                      <w:sz w:val="21"/>
                      <w:szCs w:val="21"/>
                      <w:highlight w:val="none"/>
                    </w:rPr>
                    <w:t>2020</w:t>
                  </w:r>
                  <w:r>
                    <w:rPr>
                      <w:rFonts w:hint="default"/>
                      <w:color w:val="auto"/>
                      <w:sz w:val="21"/>
                      <w:szCs w:val="21"/>
                      <w:highlight w:val="none"/>
                      <w:lang w:val="en-US" w:eastAsia="zh-CN"/>
                    </w:rPr>
                    <w:t>]</w:t>
                  </w:r>
                  <w:r>
                    <w:rPr>
                      <w:rFonts w:hint="default"/>
                      <w:color w:val="auto"/>
                      <w:sz w:val="21"/>
                      <w:szCs w:val="21"/>
                      <w:highlight w:val="none"/>
                    </w:rPr>
                    <w:t>6号</w:t>
                  </w:r>
                </w:p>
              </w:tc>
            </w:tr>
            <w:tr w14:paraId="195EA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5F0607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14</w:t>
                  </w:r>
                </w:p>
              </w:tc>
              <w:tc>
                <w:tcPr>
                  <w:tcW w:w="785" w:type="pct"/>
                  <w:vAlign w:val="center"/>
                </w:tcPr>
                <w:p w14:paraId="591ACF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甘氨酸钠尾气治理设施升级改造项目</w:t>
                  </w:r>
                </w:p>
              </w:tc>
              <w:tc>
                <w:tcPr>
                  <w:tcW w:w="178" w:type="pct"/>
                  <w:vAlign w:val="center"/>
                </w:tcPr>
                <w:p w14:paraId="626150E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43108C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0A9DDC7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1BD9203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3C8198C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2020.3.13</w:t>
                  </w:r>
                </w:p>
              </w:tc>
              <w:tc>
                <w:tcPr>
                  <w:tcW w:w="735" w:type="pct"/>
                  <w:shd w:val="clear" w:color="auto" w:fill="auto"/>
                  <w:vAlign w:val="center"/>
                </w:tcPr>
                <w:p w14:paraId="03604C9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备案号：202013018200000086</w:t>
                  </w:r>
                </w:p>
              </w:tc>
              <w:tc>
                <w:tcPr>
                  <w:tcW w:w="874" w:type="pct"/>
                  <w:shd w:val="clear" w:color="auto" w:fill="auto"/>
                  <w:vAlign w:val="center"/>
                </w:tcPr>
                <w:p w14:paraId="5BC2D6B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149BAF8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7DB499E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32212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67762C0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15</w:t>
                  </w:r>
                </w:p>
              </w:tc>
              <w:tc>
                <w:tcPr>
                  <w:tcW w:w="785" w:type="pct"/>
                  <w:vAlign w:val="center"/>
                </w:tcPr>
                <w:p w14:paraId="09B9173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盐酸罐区罐内呼吸气三级碱吸收治理项目</w:t>
                  </w:r>
                </w:p>
              </w:tc>
              <w:tc>
                <w:tcPr>
                  <w:tcW w:w="178" w:type="pct"/>
                  <w:vAlign w:val="center"/>
                </w:tcPr>
                <w:p w14:paraId="40CB666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664526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13BF9A3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0D35C6C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3FC4716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2020.3.19</w:t>
                  </w:r>
                </w:p>
              </w:tc>
              <w:tc>
                <w:tcPr>
                  <w:tcW w:w="735" w:type="pct"/>
                  <w:shd w:val="clear" w:color="auto" w:fill="auto"/>
                  <w:vAlign w:val="center"/>
                </w:tcPr>
                <w:p w14:paraId="6C762A5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备案号：202013018200000105</w:t>
                  </w:r>
                </w:p>
              </w:tc>
              <w:tc>
                <w:tcPr>
                  <w:tcW w:w="874" w:type="pct"/>
                  <w:shd w:val="clear" w:color="auto" w:fill="auto"/>
                  <w:vAlign w:val="center"/>
                </w:tcPr>
                <w:p w14:paraId="7E3C533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4846CB2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1F73DC3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44D67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E75BEA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16</w:t>
                  </w:r>
                </w:p>
              </w:tc>
              <w:tc>
                <w:tcPr>
                  <w:tcW w:w="785" w:type="pct"/>
                  <w:vAlign w:val="center"/>
                </w:tcPr>
                <w:p w14:paraId="1BF8E9A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职工食堂油烟治理项目</w:t>
                  </w:r>
                </w:p>
              </w:tc>
              <w:tc>
                <w:tcPr>
                  <w:tcW w:w="178" w:type="pct"/>
                  <w:vAlign w:val="center"/>
                </w:tcPr>
                <w:p w14:paraId="2323F4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57824AF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257D2EF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5C37E4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63A117B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2020.6.4</w:t>
                  </w:r>
                </w:p>
              </w:tc>
              <w:tc>
                <w:tcPr>
                  <w:tcW w:w="735" w:type="pct"/>
                  <w:shd w:val="clear" w:color="auto" w:fill="auto"/>
                  <w:vAlign w:val="center"/>
                </w:tcPr>
                <w:p w14:paraId="1F8FDC6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备案号：202013018200000278</w:t>
                  </w:r>
                </w:p>
              </w:tc>
              <w:tc>
                <w:tcPr>
                  <w:tcW w:w="874" w:type="pct"/>
                  <w:shd w:val="clear" w:color="auto" w:fill="auto"/>
                  <w:vAlign w:val="center"/>
                </w:tcPr>
                <w:p w14:paraId="5AFBAE2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79F657C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691F34D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78EA1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D21889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17</w:t>
                  </w:r>
                </w:p>
              </w:tc>
              <w:tc>
                <w:tcPr>
                  <w:tcW w:w="785" w:type="pct"/>
                  <w:vAlign w:val="center"/>
                </w:tcPr>
                <w:p w14:paraId="4DA9A6F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精制品车间除尘项目</w:t>
                  </w:r>
                </w:p>
              </w:tc>
              <w:tc>
                <w:tcPr>
                  <w:tcW w:w="178" w:type="pct"/>
                  <w:vAlign w:val="center"/>
                </w:tcPr>
                <w:p w14:paraId="6C0C500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605F408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77F8DA1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688C2B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2028744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2020.6.15</w:t>
                  </w:r>
                </w:p>
              </w:tc>
              <w:tc>
                <w:tcPr>
                  <w:tcW w:w="735" w:type="pct"/>
                  <w:shd w:val="clear" w:color="auto" w:fill="auto"/>
                  <w:vAlign w:val="center"/>
                </w:tcPr>
                <w:p w14:paraId="6E6234C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备案号：202013018200000292</w:t>
                  </w:r>
                </w:p>
              </w:tc>
              <w:tc>
                <w:tcPr>
                  <w:tcW w:w="874" w:type="pct"/>
                  <w:shd w:val="clear" w:color="auto" w:fill="auto"/>
                  <w:vAlign w:val="center"/>
                </w:tcPr>
                <w:p w14:paraId="58DFE38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59BA44A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5ACE1E0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6CDE5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54BEDD2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18</w:t>
                  </w:r>
                </w:p>
              </w:tc>
              <w:tc>
                <w:tcPr>
                  <w:tcW w:w="785" w:type="pct"/>
                  <w:vAlign w:val="center"/>
                </w:tcPr>
                <w:p w14:paraId="3B400CD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化验室废气收集治理项目</w:t>
                  </w:r>
                </w:p>
              </w:tc>
              <w:tc>
                <w:tcPr>
                  <w:tcW w:w="178" w:type="pct"/>
                  <w:vAlign w:val="center"/>
                </w:tcPr>
                <w:p w14:paraId="476D164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7116F1B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61E5F03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5677073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03CA66D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2021.5.17</w:t>
                  </w:r>
                </w:p>
              </w:tc>
              <w:tc>
                <w:tcPr>
                  <w:tcW w:w="735" w:type="pct"/>
                  <w:shd w:val="clear" w:color="auto" w:fill="auto"/>
                  <w:vAlign w:val="center"/>
                </w:tcPr>
                <w:p w14:paraId="449182E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备案号：202113018200000091</w:t>
                  </w:r>
                </w:p>
              </w:tc>
              <w:tc>
                <w:tcPr>
                  <w:tcW w:w="874" w:type="pct"/>
                  <w:shd w:val="clear" w:color="auto" w:fill="auto"/>
                  <w:vAlign w:val="center"/>
                </w:tcPr>
                <w:p w14:paraId="0E432E1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2746743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71135B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6E9B5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64D868C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19</w:t>
                  </w:r>
                </w:p>
              </w:tc>
              <w:tc>
                <w:tcPr>
                  <w:tcW w:w="785" w:type="pct"/>
                  <w:vAlign w:val="center"/>
                </w:tcPr>
                <w:p w14:paraId="4A39626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氯化铵工段废气治理提升改造项目</w:t>
                  </w:r>
                </w:p>
              </w:tc>
              <w:tc>
                <w:tcPr>
                  <w:tcW w:w="178" w:type="pct"/>
                  <w:vAlign w:val="center"/>
                </w:tcPr>
                <w:p w14:paraId="6422D31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74FA3FF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65761D3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78DE80A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196F74E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2021.6.21</w:t>
                  </w:r>
                </w:p>
              </w:tc>
              <w:tc>
                <w:tcPr>
                  <w:tcW w:w="735" w:type="pct"/>
                  <w:shd w:val="clear" w:color="auto" w:fill="auto"/>
                  <w:vAlign w:val="center"/>
                </w:tcPr>
                <w:p w14:paraId="2593D6B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备案号：202113018200000166</w:t>
                  </w:r>
                </w:p>
              </w:tc>
              <w:tc>
                <w:tcPr>
                  <w:tcW w:w="874" w:type="pct"/>
                  <w:shd w:val="clear" w:color="auto" w:fill="auto"/>
                  <w:vAlign w:val="center"/>
                </w:tcPr>
                <w:p w14:paraId="636898B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3295EE1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0F56C2E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4EFD7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518F33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w:t>
                  </w:r>
                </w:p>
              </w:tc>
              <w:tc>
                <w:tcPr>
                  <w:tcW w:w="785" w:type="pct"/>
                  <w:vAlign w:val="center"/>
                </w:tcPr>
                <w:p w14:paraId="0A78C5D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固体废弃物规范化存储库房建设项目</w:t>
                  </w:r>
                </w:p>
              </w:tc>
              <w:tc>
                <w:tcPr>
                  <w:tcW w:w="178" w:type="pct"/>
                  <w:vAlign w:val="center"/>
                </w:tcPr>
                <w:p w14:paraId="5B6849B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报告表</w:t>
                  </w:r>
                </w:p>
              </w:tc>
              <w:tc>
                <w:tcPr>
                  <w:tcW w:w="267" w:type="pct"/>
                  <w:vMerge w:val="continue"/>
                  <w:vAlign w:val="center"/>
                </w:tcPr>
                <w:p w14:paraId="65159E9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13AA490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04B235F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河北石家庄循环化工园区行政审批局</w:t>
                  </w:r>
                </w:p>
              </w:tc>
              <w:tc>
                <w:tcPr>
                  <w:tcW w:w="381" w:type="pct"/>
                  <w:shd w:val="clear" w:color="auto" w:fill="auto"/>
                  <w:vAlign w:val="center"/>
                </w:tcPr>
                <w:p w14:paraId="260ADE2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2021.9.28</w:t>
                  </w:r>
                </w:p>
              </w:tc>
              <w:tc>
                <w:tcPr>
                  <w:tcW w:w="735" w:type="pct"/>
                  <w:shd w:val="clear" w:color="auto" w:fill="auto"/>
                  <w:vAlign w:val="center"/>
                </w:tcPr>
                <w:p w14:paraId="1C58EC0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w:t>
                  </w:r>
                </w:p>
              </w:tc>
              <w:tc>
                <w:tcPr>
                  <w:tcW w:w="874" w:type="pct"/>
                  <w:shd w:val="clear" w:color="auto" w:fill="auto"/>
                  <w:vAlign w:val="center"/>
                </w:tcPr>
                <w:p w14:paraId="6C4C17C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自主验收</w:t>
                  </w:r>
                </w:p>
              </w:tc>
              <w:tc>
                <w:tcPr>
                  <w:tcW w:w="361" w:type="pct"/>
                  <w:shd w:val="clear" w:color="auto" w:fill="auto"/>
                  <w:vAlign w:val="center"/>
                </w:tcPr>
                <w:p w14:paraId="786AF01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2022.1.5</w:t>
                  </w:r>
                </w:p>
              </w:tc>
              <w:tc>
                <w:tcPr>
                  <w:tcW w:w="437" w:type="pct"/>
                  <w:shd w:val="clear" w:color="auto" w:fill="auto"/>
                  <w:vAlign w:val="center"/>
                </w:tcPr>
                <w:p w14:paraId="68EF4A2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w:t>
                  </w:r>
                </w:p>
              </w:tc>
            </w:tr>
            <w:tr w14:paraId="644F2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688DF3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1</w:t>
                  </w:r>
                </w:p>
              </w:tc>
              <w:tc>
                <w:tcPr>
                  <w:tcW w:w="785" w:type="pct"/>
                  <w:vAlign w:val="center"/>
                </w:tcPr>
                <w:p w14:paraId="7ADA16A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氯化铵工段废气治理吸收液变更调整项目</w:t>
                  </w:r>
                </w:p>
              </w:tc>
              <w:tc>
                <w:tcPr>
                  <w:tcW w:w="178" w:type="pct"/>
                  <w:vAlign w:val="center"/>
                </w:tcPr>
                <w:p w14:paraId="257D8EE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2A3190D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50495D8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rPr>
                    <w:t>已建设</w:t>
                  </w:r>
                </w:p>
              </w:tc>
              <w:tc>
                <w:tcPr>
                  <w:tcW w:w="597" w:type="pct"/>
                  <w:shd w:val="clear" w:color="auto" w:fill="auto"/>
                  <w:vAlign w:val="center"/>
                </w:tcPr>
                <w:p w14:paraId="0E3F1A9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81" w:type="pct"/>
                  <w:shd w:val="clear" w:color="auto" w:fill="auto"/>
                  <w:vAlign w:val="center"/>
                </w:tcPr>
                <w:p w14:paraId="56940A6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2021.8.19</w:t>
                  </w:r>
                </w:p>
              </w:tc>
              <w:tc>
                <w:tcPr>
                  <w:tcW w:w="735" w:type="pct"/>
                  <w:shd w:val="clear" w:color="auto" w:fill="auto"/>
                  <w:vAlign w:val="center"/>
                </w:tcPr>
                <w:p w14:paraId="2EECE45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备案号：2021130182000002</w:t>
                  </w:r>
                  <w:r>
                    <w:rPr>
                      <w:rFonts w:hint="default"/>
                      <w:color w:val="auto"/>
                      <w:sz w:val="21"/>
                      <w:szCs w:val="21"/>
                      <w:highlight w:val="none"/>
                      <w:lang w:val="en-US" w:eastAsia="zh-CN"/>
                    </w:rPr>
                    <w:t>81</w:t>
                  </w:r>
                </w:p>
              </w:tc>
              <w:tc>
                <w:tcPr>
                  <w:tcW w:w="874" w:type="pct"/>
                  <w:shd w:val="clear" w:color="auto" w:fill="auto"/>
                  <w:vAlign w:val="center"/>
                </w:tcPr>
                <w:p w14:paraId="57CB9FE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1417BDD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4785C61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33F03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67BFC91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2</w:t>
                  </w:r>
                </w:p>
              </w:tc>
              <w:tc>
                <w:tcPr>
                  <w:tcW w:w="785" w:type="pct"/>
                  <w:vAlign w:val="center"/>
                </w:tcPr>
                <w:p w14:paraId="1B964F9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精制品车间母液浓缩废气与六车间无组织废气合并项目</w:t>
                  </w:r>
                </w:p>
              </w:tc>
              <w:tc>
                <w:tcPr>
                  <w:tcW w:w="178" w:type="pct"/>
                  <w:vAlign w:val="center"/>
                </w:tcPr>
                <w:p w14:paraId="54B90AF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E8B325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608C390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shd w:val="clear" w:color="auto" w:fill="auto"/>
                  <w:vAlign w:val="center"/>
                </w:tcPr>
                <w:p w14:paraId="62AE623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shd w:val="clear" w:color="auto" w:fill="auto"/>
                  <w:vAlign w:val="center"/>
                </w:tcPr>
                <w:p w14:paraId="1E25DEF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2021.9.6</w:t>
                  </w:r>
                </w:p>
              </w:tc>
              <w:tc>
                <w:tcPr>
                  <w:tcW w:w="735" w:type="pct"/>
                  <w:shd w:val="clear" w:color="auto" w:fill="auto"/>
                  <w:vAlign w:val="center"/>
                </w:tcPr>
                <w:p w14:paraId="3AF1B07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w:t>
                  </w:r>
                  <w:r>
                    <w:rPr>
                      <w:rFonts w:hint="default"/>
                      <w:color w:val="auto"/>
                      <w:sz w:val="21"/>
                      <w:szCs w:val="21"/>
                      <w:highlight w:val="none"/>
                      <w:lang w:val="en-US" w:eastAsia="zh-CN"/>
                    </w:rPr>
                    <w:t>314</w:t>
                  </w:r>
                </w:p>
              </w:tc>
              <w:tc>
                <w:tcPr>
                  <w:tcW w:w="874" w:type="pct"/>
                  <w:shd w:val="clear" w:color="auto" w:fill="auto"/>
                  <w:vAlign w:val="center"/>
                </w:tcPr>
                <w:p w14:paraId="60E5649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shd w:val="clear" w:color="auto" w:fill="auto"/>
                  <w:vAlign w:val="center"/>
                </w:tcPr>
                <w:p w14:paraId="4892E39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134A524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41E51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49C828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3</w:t>
                  </w:r>
                </w:p>
              </w:tc>
              <w:tc>
                <w:tcPr>
                  <w:tcW w:w="785" w:type="pct"/>
                  <w:vAlign w:val="center"/>
                </w:tcPr>
                <w:p w14:paraId="58AFDE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海因车间产品烘干环节粉尘治理项目</w:t>
                  </w:r>
                </w:p>
              </w:tc>
              <w:tc>
                <w:tcPr>
                  <w:tcW w:w="178" w:type="pct"/>
                  <w:vAlign w:val="center"/>
                </w:tcPr>
                <w:p w14:paraId="3EACD99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70CFE4B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shd w:val="clear" w:color="auto" w:fill="auto"/>
                  <w:vAlign w:val="center"/>
                </w:tcPr>
                <w:p w14:paraId="3062DA8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shd w:val="clear" w:color="auto" w:fill="auto"/>
                  <w:vAlign w:val="center"/>
                </w:tcPr>
                <w:p w14:paraId="0AF3CC6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shd w:val="clear" w:color="auto" w:fill="auto"/>
                  <w:vAlign w:val="center"/>
                </w:tcPr>
                <w:p w14:paraId="78C1F9F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2021.9.28</w:t>
                  </w:r>
                </w:p>
              </w:tc>
              <w:tc>
                <w:tcPr>
                  <w:tcW w:w="735" w:type="pct"/>
                  <w:shd w:val="clear" w:color="auto" w:fill="auto"/>
                  <w:vAlign w:val="center"/>
                </w:tcPr>
                <w:p w14:paraId="3E0ACED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w:t>
                  </w:r>
                  <w:r>
                    <w:rPr>
                      <w:rFonts w:hint="default"/>
                      <w:color w:val="auto"/>
                      <w:sz w:val="21"/>
                      <w:szCs w:val="21"/>
                      <w:highlight w:val="none"/>
                      <w:lang w:val="en-US" w:eastAsia="zh-CN"/>
                    </w:rPr>
                    <w:t>202113018200000346</w:t>
                  </w:r>
                </w:p>
              </w:tc>
              <w:tc>
                <w:tcPr>
                  <w:tcW w:w="874" w:type="pct"/>
                  <w:shd w:val="clear" w:color="auto" w:fill="auto"/>
                  <w:vAlign w:val="center"/>
                </w:tcPr>
                <w:p w14:paraId="040A44A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shd w:val="clear" w:color="auto" w:fill="auto"/>
                  <w:vAlign w:val="center"/>
                </w:tcPr>
                <w:p w14:paraId="073C5D9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6A86962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4C2D8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F55D41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4</w:t>
                  </w:r>
                </w:p>
              </w:tc>
              <w:tc>
                <w:tcPr>
                  <w:tcW w:w="785" w:type="pct"/>
                  <w:vAlign w:val="center"/>
                </w:tcPr>
                <w:p w14:paraId="0E8A79A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化验室废气收集治理项目</w:t>
                  </w:r>
                </w:p>
              </w:tc>
              <w:tc>
                <w:tcPr>
                  <w:tcW w:w="178" w:type="pct"/>
                  <w:vAlign w:val="center"/>
                </w:tcPr>
                <w:p w14:paraId="34ED370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6AB59CE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14A1BB4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shd w:val="clear" w:color="auto" w:fill="auto"/>
                  <w:vAlign w:val="center"/>
                </w:tcPr>
                <w:p w14:paraId="5410C2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shd w:val="clear" w:color="auto" w:fill="auto"/>
                  <w:vAlign w:val="center"/>
                </w:tcPr>
                <w:p w14:paraId="162C015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2021.10.21</w:t>
                  </w:r>
                </w:p>
              </w:tc>
              <w:tc>
                <w:tcPr>
                  <w:tcW w:w="735" w:type="pct"/>
                  <w:shd w:val="clear" w:color="auto" w:fill="auto"/>
                  <w:vAlign w:val="center"/>
                </w:tcPr>
                <w:p w14:paraId="79C339B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w:t>
                  </w:r>
                  <w:r>
                    <w:rPr>
                      <w:rFonts w:hint="default"/>
                      <w:color w:val="auto"/>
                      <w:sz w:val="21"/>
                      <w:szCs w:val="21"/>
                      <w:highlight w:val="none"/>
                      <w:lang w:val="en-US" w:eastAsia="zh-CN"/>
                    </w:rPr>
                    <w:t>383</w:t>
                  </w:r>
                </w:p>
              </w:tc>
              <w:tc>
                <w:tcPr>
                  <w:tcW w:w="874" w:type="pct"/>
                  <w:shd w:val="clear" w:color="auto" w:fill="auto"/>
                  <w:vAlign w:val="center"/>
                </w:tcPr>
                <w:p w14:paraId="2754F2E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c>
                <w:tcPr>
                  <w:tcW w:w="361" w:type="pct"/>
                  <w:shd w:val="clear" w:color="auto" w:fill="auto"/>
                  <w:vAlign w:val="center"/>
                </w:tcPr>
                <w:p w14:paraId="6E20542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0E42B19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w:t>
                  </w:r>
                </w:p>
              </w:tc>
            </w:tr>
            <w:tr w14:paraId="1A4FE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shd w:val="clear" w:color="auto" w:fill="auto"/>
                  <w:vAlign w:val="center"/>
                </w:tcPr>
                <w:p w14:paraId="4BB6627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5</w:t>
                  </w:r>
                </w:p>
              </w:tc>
              <w:tc>
                <w:tcPr>
                  <w:tcW w:w="785" w:type="pct"/>
                  <w:shd w:val="clear" w:color="auto" w:fill="auto"/>
                  <w:vAlign w:val="center"/>
                </w:tcPr>
                <w:p w14:paraId="28A29DE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脱氮系统尾气治理项目</w:t>
                  </w:r>
                </w:p>
              </w:tc>
              <w:tc>
                <w:tcPr>
                  <w:tcW w:w="178" w:type="pct"/>
                  <w:shd w:val="clear" w:color="auto" w:fill="auto"/>
                  <w:vAlign w:val="center"/>
                </w:tcPr>
                <w:p w14:paraId="0F6B701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shd w:val="clear" w:color="auto" w:fill="auto"/>
                  <w:vAlign w:val="center"/>
                </w:tcPr>
                <w:p w14:paraId="0DBCE2D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0C2D188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shd w:val="clear" w:color="auto" w:fill="auto"/>
                  <w:vAlign w:val="center"/>
                </w:tcPr>
                <w:p w14:paraId="58163FF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shd w:val="clear" w:color="auto" w:fill="auto"/>
                  <w:vAlign w:val="center"/>
                </w:tcPr>
                <w:p w14:paraId="405D9C0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2021.12.08</w:t>
                  </w:r>
                </w:p>
              </w:tc>
              <w:tc>
                <w:tcPr>
                  <w:tcW w:w="735" w:type="pct"/>
                  <w:shd w:val="clear" w:color="auto" w:fill="auto"/>
                  <w:vAlign w:val="center"/>
                </w:tcPr>
                <w:p w14:paraId="42BC347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备案号：202113018200000455</w:t>
                  </w:r>
                </w:p>
              </w:tc>
              <w:tc>
                <w:tcPr>
                  <w:tcW w:w="874" w:type="pct"/>
                  <w:shd w:val="clear" w:color="auto" w:fill="auto"/>
                  <w:vAlign w:val="center"/>
                </w:tcPr>
                <w:p w14:paraId="0273BE7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shd w:val="clear" w:color="auto" w:fill="auto"/>
                  <w:vAlign w:val="center"/>
                </w:tcPr>
                <w:p w14:paraId="251BA61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2A6A089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78E2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shd w:val="clear" w:color="auto" w:fill="auto"/>
                  <w:vAlign w:val="center"/>
                </w:tcPr>
                <w:p w14:paraId="552A884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6</w:t>
                  </w:r>
                </w:p>
              </w:tc>
              <w:tc>
                <w:tcPr>
                  <w:tcW w:w="785" w:type="pct"/>
                  <w:shd w:val="clear" w:color="auto" w:fill="auto"/>
                  <w:vAlign w:val="center"/>
                </w:tcPr>
                <w:p w14:paraId="2E2C414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醋酸罐区呼吸废气治理改造项目</w:t>
                  </w:r>
                </w:p>
              </w:tc>
              <w:tc>
                <w:tcPr>
                  <w:tcW w:w="178" w:type="pct"/>
                  <w:shd w:val="clear" w:color="auto" w:fill="auto"/>
                  <w:vAlign w:val="center"/>
                </w:tcPr>
                <w:p w14:paraId="4D4EC5A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shd w:val="clear" w:color="auto" w:fill="auto"/>
                  <w:vAlign w:val="center"/>
                </w:tcPr>
                <w:p w14:paraId="709F27A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p>
              </w:tc>
              <w:tc>
                <w:tcPr>
                  <w:tcW w:w="200" w:type="pct"/>
                  <w:shd w:val="clear" w:color="auto" w:fill="auto"/>
                  <w:vAlign w:val="center"/>
                </w:tcPr>
                <w:p w14:paraId="1C08AF5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shd w:val="clear" w:color="auto" w:fill="auto"/>
                  <w:vAlign w:val="center"/>
                </w:tcPr>
                <w:p w14:paraId="516F98F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shd w:val="clear" w:color="auto" w:fill="auto"/>
                  <w:vAlign w:val="center"/>
                </w:tcPr>
                <w:p w14:paraId="0D811B8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2021.12.08</w:t>
                  </w:r>
                </w:p>
              </w:tc>
              <w:tc>
                <w:tcPr>
                  <w:tcW w:w="735" w:type="pct"/>
                  <w:shd w:val="clear" w:color="auto" w:fill="auto"/>
                  <w:vAlign w:val="center"/>
                </w:tcPr>
                <w:p w14:paraId="4928172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备案号：202113018200000468</w:t>
                  </w:r>
                </w:p>
              </w:tc>
              <w:tc>
                <w:tcPr>
                  <w:tcW w:w="874" w:type="pct"/>
                  <w:shd w:val="clear" w:color="auto" w:fill="auto"/>
                  <w:vAlign w:val="center"/>
                </w:tcPr>
                <w:p w14:paraId="105E71C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shd w:val="clear" w:color="auto" w:fill="auto"/>
                  <w:vAlign w:val="center"/>
                </w:tcPr>
                <w:p w14:paraId="294BA87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16DDEC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8380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shd w:val="clear" w:color="auto" w:fill="auto"/>
                  <w:vAlign w:val="center"/>
                </w:tcPr>
                <w:p w14:paraId="2AD6FEE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7</w:t>
                  </w:r>
                </w:p>
              </w:tc>
              <w:tc>
                <w:tcPr>
                  <w:tcW w:w="785" w:type="pct"/>
                  <w:shd w:val="clear" w:color="auto" w:fill="auto"/>
                  <w:vAlign w:val="center"/>
                </w:tcPr>
                <w:p w14:paraId="09280A9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产品质量提升及配套设施改造项目</w:t>
                  </w:r>
                </w:p>
              </w:tc>
              <w:tc>
                <w:tcPr>
                  <w:tcW w:w="178" w:type="pct"/>
                  <w:shd w:val="clear" w:color="auto" w:fill="auto"/>
                  <w:vAlign w:val="center"/>
                </w:tcPr>
                <w:p w14:paraId="3409359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报告书</w:t>
                  </w:r>
                </w:p>
              </w:tc>
              <w:tc>
                <w:tcPr>
                  <w:tcW w:w="267" w:type="pct"/>
                  <w:vMerge w:val="continue"/>
                  <w:shd w:val="clear" w:color="auto" w:fill="auto"/>
                  <w:vAlign w:val="center"/>
                </w:tcPr>
                <w:p w14:paraId="23EBB7E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shd w:val="clear" w:color="auto" w:fill="auto"/>
                  <w:vAlign w:val="center"/>
                </w:tcPr>
                <w:p w14:paraId="33B4953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已验收</w:t>
                  </w:r>
                </w:p>
              </w:tc>
              <w:tc>
                <w:tcPr>
                  <w:tcW w:w="597" w:type="pct"/>
                  <w:shd w:val="clear" w:color="auto" w:fill="auto"/>
                  <w:vAlign w:val="center"/>
                </w:tcPr>
                <w:p w14:paraId="5DFB98B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河北石家庄循环化工园区行政审批局</w:t>
                  </w:r>
                </w:p>
              </w:tc>
              <w:tc>
                <w:tcPr>
                  <w:tcW w:w="381" w:type="pct"/>
                  <w:shd w:val="clear" w:color="auto" w:fill="auto"/>
                  <w:vAlign w:val="center"/>
                </w:tcPr>
                <w:p w14:paraId="0F369A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2022.2.28</w:t>
                  </w:r>
                </w:p>
              </w:tc>
              <w:tc>
                <w:tcPr>
                  <w:tcW w:w="735" w:type="pct"/>
                  <w:shd w:val="clear" w:color="auto" w:fill="auto"/>
                  <w:vAlign w:val="center"/>
                </w:tcPr>
                <w:p w14:paraId="5A3CFA1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冀石化园行审环批[2022]2号</w:t>
                  </w:r>
                </w:p>
              </w:tc>
              <w:tc>
                <w:tcPr>
                  <w:tcW w:w="874" w:type="pct"/>
                  <w:shd w:val="clear" w:color="auto" w:fill="auto"/>
                  <w:vAlign w:val="center"/>
                </w:tcPr>
                <w:p w14:paraId="4D088E0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自主验收</w:t>
                  </w:r>
                </w:p>
              </w:tc>
              <w:tc>
                <w:tcPr>
                  <w:tcW w:w="361" w:type="pct"/>
                  <w:shd w:val="clear" w:color="auto" w:fill="auto"/>
                  <w:vAlign w:val="center"/>
                </w:tcPr>
                <w:p w14:paraId="406B18A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2022.8.24</w:t>
                  </w:r>
                </w:p>
              </w:tc>
              <w:tc>
                <w:tcPr>
                  <w:tcW w:w="437" w:type="pct"/>
                  <w:shd w:val="clear" w:color="auto" w:fill="auto"/>
                  <w:vAlign w:val="center"/>
                </w:tcPr>
                <w:p w14:paraId="2760AB7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3C64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shd w:val="clear" w:color="auto" w:fill="auto"/>
                  <w:vAlign w:val="center"/>
                </w:tcPr>
                <w:p w14:paraId="5F2AEFD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8</w:t>
                  </w:r>
                </w:p>
              </w:tc>
              <w:tc>
                <w:tcPr>
                  <w:tcW w:w="785" w:type="pct"/>
                  <w:shd w:val="clear" w:color="auto" w:fill="auto"/>
                  <w:vAlign w:val="center"/>
                </w:tcPr>
                <w:p w14:paraId="0467B18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危废库废气治理改造项目</w:t>
                  </w:r>
                </w:p>
              </w:tc>
              <w:tc>
                <w:tcPr>
                  <w:tcW w:w="178" w:type="pct"/>
                  <w:shd w:val="clear" w:color="auto" w:fill="auto"/>
                  <w:vAlign w:val="center"/>
                </w:tcPr>
                <w:p w14:paraId="6A34A77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shd w:val="clear" w:color="auto" w:fill="auto"/>
                  <w:vAlign w:val="center"/>
                </w:tcPr>
                <w:p w14:paraId="7857200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shd w:val="clear" w:color="auto" w:fill="auto"/>
                  <w:vAlign w:val="center"/>
                </w:tcPr>
                <w:p w14:paraId="41AA24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shd w:val="clear" w:color="auto" w:fill="auto"/>
                  <w:vAlign w:val="center"/>
                </w:tcPr>
                <w:p w14:paraId="2F03013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shd w:val="clear" w:color="auto" w:fill="auto"/>
                  <w:vAlign w:val="center"/>
                </w:tcPr>
                <w:p w14:paraId="1EAC048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2022.3.07</w:t>
                  </w:r>
                </w:p>
              </w:tc>
              <w:tc>
                <w:tcPr>
                  <w:tcW w:w="735" w:type="pct"/>
                  <w:shd w:val="clear" w:color="auto" w:fill="auto"/>
                  <w:vAlign w:val="center"/>
                </w:tcPr>
                <w:p w14:paraId="1B584E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w:t>
                  </w:r>
                  <w:r>
                    <w:rPr>
                      <w:rFonts w:hint="default"/>
                      <w:color w:val="auto"/>
                      <w:sz w:val="21"/>
                      <w:szCs w:val="21"/>
                      <w:highlight w:val="none"/>
                      <w:lang w:val="en-US" w:eastAsia="zh-CN"/>
                    </w:rPr>
                    <w:t>202213018200000133</w:t>
                  </w:r>
                </w:p>
              </w:tc>
              <w:tc>
                <w:tcPr>
                  <w:tcW w:w="874" w:type="pct"/>
                  <w:shd w:val="clear" w:color="auto" w:fill="auto"/>
                  <w:vAlign w:val="center"/>
                </w:tcPr>
                <w:p w14:paraId="3ED3D7E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shd w:val="clear" w:color="auto" w:fill="auto"/>
                  <w:vAlign w:val="center"/>
                </w:tcPr>
                <w:p w14:paraId="6DBB65F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shd w:val="clear" w:color="auto" w:fill="auto"/>
                  <w:vAlign w:val="center"/>
                </w:tcPr>
                <w:p w14:paraId="134A11E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60321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1BCF73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w:t>
                  </w:r>
                  <w:r>
                    <w:rPr>
                      <w:rFonts w:hint="eastAsia"/>
                      <w:color w:val="auto"/>
                      <w:sz w:val="21"/>
                      <w:szCs w:val="21"/>
                      <w:highlight w:val="none"/>
                      <w:lang w:val="en-US" w:eastAsia="zh-CN"/>
                    </w:rPr>
                    <w:t>9</w:t>
                  </w:r>
                </w:p>
              </w:tc>
              <w:tc>
                <w:tcPr>
                  <w:tcW w:w="785" w:type="pct"/>
                  <w:vAlign w:val="center"/>
                </w:tcPr>
                <w:p w14:paraId="63B9F52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污水站新增玻璃钢材质分类收集储水罐项目</w:t>
                  </w:r>
                </w:p>
              </w:tc>
              <w:tc>
                <w:tcPr>
                  <w:tcW w:w="178" w:type="pct"/>
                  <w:vAlign w:val="center"/>
                </w:tcPr>
                <w:p w14:paraId="7340AAD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9ABA2F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24C57B3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78DB595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4608C0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2022.3.16</w:t>
                  </w:r>
                </w:p>
              </w:tc>
              <w:tc>
                <w:tcPr>
                  <w:tcW w:w="735" w:type="pct"/>
                  <w:vAlign w:val="center"/>
                </w:tcPr>
                <w:p w14:paraId="7263941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备案号：202213018200000164</w:t>
                  </w:r>
                </w:p>
              </w:tc>
              <w:tc>
                <w:tcPr>
                  <w:tcW w:w="874" w:type="pct"/>
                  <w:vAlign w:val="center"/>
                </w:tcPr>
                <w:p w14:paraId="56C863D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0B5FF5A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4B4460E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2E6F4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527F968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30</w:t>
                  </w:r>
                </w:p>
              </w:tc>
              <w:tc>
                <w:tcPr>
                  <w:tcW w:w="785" w:type="pct"/>
                  <w:vAlign w:val="center"/>
                </w:tcPr>
                <w:p w14:paraId="00FE29A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VOC无组织废气排放治理提升改造、污水站提标改造及海因车间产品深化处理项目</w:t>
                  </w:r>
                </w:p>
              </w:tc>
              <w:tc>
                <w:tcPr>
                  <w:tcW w:w="178" w:type="pct"/>
                  <w:vAlign w:val="center"/>
                </w:tcPr>
                <w:p w14:paraId="6C1209F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3124A42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6F612CC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3BDFE9A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369921C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2022.4.14</w:t>
                  </w:r>
                </w:p>
              </w:tc>
              <w:tc>
                <w:tcPr>
                  <w:tcW w:w="735" w:type="pct"/>
                  <w:vAlign w:val="center"/>
                </w:tcPr>
                <w:p w14:paraId="5E3FCB0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w:t>
                  </w:r>
                  <w:r>
                    <w:rPr>
                      <w:rFonts w:hint="default"/>
                      <w:color w:val="auto"/>
                      <w:sz w:val="21"/>
                      <w:szCs w:val="21"/>
                      <w:highlight w:val="none"/>
                      <w:lang w:val="en-US" w:eastAsia="zh-CN"/>
                    </w:rPr>
                    <w:t>202213018200000282</w:t>
                  </w:r>
                </w:p>
              </w:tc>
              <w:tc>
                <w:tcPr>
                  <w:tcW w:w="874" w:type="pct"/>
                  <w:vAlign w:val="center"/>
                </w:tcPr>
                <w:p w14:paraId="69ECFF0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2F76EB7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357756D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219B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5B5C3C0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1</w:t>
                  </w:r>
                </w:p>
              </w:tc>
              <w:tc>
                <w:tcPr>
                  <w:tcW w:w="785" w:type="pct"/>
                  <w:vAlign w:val="center"/>
                </w:tcPr>
                <w:p w14:paraId="462169C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二、三车间离心区域无组织废气并入4#甲醇回收装置、原4车间无组织废气治理装置拆除</w:t>
                  </w:r>
                </w:p>
              </w:tc>
              <w:tc>
                <w:tcPr>
                  <w:tcW w:w="178" w:type="pct"/>
                  <w:vAlign w:val="center"/>
                </w:tcPr>
                <w:p w14:paraId="6330560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9BC79B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7F17D7E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371B44D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590F2B1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2022.7.6</w:t>
                  </w:r>
                </w:p>
              </w:tc>
              <w:tc>
                <w:tcPr>
                  <w:tcW w:w="735" w:type="pct"/>
                  <w:vAlign w:val="center"/>
                </w:tcPr>
                <w:p w14:paraId="074BD57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w:t>
                  </w:r>
                  <w:r>
                    <w:rPr>
                      <w:rFonts w:hint="default"/>
                      <w:color w:val="auto"/>
                      <w:sz w:val="21"/>
                      <w:szCs w:val="21"/>
                      <w:highlight w:val="none"/>
                      <w:lang w:val="en-US" w:eastAsia="zh-CN"/>
                    </w:rPr>
                    <w:t>202213018200000503</w:t>
                  </w:r>
                </w:p>
              </w:tc>
              <w:tc>
                <w:tcPr>
                  <w:tcW w:w="874" w:type="pct"/>
                  <w:vAlign w:val="center"/>
                </w:tcPr>
                <w:p w14:paraId="761E866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1BC4579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CD8923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678E9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651D07D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2</w:t>
                  </w:r>
                </w:p>
              </w:tc>
              <w:tc>
                <w:tcPr>
                  <w:tcW w:w="785" w:type="pct"/>
                  <w:vAlign w:val="center"/>
                </w:tcPr>
                <w:p w14:paraId="0B5778E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VOCs有机废气深度治理项目</w:t>
                  </w:r>
                </w:p>
              </w:tc>
              <w:tc>
                <w:tcPr>
                  <w:tcW w:w="178" w:type="pct"/>
                  <w:vAlign w:val="center"/>
                </w:tcPr>
                <w:p w14:paraId="1916083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6E8C1CC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3231792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39BF692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46B12E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2022.8.5</w:t>
                  </w:r>
                </w:p>
              </w:tc>
              <w:tc>
                <w:tcPr>
                  <w:tcW w:w="735" w:type="pct"/>
                  <w:vAlign w:val="center"/>
                </w:tcPr>
                <w:p w14:paraId="71C255F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备案号：</w:t>
                  </w:r>
                  <w:r>
                    <w:rPr>
                      <w:rFonts w:hint="default"/>
                      <w:color w:val="auto"/>
                      <w:sz w:val="21"/>
                      <w:szCs w:val="21"/>
                      <w:highlight w:val="none"/>
                      <w:lang w:val="en-US" w:eastAsia="zh-CN"/>
                    </w:rPr>
                    <w:t>202213018200000567</w:t>
                  </w:r>
                </w:p>
              </w:tc>
              <w:tc>
                <w:tcPr>
                  <w:tcW w:w="874" w:type="pct"/>
                  <w:vAlign w:val="center"/>
                </w:tcPr>
                <w:p w14:paraId="2726330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61D73F0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4432C37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7BD80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32E6538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3</w:t>
                  </w:r>
                </w:p>
              </w:tc>
              <w:tc>
                <w:tcPr>
                  <w:tcW w:w="785" w:type="pct"/>
                  <w:vAlign w:val="center"/>
                </w:tcPr>
                <w:p w14:paraId="41C8D77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2#-6#氨基乙酸车间氨解尾气并入甲醇回收装置改造项目</w:t>
                  </w:r>
                </w:p>
              </w:tc>
              <w:tc>
                <w:tcPr>
                  <w:tcW w:w="178" w:type="pct"/>
                  <w:vAlign w:val="center"/>
                </w:tcPr>
                <w:p w14:paraId="7B636F1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5F2CE4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3C87970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已建设</w:t>
                  </w:r>
                </w:p>
              </w:tc>
              <w:tc>
                <w:tcPr>
                  <w:tcW w:w="597" w:type="pct"/>
                  <w:vAlign w:val="center"/>
                </w:tcPr>
                <w:p w14:paraId="23448A3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5432827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2022.10.17</w:t>
                  </w:r>
                </w:p>
              </w:tc>
              <w:tc>
                <w:tcPr>
                  <w:tcW w:w="735" w:type="pct"/>
                  <w:vAlign w:val="center"/>
                </w:tcPr>
                <w:p w14:paraId="6B453F2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备案号：202213018200000672</w:t>
                  </w:r>
                </w:p>
              </w:tc>
              <w:tc>
                <w:tcPr>
                  <w:tcW w:w="874" w:type="pct"/>
                  <w:vAlign w:val="center"/>
                </w:tcPr>
                <w:p w14:paraId="1D350D7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0C63CE7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54BAD8D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237E6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8C03F1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34</w:t>
                  </w:r>
                </w:p>
              </w:tc>
              <w:tc>
                <w:tcPr>
                  <w:tcW w:w="785" w:type="pct"/>
                  <w:vAlign w:val="center"/>
                </w:tcPr>
                <w:p w14:paraId="6F09FD9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37.5kt/a液体氯乙酸升级改造项目</w:t>
                  </w:r>
                </w:p>
              </w:tc>
              <w:tc>
                <w:tcPr>
                  <w:tcW w:w="178" w:type="pct"/>
                  <w:vAlign w:val="center"/>
                </w:tcPr>
                <w:p w14:paraId="5B3ABC2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报告书</w:t>
                  </w:r>
                </w:p>
              </w:tc>
              <w:tc>
                <w:tcPr>
                  <w:tcW w:w="267" w:type="pct"/>
                  <w:vMerge w:val="continue"/>
                  <w:vAlign w:val="center"/>
                </w:tcPr>
                <w:p w14:paraId="3ECB158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26D000F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不再建设</w:t>
                  </w:r>
                </w:p>
              </w:tc>
              <w:tc>
                <w:tcPr>
                  <w:tcW w:w="597" w:type="pct"/>
                  <w:vAlign w:val="center"/>
                </w:tcPr>
                <w:p w14:paraId="3455B97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河北石家庄循环化工园区行政审批局</w:t>
                  </w:r>
                </w:p>
              </w:tc>
              <w:tc>
                <w:tcPr>
                  <w:tcW w:w="381" w:type="pct"/>
                  <w:vAlign w:val="center"/>
                </w:tcPr>
                <w:p w14:paraId="2D34149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2022.12.23</w:t>
                  </w:r>
                </w:p>
              </w:tc>
              <w:tc>
                <w:tcPr>
                  <w:tcW w:w="735" w:type="pct"/>
                  <w:vAlign w:val="center"/>
                </w:tcPr>
                <w:p w14:paraId="3FD1017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冀石化园行审环批（2022）11号</w:t>
                  </w:r>
                </w:p>
              </w:tc>
              <w:tc>
                <w:tcPr>
                  <w:tcW w:w="874" w:type="pct"/>
                  <w:vAlign w:val="center"/>
                </w:tcPr>
                <w:p w14:paraId="3ED2265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5902B0B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D001F4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516C3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3FDC60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5</w:t>
                  </w:r>
                </w:p>
              </w:tc>
              <w:tc>
                <w:tcPr>
                  <w:tcW w:w="785" w:type="pct"/>
                  <w:vAlign w:val="center"/>
                </w:tcPr>
                <w:p w14:paraId="377A66F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螯合物二车间布袋除尘设施后移</w:t>
                  </w:r>
                </w:p>
              </w:tc>
              <w:tc>
                <w:tcPr>
                  <w:tcW w:w="178" w:type="pct"/>
                  <w:vAlign w:val="center"/>
                </w:tcPr>
                <w:p w14:paraId="2335A0E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51222F3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0ECEB71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164FEDF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194828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2023.2.20</w:t>
                  </w:r>
                </w:p>
              </w:tc>
              <w:tc>
                <w:tcPr>
                  <w:tcW w:w="735" w:type="pct"/>
                  <w:vAlign w:val="center"/>
                </w:tcPr>
                <w:p w14:paraId="33746C9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备案号202313018200000027</w:t>
                  </w:r>
                </w:p>
              </w:tc>
              <w:tc>
                <w:tcPr>
                  <w:tcW w:w="874" w:type="pct"/>
                  <w:vAlign w:val="center"/>
                </w:tcPr>
                <w:p w14:paraId="1E6C5C3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1CC9D35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7123187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C333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3976AD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6</w:t>
                  </w:r>
                </w:p>
              </w:tc>
              <w:tc>
                <w:tcPr>
                  <w:tcW w:w="785" w:type="pct"/>
                  <w:vAlign w:val="center"/>
                </w:tcPr>
                <w:p w14:paraId="0210C7F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危废库合理化改造及配套废气治理设施优化</w:t>
                  </w:r>
                </w:p>
              </w:tc>
              <w:tc>
                <w:tcPr>
                  <w:tcW w:w="178" w:type="pct"/>
                  <w:vAlign w:val="center"/>
                </w:tcPr>
                <w:p w14:paraId="6BD2D72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43C918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2D67237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已建设</w:t>
                  </w:r>
                </w:p>
              </w:tc>
              <w:tc>
                <w:tcPr>
                  <w:tcW w:w="597" w:type="pct"/>
                  <w:vAlign w:val="center"/>
                </w:tcPr>
                <w:p w14:paraId="145E2E9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3FC527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2023.3.2</w:t>
                  </w:r>
                </w:p>
              </w:tc>
              <w:tc>
                <w:tcPr>
                  <w:tcW w:w="735" w:type="pct"/>
                  <w:vAlign w:val="center"/>
                </w:tcPr>
                <w:p w14:paraId="1D637A6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备案号202313010800000014</w:t>
                  </w:r>
                </w:p>
              </w:tc>
              <w:tc>
                <w:tcPr>
                  <w:tcW w:w="874" w:type="pct"/>
                  <w:vAlign w:val="center"/>
                </w:tcPr>
                <w:p w14:paraId="20309B7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4885A33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3C4846F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4D77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B5EBC1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7</w:t>
                  </w:r>
                </w:p>
              </w:tc>
              <w:tc>
                <w:tcPr>
                  <w:tcW w:w="785" w:type="pct"/>
                  <w:vAlign w:val="center"/>
                </w:tcPr>
                <w:p w14:paraId="3D25487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氨回收岗位制氨水项目尾气调整吸收液深度治理</w:t>
                  </w:r>
                </w:p>
              </w:tc>
              <w:tc>
                <w:tcPr>
                  <w:tcW w:w="178" w:type="pct"/>
                  <w:vAlign w:val="center"/>
                </w:tcPr>
                <w:p w14:paraId="68E0772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61B5581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7A0AE9C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4DC93C9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9F7569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2023.3.28</w:t>
                  </w:r>
                </w:p>
              </w:tc>
              <w:tc>
                <w:tcPr>
                  <w:tcW w:w="735" w:type="pct"/>
                  <w:vAlign w:val="center"/>
                </w:tcPr>
                <w:p w14:paraId="341ACA3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备案号202313017100000005</w:t>
                  </w:r>
                </w:p>
              </w:tc>
              <w:tc>
                <w:tcPr>
                  <w:tcW w:w="874" w:type="pct"/>
                  <w:vAlign w:val="center"/>
                </w:tcPr>
                <w:p w14:paraId="4E1600A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4DE83ED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68138CC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866B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D25F86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8</w:t>
                  </w:r>
                </w:p>
              </w:tc>
              <w:tc>
                <w:tcPr>
                  <w:tcW w:w="785" w:type="pct"/>
                  <w:vAlign w:val="center"/>
                </w:tcPr>
                <w:p w14:paraId="3764DFC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氯化铵车间（3期）生产废气治理吸收液变更调整项目</w:t>
                  </w:r>
                </w:p>
              </w:tc>
              <w:tc>
                <w:tcPr>
                  <w:tcW w:w="178" w:type="pct"/>
                  <w:vAlign w:val="center"/>
                </w:tcPr>
                <w:p w14:paraId="565303A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68324DF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0A538A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1493429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01D33B6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2023.4.4</w:t>
                  </w:r>
                </w:p>
              </w:tc>
              <w:tc>
                <w:tcPr>
                  <w:tcW w:w="735" w:type="pct"/>
                  <w:vAlign w:val="center"/>
                </w:tcPr>
                <w:p w14:paraId="1AB50DD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备案号202313017100000010</w:t>
                  </w:r>
                </w:p>
              </w:tc>
              <w:tc>
                <w:tcPr>
                  <w:tcW w:w="874" w:type="pct"/>
                  <w:vAlign w:val="center"/>
                </w:tcPr>
                <w:p w14:paraId="1C79B0C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02557CF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B084AD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4E779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3F301FA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w:t>
                  </w:r>
                  <w:r>
                    <w:rPr>
                      <w:rFonts w:hint="eastAsia"/>
                      <w:color w:val="auto"/>
                      <w:sz w:val="21"/>
                      <w:szCs w:val="21"/>
                      <w:highlight w:val="none"/>
                      <w:lang w:val="en-US" w:eastAsia="zh-CN"/>
                    </w:rPr>
                    <w:t>9</w:t>
                  </w:r>
                </w:p>
              </w:tc>
              <w:tc>
                <w:tcPr>
                  <w:tcW w:w="785" w:type="pct"/>
                  <w:vAlign w:val="center"/>
                </w:tcPr>
                <w:p w14:paraId="7B79790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1号至5号氯乙酸生产车间氯化尾气深度治理升级改造项目</w:t>
                  </w:r>
                </w:p>
              </w:tc>
              <w:tc>
                <w:tcPr>
                  <w:tcW w:w="178" w:type="pct"/>
                  <w:vAlign w:val="center"/>
                </w:tcPr>
                <w:p w14:paraId="40AC2B1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04518D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7424205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06BC261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364DAE7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2023.4.7</w:t>
                  </w:r>
                </w:p>
              </w:tc>
              <w:tc>
                <w:tcPr>
                  <w:tcW w:w="735" w:type="pct"/>
                  <w:vAlign w:val="center"/>
                </w:tcPr>
                <w:p w14:paraId="7C6ADAF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备案号202313017100000016</w:t>
                  </w:r>
                </w:p>
              </w:tc>
              <w:tc>
                <w:tcPr>
                  <w:tcW w:w="874" w:type="pct"/>
                  <w:vAlign w:val="center"/>
                </w:tcPr>
                <w:p w14:paraId="670B9E9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39D986D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10726B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277E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4E03A3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40</w:t>
                  </w:r>
                </w:p>
              </w:tc>
              <w:tc>
                <w:tcPr>
                  <w:tcW w:w="785" w:type="pct"/>
                  <w:vAlign w:val="center"/>
                </w:tcPr>
                <w:p w14:paraId="0E4DD5E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污水站废气治理管路改造项目</w:t>
                  </w:r>
                </w:p>
              </w:tc>
              <w:tc>
                <w:tcPr>
                  <w:tcW w:w="178" w:type="pct"/>
                  <w:vAlign w:val="center"/>
                </w:tcPr>
                <w:p w14:paraId="05A38B8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center"/>
                </w:tcPr>
                <w:p w14:paraId="4445EB3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5E76E89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5C274FF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60D2A8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2023.5.</w:t>
                  </w:r>
                  <w:r>
                    <w:rPr>
                      <w:rFonts w:hint="eastAsia"/>
                      <w:color w:val="auto"/>
                      <w:sz w:val="21"/>
                      <w:szCs w:val="21"/>
                      <w:highlight w:val="none"/>
                      <w:lang w:val="en-US" w:eastAsia="zh-CN"/>
                    </w:rPr>
                    <w:t>31</w:t>
                  </w:r>
                </w:p>
              </w:tc>
              <w:tc>
                <w:tcPr>
                  <w:tcW w:w="735" w:type="pct"/>
                  <w:vAlign w:val="center"/>
                </w:tcPr>
                <w:p w14:paraId="74B1F8C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备案号202313018200000278</w:t>
                  </w:r>
                </w:p>
              </w:tc>
              <w:tc>
                <w:tcPr>
                  <w:tcW w:w="874" w:type="pct"/>
                  <w:vAlign w:val="center"/>
                </w:tcPr>
                <w:p w14:paraId="7C6A067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44AA0D1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15176C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59DA9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409B525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1</w:t>
                  </w:r>
                </w:p>
              </w:tc>
              <w:tc>
                <w:tcPr>
                  <w:tcW w:w="785" w:type="pct"/>
                  <w:vAlign w:val="center"/>
                </w:tcPr>
                <w:p w14:paraId="3E3CD63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氯化铵、氨回收、罐区车间废气深度治理项目碱吸收调整为水吸收</w:t>
                  </w:r>
                </w:p>
              </w:tc>
              <w:tc>
                <w:tcPr>
                  <w:tcW w:w="178" w:type="pct"/>
                  <w:vAlign w:val="center"/>
                </w:tcPr>
                <w:p w14:paraId="110F7BE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tcPr>
                <w:p w14:paraId="15EB535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0854DFC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6E9E8DA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14CC328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2023.5.31</w:t>
                  </w:r>
                </w:p>
              </w:tc>
              <w:tc>
                <w:tcPr>
                  <w:tcW w:w="735" w:type="pct"/>
                  <w:vAlign w:val="center"/>
                </w:tcPr>
                <w:p w14:paraId="4657C6A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备案号202313017100000047</w:t>
                  </w:r>
                </w:p>
              </w:tc>
              <w:tc>
                <w:tcPr>
                  <w:tcW w:w="874" w:type="pct"/>
                  <w:vAlign w:val="center"/>
                </w:tcPr>
                <w:p w14:paraId="0C1CACC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5FBBAEC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5B83E26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0ADA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CC6C25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2</w:t>
                  </w:r>
                </w:p>
              </w:tc>
              <w:tc>
                <w:tcPr>
                  <w:tcW w:w="785" w:type="pct"/>
                  <w:vAlign w:val="center"/>
                </w:tcPr>
                <w:p w14:paraId="7BDCA40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3#醋酸尾气治理设施改造项目</w:t>
                  </w:r>
                </w:p>
              </w:tc>
              <w:tc>
                <w:tcPr>
                  <w:tcW w:w="178" w:type="pct"/>
                  <w:vAlign w:val="center"/>
                </w:tcPr>
                <w:p w14:paraId="593EA5F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tcPr>
                <w:p w14:paraId="01854D4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332F2F4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3AD462A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0AD7E5A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2023.6.9</w:t>
                  </w:r>
                </w:p>
              </w:tc>
              <w:tc>
                <w:tcPr>
                  <w:tcW w:w="735" w:type="pct"/>
                  <w:vAlign w:val="center"/>
                </w:tcPr>
                <w:p w14:paraId="5DE9016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3180CE3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202313017100000054</w:t>
                  </w:r>
                </w:p>
              </w:tc>
              <w:tc>
                <w:tcPr>
                  <w:tcW w:w="874" w:type="pct"/>
                  <w:vAlign w:val="center"/>
                </w:tcPr>
                <w:p w14:paraId="710A088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699508A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0D754BF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70B07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6C4608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3</w:t>
                  </w:r>
                </w:p>
              </w:tc>
              <w:tc>
                <w:tcPr>
                  <w:tcW w:w="785" w:type="pct"/>
                  <w:vAlign w:val="center"/>
                </w:tcPr>
                <w:p w14:paraId="5CFD1C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新工艺氨基乙酸车间废气DA021废气治理设施提升改造项目</w:t>
                  </w:r>
                </w:p>
              </w:tc>
              <w:tc>
                <w:tcPr>
                  <w:tcW w:w="178" w:type="pct"/>
                  <w:vAlign w:val="center"/>
                </w:tcPr>
                <w:p w14:paraId="4920230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tcPr>
                <w:p w14:paraId="450C4FC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4A0247E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5C50D28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27E51A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2023.7.19</w:t>
                  </w:r>
                </w:p>
              </w:tc>
              <w:tc>
                <w:tcPr>
                  <w:tcW w:w="735" w:type="pct"/>
                  <w:vAlign w:val="center"/>
                </w:tcPr>
                <w:p w14:paraId="282ED76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149F662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202313017100000062</w:t>
                  </w:r>
                </w:p>
              </w:tc>
              <w:tc>
                <w:tcPr>
                  <w:tcW w:w="874" w:type="pct"/>
                  <w:vAlign w:val="center"/>
                </w:tcPr>
                <w:p w14:paraId="1F7A567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713DA0E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2BB8133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3B989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014830D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4</w:t>
                  </w:r>
                </w:p>
              </w:tc>
              <w:tc>
                <w:tcPr>
                  <w:tcW w:w="785" w:type="pct"/>
                  <w:vAlign w:val="center"/>
                </w:tcPr>
                <w:p w14:paraId="2F25042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乌洛托品化料间废气治理提升项目</w:t>
                  </w:r>
                </w:p>
              </w:tc>
              <w:tc>
                <w:tcPr>
                  <w:tcW w:w="178" w:type="pct"/>
                  <w:vAlign w:val="center"/>
                </w:tcPr>
                <w:p w14:paraId="189572F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tcPr>
                <w:p w14:paraId="0D0B5D4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677B6CB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06D6115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26C397D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2023.8.3</w:t>
                  </w:r>
                </w:p>
              </w:tc>
              <w:tc>
                <w:tcPr>
                  <w:tcW w:w="735" w:type="pct"/>
                  <w:vAlign w:val="center"/>
                </w:tcPr>
                <w:p w14:paraId="0E3240D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516165D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202313017100000065</w:t>
                  </w:r>
                </w:p>
              </w:tc>
              <w:tc>
                <w:tcPr>
                  <w:tcW w:w="874" w:type="pct"/>
                  <w:vAlign w:val="center"/>
                </w:tcPr>
                <w:p w14:paraId="55E2CEF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2060D53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F7FF09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4443A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D3E59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5</w:t>
                  </w:r>
                </w:p>
              </w:tc>
              <w:tc>
                <w:tcPr>
                  <w:tcW w:w="785" w:type="pct"/>
                  <w:vAlign w:val="center"/>
                </w:tcPr>
                <w:p w14:paraId="12AC944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盐酸罐区废气治理改造项目</w:t>
                  </w:r>
                </w:p>
              </w:tc>
              <w:tc>
                <w:tcPr>
                  <w:tcW w:w="178" w:type="pct"/>
                  <w:vAlign w:val="center"/>
                </w:tcPr>
                <w:p w14:paraId="63EFA8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tcPr>
                <w:p w14:paraId="1CD2519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7E8C40C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6047F3B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00753AF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2023.8.19</w:t>
                  </w:r>
                </w:p>
              </w:tc>
              <w:tc>
                <w:tcPr>
                  <w:tcW w:w="735" w:type="pct"/>
                  <w:vAlign w:val="center"/>
                </w:tcPr>
                <w:p w14:paraId="69AE47D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6CECBA1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202313017100000066</w:t>
                  </w:r>
                </w:p>
              </w:tc>
              <w:tc>
                <w:tcPr>
                  <w:tcW w:w="874" w:type="pct"/>
                  <w:vAlign w:val="center"/>
                </w:tcPr>
                <w:p w14:paraId="35947F0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0D188AE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5A6A307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2D94B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F3AC50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6</w:t>
                  </w:r>
                </w:p>
              </w:tc>
              <w:tc>
                <w:tcPr>
                  <w:tcW w:w="785" w:type="pct"/>
                  <w:vAlign w:val="center"/>
                </w:tcPr>
                <w:p w14:paraId="0D220EE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污水站废气治理项目改造</w:t>
                  </w:r>
                </w:p>
              </w:tc>
              <w:tc>
                <w:tcPr>
                  <w:tcW w:w="178" w:type="pct"/>
                  <w:vAlign w:val="center"/>
                </w:tcPr>
                <w:p w14:paraId="7249727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tcPr>
                <w:p w14:paraId="5E32CC8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6931218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6515F74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3D3F793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2023.8.21</w:t>
                  </w:r>
                </w:p>
              </w:tc>
              <w:tc>
                <w:tcPr>
                  <w:tcW w:w="735" w:type="pct"/>
                  <w:vAlign w:val="center"/>
                </w:tcPr>
                <w:p w14:paraId="3E49600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01DC476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202313017100000067</w:t>
                  </w:r>
                </w:p>
              </w:tc>
              <w:tc>
                <w:tcPr>
                  <w:tcW w:w="874" w:type="pct"/>
                  <w:vAlign w:val="center"/>
                </w:tcPr>
                <w:p w14:paraId="4EAEB34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6287A1F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10F9D05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267D9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E86E03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7</w:t>
                  </w:r>
                </w:p>
              </w:tc>
              <w:tc>
                <w:tcPr>
                  <w:tcW w:w="785" w:type="pct"/>
                  <w:vAlign w:val="center"/>
                </w:tcPr>
                <w:p w14:paraId="3BFC908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石家庄东华金龙化工有限公司年产6万吨氨水改造项目</w:t>
                  </w:r>
                </w:p>
              </w:tc>
              <w:tc>
                <w:tcPr>
                  <w:tcW w:w="178" w:type="pct"/>
                  <w:vAlign w:val="center"/>
                </w:tcPr>
                <w:p w14:paraId="7B4B58D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报告书</w:t>
                  </w:r>
                </w:p>
              </w:tc>
              <w:tc>
                <w:tcPr>
                  <w:tcW w:w="267" w:type="pct"/>
                  <w:vMerge w:val="restart"/>
                  <w:vAlign w:val="center"/>
                </w:tcPr>
                <w:p w14:paraId="2CB4334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eastAsia="zh-CN"/>
                    </w:rPr>
                    <w:t>石家庄高新技术产业开发区循环化工园区</w:t>
                  </w:r>
                  <w:r>
                    <w:rPr>
                      <w:rFonts w:hint="default"/>
                      <w:color w:val="auto"/>
                      <w:sz w:val="21"/>
                      <w:szCs w:val="21"/>
                      <w:highlight w:val="none"/>
                    </w:rPr>
                    <w:t>化工中路100号</w:t>
                  </w:r>
                </w:p>
              </w:tc>
              <w:tc>
                <w:tcPr>
                  <w:tcW w:w="200" w:type="pct"/>
                  <w:vAlign w:val="center"/>
                </w:tcPr>
                <w:p w14:paraId="26C63F0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rPr>
                  </w:pPr>
                  <w:r>
                    <w:rPr>
                      <w:rFonts w:hint="default"/>
                      <w:color w:val="auto"/>
                      <w:sz w:val="21"/>
                      <w:szCs w:val="21"/>
                      <w:highlight w:val="none"/>
                      <w:lang w:val="en-US" w:eastAsia="zh-CN"/>
                    </w:rPr>
                    <w:t>已验收</w:t>
                  </w:r>
                </w:p>
              </w:tc>
              <w:tc>
                <w:tcPr>
                  <w:tcW w:w="597" w:type="pct"/>
                  <w:vAlign w:val="center"/>
                </w:tcPr>
                <w:p w14:paraId="00229F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石家庄高新技术产业开发区行政审批局循环化工园区分局</w:t>
                  </w:r>
                </w:p>
              </w:tc>
              <w:tc>
                <w:tcPr>
                  <w:tcW w:w="381" w:type="pct"/>
                  <w:vAlign w:val="center"/>
                </w:tcPr>
                <w:p w14:paraId="295FB11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2023.9.28</w:t>
                  </w:r>
                </w:p>
              </w:tc>
              <w:tc>
                <w:tcPr>
                  <w:tcW w:w="735" w:type="pct"/>
                  <w:vAlign w:val="center"/>
                </w:tcPr>
                <w:p w14:paraId="6A76C5A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石化行审环批〔2023]7号</w:t>
                  </w:r>
                </w:p>
              </w:tc>
              <w:tc>
                <w:tcPr>
                  <w:tcW w:w="874" w:type="pct"/>
                  <w:vAlign w:val="center"/>
                </w:tcPr>
                <w:p w14:paraId="211115D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自主验收</w:t>
                  </w:r>
                </w:p>
              </w:tc>
              <w:tc>
                <w:tcPr>
                  <w:tcW w:w="361" w:type="pct"/>
                  <w:vAlign w:val="center"/>
                </w:tcPr>
                <w:p w14:paraId="2492AB4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2024.1.31</w:t>
                  </w:r>
                </w:p>
              </w:tc>
              <w:tc>
                <w:tcPr>
                  <w:tcW w:w="437" w:type="pct"/>
                  <w:vAlign w:val="center"/>
                </w:tcPr>
                <w:p w14:paraId="4737C1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0AD38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49E7C4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w:t>
                  </w:r>
                  <w:r>
                    <w:rPr>
                      <w:rFonts w:hint="eastAsia"/>
                      <w:color w:val="auto"/>
                      <w:sz w:val="21"/>
                      <w:szCs w:val="21"/>
                      <w:highlight w:val="none"/>
                      <w:lang w:val="en-US" w:eastAsia="zh-CN"/>
                    </w:rPr>
                    <w:t>8</w:t>
                  </w:r>
                </w:p>
              </w:tc>
              <w:tc>
                <w:tcPr>
                  <w:tcW w:w="785" w:type="pct"/>
                  <w:vAlign w:val="center"/>
                </w:tcPr>
                <w:p w14:paraId="764F06C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污水站废气治理设施工艺优化项目</w:t>
                  </w:r>
                </w:p>
              </w:tc>
              <w:tc>
                <w:tcPr>
                  <w:tcW w:w="178" w:type="pct"/>
                  <w:vAlign w:val="center"/>
                </w:tcPr>
                <w:p w14:paraId="31B2F84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top"/>
                </w:tcPr>
                <w:p w14:paraId="466ABA29">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793F374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296CF0D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30351C1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2024.3.11</w:t>
                  </w:r>
                </w:p>
              </w:tc>
              <w:tc>
                <w:tcPr>
                  <w:tcW w:w="735" w:type="pct"/>
                  <w:vAlign w:val="center"/>
                </w:tcPr>
                <w:p w14:paraId="32253E7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40CC088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202413017100000021</w:t>
                  </w:r>
                </w:p>
              </w:tc>
              <w:tc>
                <w:tcPr>
                  <w:tcW w:w="874" w:type="pct"/>
                  <w:vAlign w:val="center"/>
                </w:tcPr>
                <w:p w14:paraId="49E4F1E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5591E59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7853265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762413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29A0656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49</w:t>
                  </w:r>
                </w:p>
              </w:tc>
              <w:tc>
                <w:tcPr>
                  <w:tcW w:w="785" w:type="pct"/>
                  <w:vAlign w:val="center"/>
                </w:tcPr>
                <w:p w14:paraId="64823CC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盐酸罐区废气治理提升项目</w:t>
                  </w:r>
                </w:p>
              </w:tc>
              <w:tc>
                <w:tcPr>
                  <w:tcW w:w="178" w:type="pct"/>
                  <w:vAlign w:val="center"/>
                </w:tcPr>
                <w:p w14:paraId="6258D14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登记表</w:t>
                  </w:r>
                </w:p>
              </w:tc>
              <w:tc>
                <w:tcPr>
                  <w:tcW w:w="267" w:type="pct"/>
                  <w:vMerge w:val="continue"/>
                  <w:vAlign w:val="top"/>
                </w:tcPr>
                <w:p w14:paraId="51FD13B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5E9A9D0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rPr>
                    <w:t>已建设</w:t>
                  </w:r>
                </w:p>
              </w:tc>
              <w:tc>
                <w:tcPr>
                  <w:tcW w:w="597" w:type="pct"/>
                  <w:vAlign w:val="center"/>
                </w:tcPr>
                <w:p w14:paraId="6FA9B8F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81" w:type="pct"/>
                  <w:vAlign w:val="center"/>
                </w:tcPr>
                <w:p w14:paraId="61CE6C6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2024.6.13</w:t>
                  </w:r>
                </w:p>
              </w:tc>
              <w:tc>
                <w:tcPr>
                  <w:tcW w:w="735" w:type="pct"/>
                  <w:vAlign w:val="center"/>
                </w:tcPr>
                <w:p w14:paraId="11DE7BE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备案号</w:t>
                  </w:r>
                </w:p>
                <w:p w14:paraId="21B320E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202413017100000073</w:t>
                  </w:r>
                </w:p>
              </w:tc>
              <w:tc>
                <w:tcPr>
                  <w:tcW w:w="874" w:type="pct"/>
                  <w:vAlign w:val="center"/>
                </w:tcPr>
                <w:p w14:paraId="2A6BD4D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28ED6F0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21660D2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7870F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1722682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50</w:t>
                  </w:r>
                </w:p>
              </w:tc>
              <w:tc>
                <w:tcPr>
                  <w:tcW w:w="785" w:type="pct"/>
                  <w:vAlign w:val="center"/>
                </w:tcPr>
                <w:p w14:paraId="3B1C96A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60kt/a液体氯乙酸升级改造项目</w:t>
                  </w:r>
                </w:p>
              </w:tc>
              <w:tc>
                <w:tcPr>
                  <w:tcW w:w="178" w:type="pct"/>
                  <w:vAlign w:val="center"/>
                </w:tcPr>
                <w:p w14:paraId="2FB285F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报告书</w:t>
                  </w:r>
                </w:p>
              </w:tc>
              <w:tc>
                <w:tcPr>
                  <w:tcW w:w="267" w:type="pct"/>
                  <w:vMerge w:val="continue"/>
                  <w:vAlign w:val="top"/>
                </w:tcPr>
                <w:p w14:paraId="1643B99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452124B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已建设</w:t>
                  </w:r>
                </w:p>
              </w:tc>
              <w:tc>
                <w:tcPr>
                  <w:tcW w:w="597" w:type="pct"/>
                  <w:vAlign w:val="center"/>
                </w:tcPr>
                <w:p w14:paraId="319372B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石家庄高新技术产业开发区行政审批局</w:t>
                  </w:r>
                </w:p>
              </w:tc>
              <w:tc>
                <w:tcPr>
                  <w:tcW w:w="381" w:type="pct"/>
                  <w:vAlign w:val="center"/>
                </w:tcPr>
                <w:p w14:paraId="314DADF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2024.10.18</w:t>
                  </w:r>
                </w:p>
              </w:tc>
              <w:tc>
                <w:tcPr>
                  <w:tcW w:w="735" w:type="pct"/>
                  <w:vAlign w:val="center"/>
                </w:tcPr>
                <w:p w14:paraId="5DAE68D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石高审循化环批</w:t>
                  </w:r>
                  <w:r>
                    <w:rPr>
                      <w:rFonts w:hint="default"/>
                      <w:color w:val="auto"/>
                      <w:sz w:val="21"/>
                      <w:szCs w:val="21"/>
                      <w:highlight w:val="none"/>
                      <w:lang w:val="en-US" w:eastAsia="zh-CN"/>
                    </w:rPr>
                    <w:t>〔202</w:t>
                  </w:r>
                  <w:r>
                    <w:rPr>
                      <w:rFonts w:hint="eastAsia"/>
                      <w:color w:val="auto"/>
                      <w:sz w:val="21"/>
                      <w:szCs w:val="21"/>
                      <w:highlight w:val="none"/>
                      <w:lang w:val="en-US" w:eastAsia="zh-CN"/>
                    </w:rPr>
                    <w:t>4</w:t>
                  </w:r>
                  <w:r>
                    <w:rPr>
                      <w:rFonts w:hint="default"/>
                      <w:color w:val="auto"/>
                      <w:sz w:val="21"/>
                      <w:szCs w:val="21"/>
                      <w:highlight w:val="none"/>
                      <w:lang w:val="en-US" w:eastAsia="zh-CN"/>
                    </w:rPr>
                    <w:t>]</w:t>
                  </w:r>
                  <w:r>
                    <w:rPr>
                      <w:rFonts w:hint="eastAsia"/>
                      <w:color w:val="auto"/>
                      <w:sz w:val="21"/>
                      <w:szCs w:val="21"/>
                      <w:highlight w:val="none"/>
                      <w:lang w:val="en-US" w:eastAsia="zh-CN"/>
                    </w:rPr>
                    <w:t>6</w:t>
                  </w:r>
                  <w:r>
                    <w:rPr>
                      <w:rFonts w:hint="default"/>
                      <w:color w:val="auto"/>
                      <w:sz w:val="21"/>
                      <w:szCs w:val="21"/>
                      <w:highlight w:val="none"/>
                      <w:lang w:val="en-US" w:eastAsia="zh-CN"/>
                    </w:rPr>
                    <w:t>号</w:t>
                  </w:r>
                </w:p>
              </w:tc>
              <w:tc>
                <w:tcPr>
                  <w:tcW w:w="874" w:type="pct"/>
                  <w:vAlign w:val="center"/>
                </w:tcPr>
                <w:p w14:paraId="044CC3A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自主验收</w:t>
                  </w:r>
                </w:p>
              </w:tc>
              <w:tc>
                <w:tcPr>
                  <w:tcW w:w="361" w:type="pct"/>
                  <w:vAlign w:val="center"/>
                </w:tcPr>
                <w:p w14:paraId="0953256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2026.4.25</w:t>
                  </w:r>
                </w:p>
              </w:tc>
              <w:tc>
                <w:tcPr>
                  <w:tcW w:w="437" w:type="pct"/>
                  <w:vAlign w:val="center"/>
                </w:tcPr>
                <w:p w14:paraId="28DCDD3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w:t>
                  </w:r>
                </w:p>
              </w:tc>
            </w:tr>
            <w:tr w14:paraId="6249B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32180C8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5</w:t>
                  </w:r>
                  <w:r>
                    <w:rPr>
                      <w:rFonts w:hint="eastAsia"/>
                      <w:color w:val="auto"/>
                      <w:sz w:val="21"/>
                      <w:szCs w:val="21"/>
                      <w:highlight w:val="none"/>
                      <w:lang w:val="en-US" w:eastAsia="zh-CN"/>
                    </w:rPr>
                    <w:t>1</w:t>
                  </w:r>
                </w:p>
              </w:tc>
              <w:tc>
                <w:tcPr>
                  <w:tcW w:w="785" w:type="pct"/>
                  <w:vAlign w:val="center"/>
                </w:tcPr>
                <w:p w14:paraId="5F13DA6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六车间氨基乙酸技术改造项目</w:t>
                  </w:r>
                </w:p>
              </w:tc>
              <w:tc>
                <w:tcPr>
                  <w:tcW w:w="178" w:type="pct"/>
                  <w:vAlign w:val="center"/>
                </w:tcPr>
                <w:p w14:paraId="62C8EC4D">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报告书</w:t>
                  </w:r>
                </w:p>
              </w:tc>
              <w:tc>
                <w:tcPr>
                  <w:tcW w:w="267" w:type="pct"/>
                  <w:vMerge w:val="continue"/>
                  <w:vAlign w:val="top"/>
                </w:tcPr>
                <w:p w14:paraId="439287C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38EB0D5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已建设</w:t>
                  </w:r>
                </w:p>
              </w:tc>
              <w:tc>
                <w:tcPr>
                  <w:tcW w:w="597" w:type="pct"/>
                  <w:vAlign w:val="center"/>
                </w:tcPr>
                <w:p w14:paraId="70778D5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石家庄高新技术产业开发区行政审批局</w:t>
                  </w:r>
                </w:p>
              </w:tc>
              <w:tc>
                <w:tcPr>
                  <w:tcW w:w="381" w:type="pct"/>
                  <w:vAlign w:val="center"/>
                </w:tcPr>
                <w:p w14:paraId="102B10C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2024.12.6</w:t>
                  </w:r>
                </w:p>
              </w:tc>
              <w:tc>
                <w:tcPr>
                  <w:tcW w:w="735" w:type="pct"/>
                  <w:vAlign w:val="center"/>
                </w:tcPr>
                <w:p w14:paraId="75364A04">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石高审循化环批</w:t>
                  </w:r>
                  <w:r>
                    <w:rPr>
                      <w:rFonts w:hint="default"/>
                      <w:color w:val="auto"/>
                      <w:sz w:val="21"/>
                      <w:szCs w:val="21"/>
                      <w:highlight w:val="none"/>
                      <w:lang w:val="en-US" w:eastAsia="zh-CN"/>
                    </w:rPr>
                    <w:t>〔202</w:t>
                  </w:r>
                  <w:r>
                    <w:rPr>
                      <w:rFonts w:hint="eastAsia"/>
                      <w:color w:val="auto"/>
                      <w:sz w:val="21"/>
                      <w:szCs w:val="21"/>
                      <w:highlight w:val="none"/>
                      <w:lang w:val="en-US" w:eastAsia="zh-CN"/>
                    </w:rPr>
                    <w:t>4</w:t>
                  </w:r>
                  <w:r>
                    <w:rPr>
                      <w:rFonts w:hint="default"/>
                      <w:color w:val="auto"/>
                      <w:sz w:val="21"/>
                      <w:szCs w:val="21"/>
                      <w:highlight w:val="none"/>
                      <w:lang w:val="en-US" w:eastAsia="zh-CN"/>
                    </w:rPr>
                    <w:t>]7号</w:t>
                  </w:r>
                </w:p>
              </w:tc>
              <w:tc>
                <w:tcPr>
                  <w:tcW w:w="874" w:type="pct"/>
                  <w:vAlign w:val="center"/>
                </w:tcPr>
                <w:p w14:paraId="4F03798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自主验收</w:t>
                  </w:r>
                </w:p>
              </w:tc>
              <w:tc>
                <w:tcPr>
                  <w:tcW w:w="361" w:type="pct"/>
                  <w:vAlign w:val="center"/>
                </w:tcPr>
                <w:p w14:paraId="39D4C04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2025.4.26</w:t>
                  </w:r>
                </w:p>
              </w:tc>
              <w:tc>
                <w:tcPr>
                  <w:tcW w:w="437" w:type="pct"/>
                  <w:vAlign w:val="center"/>
                </w:tcPr>
                <w:p w14:paraId="7F3AEA4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w:t>
                  </w:r>
                </w:p>
              </w:tc>
            </w:tr>
            <w:tr w14:paraId="20737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58D75B6">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52</w:t>
                  </w:r>
                </w:p>
              </w:tc>
              <w:tc>
                <w:tcPr>
                  <w:tcW w:w="785" w:type="pct"/>
                  <w:vAlign w:val="center"/>
                </w:tcPr>
                <w:p w14:paraId="7C227E3B">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石家庄东华金龙化工有限公司</w:t>
                  </w:r>
                  <w:bookmarkStart w:id="27" w:name="OLE_LINK2"/>
                  <w:r>
                    <w:rPr>
                      <w:rFonts w:hint="eastAsia"/>
                      <w:color w:val="auto"/>
                      <w:sz w:val="21"/>
                      <w:szCs w:val="21"/>
                      <w:highlight w:val="none"/>
                      <w:lang w:val="en-US" w:eastAsia="zh-CN"/>
                    </w:rPr>
                    <w:t>甘氨酸深加工项目</w:t>
                  </w:r>
                  <w:bookmarkEnd w:id="27"/>
                </w:p>
              </w:tc>
              <w:tc>
                <w:tcPr>
                  <w:tcW w:w="178" w:type="pct"/>
                  <w:vAlign w:val="center"/>
                </w:tcPr>
                <w:p w14:paraId="44BE2D83">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报告表</w:t>
                  </w:r>
                </w:p>
              </w:tc>
              <w:tc>
                <w:tcPr>
                  <w:tcW w:w="267" w:type="pct"/>
                  <w:vMerge w:val="continue"/>
                  <w:vAlign w:val="top"/>
                </w:tcPr>
                <w:p w14:paraId="6E0CF2F2">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5587B8A5">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已建设</w:t>
                  </w:r>
                </w:p>
              </w:tc>
              <w:tc>
                <w:tcPr>
                  <w:tcW w:w="597" w:type="pct"/>
                  <w:vAlign w:val="center"/>
                </w:tcPr>
                <w:p w14:paraId="2301B56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石家庄高新技术产业开发区行政审批局</w:t>
                  </w:r>
                </w:p>
              </w:tc>
              <w:tc>
                <w:tcPr>
                  <w:tcW w:w="381" w:type="pct"/>
                  <w:vAlign w:val="center"/>
                </w:tcPr>
                <w:p w14:paraId="1F2E172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2025.6.30</w:t>
                  </w:r>
                </w:p>
              </w:tc>
              <w:tc>
                <w:tcPr>
                  <w:tcW w:w="735" w:type="pct"/>
                  <w:vAlign w:val="center"/>
                </w:tcPr>
                <w:p w14:paraId="5BB05DF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石高审循化环表〔2025</w:t>
                  </w:r>
                  <w:r>
                    <w:rPr>
                      <w:rFonts w:hint="default"/>
                      <w:color w:val="auto"/>
                      <w:sz w:val="21"/>
                      <w:szCs w:val="21"/>
                      <w:highlight w:val="none"/>
                      <w:lang w:val="en-US" w:eastAsia="zh-CN"/>
                    </w:rPr>
                    <w:t>〕</w:t>
                  </w:r>
                  <w:r>
                    <w:rPr>
                      <w:rFonts w:hint="eastAsia"/>
                      <w:color w:val="auto"/>
                      <w:sz w:val="21"/>
                      <w:szCs w:val="21"/>
                      <w:highlight w:val="none"/>
                      <w:lang w:val="en-US" w:eastAsia="zh-CN"/>
                    </w:rPr>
                    <w:t>4号</w:t>
                  </w:r>
                </w:p>
              </w:tc>
              <w:tc>
                <w:tcPr>
                  <w:tcW w:w="874" w:type="pct"/>
                  <w:vAlign w:val="center"/>
                </w:tcPr>
                <w:p w14:paraId="5DE5B8B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自主验收</w:t>
                  </w:r>
                </w:p>
              </w:tc>
              <w:tc>
                <w:tcPr>
                  <w:tcW w:w="361" w:type="pct"/>
                  <w:vAlign w:val="center"/>
                </w:tcPr>
                <w:p w14:paraId="452586C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2026.4.25</w:t>
                  </w:r>
                </w:p>
              </w:tc>
              <w:tc>
                <w:tcPr>
                  <w:tcW w:w="437" w:type="pct"/>
                  <w:vAlign w:val="center"/>
                </w:tcPr>
                <w:p w14:paraId="5F64F65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w:t>
                  </w:r>
                </w:p>
              </w:tc>
            </w:tr>
            <w:tr w14:paraId="21E86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180" w:type="pct"/>
                  <w:vAlign w:val="center"/>
                </w:tcPr>
                <w:p w14:paraId="727A692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53</w:t>
                  </w:r>
                </w:p>
              </w:tc>
              <w:tc>
                <w:tcPr>
                  <w:tcW w:w="785" w:type="pct"/>
                  <w:vAlign w:val="center"/>
                </w:tcPr>
                <w:p w14:paraId="79AA505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石家庄东华金龙化工有限公司新建仓储设施项目</w:t>
                  </w:r>
                </w:p>
              </w:tc>
              <w:tc>
                <w:tcPr>
                  <w:tcW w:w="178" w:type="pct"/>
                  <w:vAlign w:val="center"/>
                </w:tcPr>
                <w:p w14:paraId="70D0B02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报告表</w:t>
                  </w:r>
                </w:p>
              </w:tc>
              <w:tc>
                <w:tcPr>
                  <w:tcW w:w="267" w:type="pct"/>
                  <w:vMerge w:val="continue"/>
                  <w:vAlign w:val="top"/>
                </w:tcPr>
                <w:p w14:paraId="11F0C51E">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p>
              </w:tc>
              <w:tc>
                <w:tcPr>
                  <w:tcW w:w="200" w:type="pct"/>
                  <w:vAlign w:val="center"/>
                </w:tcPr>
                <w:p w14:paraId="06A43ED1">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建设中</w:t>
                  </w:r>
                </w:p>
              </w:tc>
              <w:tc>
                <w:tcPr>
                  <w:tcW w:w="597" w:type="pct"/>
                  <w:vAlign w:val="center"/>
                </w:tcPr>
                <w:p w14:paraId="28C1EB58">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石家庄高新技术产业开发区行政审批局</w:t>
                  </w:r>
                </w:p>
              </w:tc>
              <w:tc>
                <w:tcPr>
                  <w:tcW w:w="381" w:type="pct"/>
                  <w:vAlign w:val="center"/>
                </w:tcPr>
                <w:p w14:paraId="73D16740">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2026.3.11</w:t>
                  </w:r>
                </w:p>
              </w:tc>
              <w:tc>
                <w:tcPr>
                  <w:tcW w:w="735" w:type="pct"/>
                  <w:vAlign w:val="center"/>
                </w:tcPr>
                <w:p w14:paraId="651E3F8C">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石高审循化环表〔2026</w:t>
                  </w:r>
                  <w:r>
                    <w:rPr>
                      <w:rFonts w:hint="default"/>
                      <w:color w:val="auto"/>
                      <w:sz w:val="21"/>
                      <w:szCs w:val="21"/>
                      <w:highlight w:val="none"/>
                      <w:lang w:val="en-US" w:eastAsia="zh-CN"/>
                    </w:rPr>
                    <w:t>〕</w:t>
                  </w:r>
                  <w:r>
                    <w:rPr>
                      <w:rFonts w:hint="eastAsia"/>
                      <w:color w:val="auto"/>
                      <w:sz w:val="21"/>
                      <w:szCs w:val="21"/>
                      <w:highlight w:val="none"/>
                      <w:lang w:val="en-US" w:eastAsia="zh-CN"/>
                    </w:rPr>
                    <w:t>4号</w:t>
                  </w:r>
                </w:p>
              </w:tc>
              <w:tc>
                <w:tcPr>
                  <w:tcW w:w="874" w:type="pct"/>
                  <w:vAlign w:val="center"/>
                </w:tcPr>
                <w:p w14:paraId="2C6E88AA">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w:t>
                  </w:r>
                </w:p>
              </w:tc>
              <w:tc>
                <w:tcPr>
                  <w:tcW w:w="361" w:type="pct"/>
                  <w:vAlign w:val="center"/>
                </w:tcPr>
                <w:p w14:paraId="05A16A97">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w:t>
                  </w:r>
                </w:p>
              </w:tc>
              <w:tc>
                <w:tcPr>
                  <w:tcW w:w="437" w:type="pct"/>
                  <w:vAlign w:val="center"/>
                </w:tcPr>
                <w:p w14:paraId="558600DF">
                  <w:pPr>
                    <w:keepNext w:val="0"/>
                    <w:keepLines w:val="0"/>
                    <w:pageBreakBefore w:val="0"/>
                    <w:widowControl w:val="0"/>
                    <w:shd w:val="clear"/>
                    <w:kinsoku/>
                    <w:wordWrap/>
                    <w:overflowPunct/>
                    <w:topLinePunct w:val="0"/>
                    <w:autoSpaceDE/>
                    <w:autoSpaceDN/>
                    <w:bidi w:val="0"/>
                    <w:adjustRightInd/>
                    <w:snapToGrid w:val="0"/>
                    <w:spacing w:line="280" w:lineRule="exact"/>
                    <w:ind w:left="0" w:lef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w:t>
                  </w:r>
                </w:p>
              </w:tc>
            </w:tr>
          </w:tbl>
          <w:p w14:paraId="204C8634">
            <w:pPr>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（2）现有工程建设内容</w:t>
            </w:r>
          </w:p>
          <w:p w14:paraId="21E84051">
            <w:pPr>
              <w:pStyle w:val="60"/>
              <w:spacing w:line="360" w:lineRule="auto"/>
              <w:rPr>
                <w:rFonts w:hint="default" w:ascii="Times New Roman" w:hAnsi="Times New Roman" w:cs="Times New Roman"/>
                <w:color w:val="auto"/>
                <w:sz w:val="21"/>
                <w:szCs w:val="21"/>
                <w:highlight w:val="none"/>
              </w:rPr>
            </w:pPr>
            <w:r>
              <w:rPr>
                <w:rFonts w:hint="default"/>
                <w:color w:val="auto"/>
                <w:sz w:val="21"/>
                <w:szCs w:val="21"/>
                <w:highlight w:val="none"/>
              </w:rPr>
              <w:t>石家庄东华金龙化工有限公司位于</w:t>
            </w:r>
            <w:r>
              <w:rPr>
                <w:rFonts w:hint="default"/>
                <w:color w:val="auto"/>
                <w:sz w:val="21"/>
                <w:szCs w:val="21"/>
                <w:highlight w:val="none"/>
                <w:lang w:eastAsia="zh-CN"/>
              </w:rPr>
              <w:t>石家庄高新技术产业开发区循环化工园区</w:t>
            </w:r>
            <w:r>
              <w:rPr>
                <w:rFonts w:hint="default"/>
                <w:color w:val="auto"/>
                <w:sz w:val="21"/>
                <w:szCs w:val="21"/>
                <w:highlight w:val="none"/>
              </w:rPr>
              <w:t>化工中路100号，厂区占地面积216669.9m</w:t>
            </w:r>
            <w:r>
              <w:rPr>
                <w:rFonts w:hint="default"/>
                <w:color w:val="auto"/>
                <w:sz w:val="21"/>
                <w:szCs w:val="21"/>
                <w:highlight w:val="none"/>
                <w:vertAlign w:val="superscript"/>
                <w:lang w:val="en-US" w:eastAsia="zh-CN"/>
              </w:rPr>
              <w:t>2</w:t>
            </w:r>
            <w:r>
              <w:rPr>
                <w:rFonts w:hint="default"/>
                <w:color w:val="auto"/>
                <w:sz w:val="21"/>
                <w:szCs w:val="21"/>
                <w:highlight w:val="none"/>
              </w:rPr>
              <w:t>。始建于2000年，于2008年底从石家庄东二环整体搬迁入化工园区，2010年被国家认定为高新技术企业。公司主导产品为：工业氨基乙酸，年生产能力为10万吨，公司其他产品还有：甘氨酸螯合物、</w:t>
            </w:r>
            <w:bookmarkStart w:id="28" w:name="OLE_LINK14"/>
            <w:r>
              <w:rPr>
                <w:rFonts w:hint="eastAsia"/>
                <w:color w:val="auto"/>
                <w:sz w:val="21"/>
                <w:szCs w:val="21"/>
                <w:highlight w:val="none"/>
                <w:lang w:val="en-US" w:eastAsia="zh-CN"/>
              </w:rPr>
              <w:t>ZAO靶材</w:t>
            </w:r>
            <w:bookmarkEnd w:id="28"/>
            <w:r>
              <w:rPr>
                <w:rFonts w:hint="eastAsia"/>
                <w:color w:val="auto"/>
                <w:sz w:val="21"/>
                <w:szCs w:val="21"/>
                <w:highlight w:val="none"/>
                <w:lang w:val="en-US" w:eastAsia="zh-CN"/>
              </w:rPr>
              <w:t>、</w:t>
            </w:r>
            <w:r>
              <w:rPr>
                <w:rFonts w:hint="default"/>
                <w:color w:val="auto"/>
                <w:sz w:val="21"/>
                <w:szCs w:val="21"/>
                <w:highlight w:val="none"/>
              </w:rPr>
              <w:t>海因等；副产品为：盐酸、氯化铵</w:t>
            </w:r>
            <w:r>
              <w:rPr>
                <w:rFonts w:hint="default"/>
                <w:color w:val="auto"/>
                <w:sz w:val="21"/>
                <w:szCs w:val="21"/>
                <w:highlight w:val="none"/>
                <w:lang w:eastAsia="zh-CN"/>
              </w:rPr>
              <w:t>、</w:t>
            </w:r>
            <w:r>
              <w:rPr>
                <w:rFonts w:hint="default"/>
                <w:color w:val="auto"/>
                <w:sz w:val="21"/>
                <w:szCs w:val="21"/>
                <w:highlight w:val="none"/>
                <w:lang w:val="en-US" w:eastAsia="zh-CN"/>
              </w:rPr>
              <w:t>氨水</w:t>
            </w:r>
            <w:r>
              <w:rPr>
                <w:rFonts w:hint="default"/>
                <w:color w:val="auto"/>
                <w:sz w:val="21"/>
                <w:szCs w:val="21"/>
                <w:highlight w:val="none"/>
              </w:rPr>
              <w:t>等。该公司各项目环保手续齐全，并</w:t>
            </w:r>
            <w:r>
              <w:rPr>
                <w:rFonts w:hint="default"/>
                <w:color w:val="auto"/>
                <w:sz w:val="21"/>
                <w:szCs w:val="21"/>
                <w:highlight w:val="none"/>
                <w:lang w:val="en-US" w:eastAsia="zh-CN"/>
              </w:rPr>
              <w:t>取得了</w:t>
            </w:r>
            <w:r>
              <w:rPr>
                <w:rFonts w:hint="default"/>
                <w:color w:val="auto"/>
                <w:sz w:val="21"/>
                <w:szCs w:val="21"/>
                <w:highlight w:val="none"/>
              </w:rPr>
              <w:t>排污许可证</w:t>
            </w:r>
            <w:r>
              <w:rPr>
                <w:rFonts w:hint="default"/>
                <w:color w:val="auto"/>
                <w:sz w:val="21"/>
                <w:szCs w:val="21"/>
                <w:highlight w:val="none"/>
                <w:lang w:eastAsia="zh-CN"/>
              </w:rPr>
              <w:t>（</w:t>
            </w:r>
            <w:r>
              <w:rPr>
                <w:rFonts w:hint="default"/>
                <w:color w:val="auto"/>
                <w:sz w:val="21"/>
                <w:szCs w:val="21"/>
                <w:highlight w:val="none"/>
              </w:rPr>
              <w:t>91130193104681023N001Z</w:t>
            </w:r>
            <w:r>
              <w:rPr>
                <w:rFonts w:hint="eastAsia"/>
                <w:color w:val="auto"/>
                <w:sz w:val="21"/>
                <w:szCs w:val="21"/>
                <w:highlight w:val="none"/>
                <w:lang w:eastAsia="zh-CN"/>
              </w:rPr>
              <w:t>），</w:t>
            </w:r>
            <w:r>
              <w:rPr>
                <w:rFonts w:hint="eastAsia" w:eastAsia="宋体" w:cs="Times New Roman"/>
                <w:color w:val="auto"/>
                <w:sz w:val="21"/>
                <w:szCs w:val="21"/>
                <w:highlight w:val="none"/>
              </w:rPr>
              <w:t>有效期限：</w:t>
            </w:r>
            <w:r>
              <w:rPr>
                <w:rFonts w:hint="default" w:ascii="Times New Roman" w:hAnsi="Times New Roman" w:eastAsia="宋体" w:cs="Times New Roman"/>
                <w:color w:val="auto"/>
                <w:sz w:val="21"/>
                <w:szCs w:val="21"/>
                <w:highlight w:val="none"/>
              </w:rPr>
              <w:t>自2025年10月22日起至2030年10月21日止</w:t>
            </w:r>
            <w:r>
              <w:rPr>
                <w:rFonts w:hint="default" w:ascii="Times New Roman" w:hAnsi="Times New Roman" w:cs="Times New Roman"/>
                <w:color w:val="auto"/>
                <w:sz w:val="21"/>
                <w:szCs w:val="21"/>
                <w:highlight w:val="none"/>
              </w:rPr>
              <w:t>。</w:t>
            </w:r>
          </w:p>
          <w:p w14:paraId="6793816B">
            <w:pPr>
              <w:pStyle w:val="7"/>
              <w:pageBreakBefore w:val="0"/>
              <w:widowControl w:val="0"/>
              <w:numPr>
                <w:ilvl w:val="5"/>
                <w:numId w:val="0"/>
              </w:numPr>
              <w:kinsoku/>
              <w:wordWrap/>
              <w:overflowPunct/>
              <w:topLinePunct w:val="0"/>
              <w:autoSpaceDE/>
              <w:autoSpaceDN/>
              <w:bidi w:val="0"/>
              <w:adjustRightInd/>
              <w:snapToGrid/>
              <w:spacing w:beforeLines="0" w:afterLines="0" w:line="360" w:lineRule="auto"/>
              <w:ind w:leftChars="0" w:firstLine="422" w:firstLineChars="200"/>
              <w:jc w:val="center"/>
              <w:textAlignment w:val="auto"/>
              <w:rPr>
                <w:rFonts w:hint="eastAsia"/>
                <w:color w:val="auto"/>
                <w:sz w:val="21"/>
                <w:szCs w:val="21"/>
                <w:highlight w:val="none"/>
                <w:lang w:val="zh-CN" w:eastAsia="zh-CN"/>
              </w:rPr>
            </w:pPr>
          </w:p>
          <w:p w14:paraId="28C34ED3">
            <w:pPr>
              <w:pStyle w:val="7"/>
              <w:pageBreakBefore w:val="0"/>
              <w:widowControl w:val="0"/>
              <w:numPr>
                <w:ilvl w:val="5"/>
                <w:numId w:val="0"/>
              </w:numPr>
              <w:kinsoku/>
              <w:wordWrap/>
              <w:overflowPunct/>
              <w:topLinePunct w:val="0"/>
              <w:autoSpaceDE/>
              <w:autoSpaceDN/>
              <w:bidi w:val="0"/>
              <w:adjustRightInd/>
              <w:snapToGrid/>
              <w:spacing w:beforeLines="0" w:afterLines="0" w:line="360" w:lineRule="auto"/>
              <w:ind w:leftChars="0" w:firstLine="422" w:firstLineChars="200"/>
              <w:jc w:val="center"/>
              <w:textAlignment w:val="auto"/>
              <w:rPr>
                <w:rFonts w:hint="eastAsia"/>
                <w:color w:val="auto"/>
                <w:sz w:val="21"/>
                <w:szCs w:val="21"/>
                <w:highlight w:val="none"/>
                <w:lang w:val="zh-CN" w:eastAsia="zh-CN"/>
              </w:rPr>
            </w:pPr>
          </w:p>
          <w:p w14:paraId="68067D03">
            <w:pPr>
              <w:pStyle w:val="7"/>
              <w:pageBreakBefore w:val="0"/>
              <w:widowControl w:val="0"/>
              <w:numPr>
                <w:ilvl w:val="5"/>
                <w:numId w:val="0"/>
              </w:numPr>
              <w:kinsoku/>
              <w:wordWrap/>
              <w:overflowPunct/>
              <w:topLinePunct w:val="0"/>
              <w:autoSpaceDE/>
              <w:autoSpaceDN/>
              <w:bidi w:val="0"/>
              <w:adjustRightInd/>
              <w:snapToGrid/>
              <w:spacing w:beforeLines="0" w:afterLines="0" w:line="360" w:lineRule="auto"/>
              <w:ind w:leftChars="0" w:firstLine="422" w:firstLineChars="200"/>
              <w:jc w:val="center"/>
              <w:textAlignment w:val="auto"/>
              <w:rPr>
                <w:rFonts w:hint="default"/>
                <w:color w:val="auto"/>
                <w:sz w:val="21"/>
                <w:szCs w:val="21"/>
                <w:highlight w:val="none"/>
                <w:lang w:val="zh-CN" w:eastAsia="zh-CN"/>
              </w:rPr>
            </w:pPr>
            <w:r>
              <w:rPr>
                <w:rFonts w:hint="eastAsia"/>
                <w:color w:val="auto"/>
                <w:sz w:val="21"/>
                <w:szCs w:val="21"/>
                <w:highlight w:val="none"/>
                <w:lang w:val="zh-CN" w:eastAsia="zh-CN"/>
              </w:rPr>
              <w:t>表</w:t>
            </w:r>
            <w:r>
              <w:rPr>
                <w:rFonts w:hint="eastAsia"/>
                <w:color w:val="auto"/>
                <w:sz w:val="21"/>
                <w:szCs w:val="21"/>
                <w:highlight w:val="none"/>
                <w:lang w:val="en-US" w:eastAsia="zh-CN"/>
              </w:rPr>
              <w:t xml:space="preserve"> 2-16 现</w:t>
            </w:r>
            <w:r>
              <w:rPr>
                <w:rFonts w:hint="default"/>
                <w:color w:val="auto"/>
                <w:sz w:val="21"/>
                <w:szCs w:val="21"/>
                <w:highlight w:val="none"/>
                <w:lang w:val="zh-CN" w:eastAsia="zh-CN"/>
              </w:rPr>
              <w:t>有工程一览表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44"/>
              <w:gridCol w:w="983"/>
              <w:gridCol w:w="1129"/>
              <w:gridCol w:w="1973"/>
              <w:gridCol w:w="3606"/>
            </w:tblGrid>
            <w:tr w14:paraId="3CA6F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tblHeader/>
                <w:jc w:val="center"/>
              </w:trPr>
              <w:tc>
                <w:tcPr>
                  <w:tcW w:w="244" w:type="dxa"/>
                  <w:vAlign w:val="center"/>
                </w:tcPr>
                <w:p w14:paraId="624385E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项目</w:t>
                  </w:r>
                </w:p>
              </w:tc>
              <w:tc>
                <w:tcPr>
                  <w:tcW w:w="983" w:type="dxa"/>
                  <w:vAlign w:val="center"/>
                </w:tcPr>
                <w:p w14:paraId="7E2A50B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车间名称</w:t>
                  </w:r>
                </w:p>
              </w:tc>
              <w:tc>
                <w:tcPr>
                  <w:tcW w:w="6708" w:type="dxa"/>
                  <w:gridSpan w:val="3"/>
                  <w:vAlign w:val="center"/>
                </w:tcPr>
                <w:p w14:paraId="4A4AAD1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工程内容</w:t>
                  </w:r>
                </w:p>
              </w:tc>
            </w:tr>
            <w:tr w14:paraId="246FC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restart"/>
                  <w:vAlign w:val="center"/>
                </w:tcPr>
                <w:p w14:paraId="221F3A8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主体</w:t>
                  </w:r>
                </w:p>
                <w:p w14:paraId="246EDA4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工程</w:t>
                  </w:r>
                </w:p>
              </w:tc>
              <w:tc>
                <w:tcPr>
                  <w:tcW w:w="983" w:type="dxa"/>
                  <w:vAlign w:val="center"/>
                </w:tcPr>
                <w:p w14:paraId="277098A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2#-6#氨基乙酸车间</w:t>
                  </w:r>
                </w:p>
              </w:tc>
              <w:tc>
                <w:tcPr>
                  <w:tcW w:w="6708" w:type="dxa"/>
                  <w:gridSpan w:val="3"/>
                  <w:vAlign w:val="center"/>
                </w:tcPr>
                <w:p w14:paraId="1CB77C2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目前2#-6#五个车间合计产能为9万吨/年，各车间装有相应生产线，主要设备包括计量罐、反应罐、萃取罐、离心机、烘干机、振动筛等及相应环保治理设施。</w:t>
                  </w:r>
                </w:p>
              </w:tc>
            </w:tr>
            <w:tr w14:paraId="566AA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35" w:hRule="atLeast"/>
                <w:jc w:val="center"/>
              </w:trPr>
              <w:tc>
                <w:tcPr>
                  <w:tcW w:w="244" w:type="dxa"/>
                  <w:vMerge w:val="continue"/>
                  <w:vAlign w:val="center"/>
                </w:tcPr>
                <w:p w14:paraId="742BB9B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2193825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精馏车间</w:t>
                  </w:r>
                </w:p>
              </w:tc>
              <w:tc>
                <w:tcPr>
                  <w:tcW w:w="6708" w:type="dxa"/>
                  <w:gridSpan w:val="3"/>
                  <w:vAlign w:val="center"/>
                </w:tcPr>
                <w:p w14:paraId="3477A7A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用于配套生产甲醇蒸馏回收，主要装置包括精馏塔、再沸器、换热器、缓冲罐、物料泵、冷凝器等设备及相应环保治理设施。</w:t>
                  </w:r>
                </w:p>
              </w:tc>
            </w:tr>
            <w:tr w14:paraId="3825B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6B89108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629CD94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精制氨基乙酸车间</w:t>
                  </w:r>
                </w:p>
              </w:tc>
              <w:tc>
                <w:tcPr>
                  <w:tcW w:w="6708" w:type="dxa"/>
                  <w:gridSpan w:val="3"/>
                  <w:vAlign w:val="center"/>
                </w:tcPr>
                <w:p w14:paraId="4BD7CAD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用于氨基乙酸精制，设计产能1万吨/年，主要设备为化料釜、中间釜、脱碳过滤器、膜过滤系统、结晶釜、计量罐、放料槽、烘干设备等及相应环保治理设施。</w:t>
                  </w:r>
                </w:p>
              </w:tc>
            </w:tr>
            <w:tr w14:paraId="2DC6B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54AD92E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06F5E92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1~5#氯乙酸车间</w:t>
                  </w:r>
                </w:p>
              </w:tc>
              <w:tc>
                <w:tcPr>
                  <w:tcW w:w="6708" w:type="dxa"/>
                  <w:gridSpan w:val="3"/>
                  <w:vAlign w:val="center"/>
                </w:tcPr>
                <w:p w14:paraId="52CA072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主要生产氯乙酸15万吨/年，为氨基乙酸配套设置。主要设备为反应罐、储罐、计量罐、冷凝器、吸收塔、缓冲罐、物料泵等等及相应环保治理设施。</w:t>
                  </w:r>
                </w:p>
              </w:tc>
            </w:tr>
            <w:tr w14:paraId="073D0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22953AF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3B73B8D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新工艺氨基乙酸车间</w:t>
                  </w:r>
                </w:p>
              </w:tc>
              <w:tc>
                <w:tcPr>
                  <w:tcW w:w="6708" w:type="dxa"/>
                  <w:gridSpan w:val="3"/>
                  <w:vAlign w:val="center"/>
                </w:tcPr>
                <w:p w14:paraId="0E96801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新工艺氨基乙酸车间，设计产能1万吨/年，主要设备为反应罐、储罐、计量罐、冷凝器、吸收塔、缓冲罐、物料泵等及相应环保治理设施。</w:t>
                  </w:r>
                </w:p>
              </w:tc>
            </w:tr>
            <w:tr w14:paraId="1170A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38A3F83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64F6923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螯合物车间1#-2#</w:t>
                  </w:r>
                </w:p>
              </w:tc>
              <w:tc>
                <w:tcPr>
                  <w:tcW w:w="6708" w:type="dxa"/>
                  <w:gridSpan w:val="3"/>
                  <w:vAlign w:val="center"/>
                </w:tcPr>
                <w:p w14:paraId="283B843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主要生产氨基乙酸盐分为两个车间，主要设备为反应釜、结晶釜、离心机、喷雾干燥、双锥、压滤机、振动筛、粉碎机、封口机、物料泵等及相应环保治理设施。</w:t>
                  </w:r>
                </w:p>
              </w:tc>
            </w:tr>
            <w:tr w14:paraId="5EAF3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3AB6F78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0D83F2F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海因车间及靶材车间</w:t>
                  </w:r>
                </w:p>
              </w:tc>
              <w:tc>
                <w:tcPr>
                  <w:tcW w:w="6708" w:type="dxa"/>
                  <w:gridSpan w:val="3"/>
                  <w:vAlign w:val="center"/>
                </w:tcPr>
                <w:p w14:paraId="7C1712F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海因车间主要生产海因</w:t>
                  </w:r>
                  <w:r>
                    <w:rPr>
                      <w:rFonts w:hint="default"/>
                      <w:color w:val="auto"/>
                      <w:sz w:val="21"/>
                      <w:szCs w:val="21"/>
                      <w:highlight w:val="none"/>
                    </w:rPr>
                    <w:t>2500</w:t>
                  </w:r>
                  <w:r>
                    <w:rPr>
                      <w:rFonts w:hint="default"/>
                      <w:color w:val="auto"/>
                      <w:sz w:val="21"/>
                      <w:szCs w:val="21"/>
                      <w:highlight w:val="none"/>
                      <w:lang w:val="en-US" w:eastAsia="zh-CN"/>
                    </w:rPr>
                    <w:t>吨/年，主要设备有化料釜、反应釜、结晶釜、计量罐、换热器、干燥机、振动筛、储料槽、粉碎机、物料泵等及相应环保治理设施。靶材车间生产靶材200吨/年。</w:t>
                  </w:r>
                </w:p>
              </w:tc>
            </w:tr>
            <w:tr w14:paraId="011CD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4A11003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45A5C4B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氨回收及氯化铵车间</w:t>
                  </w:r>
                </w:p>
              </w:tc>
              <w:tc>
                <w:tcPr>
                  <w:tcW w:w="6708" w:type="dxa"/>
                  <w:gridSpan w:val="3"/>
                  <w:vAlign w:val="center"/>
                </w:tcPr>
                <w:p w14:paraId="36BD902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用于离心母液及高浓废水处理，副产为氯化铵及水溶肥、氨水；主要设备有分离室、旋分器、加热器、冷凝器、储罐及计量罐、结晶釜、物料泵、脱氨氮系统等及相应环保治理设施。</w:t>
                  </w:r>
                </w:p>
              </w:tc>
            </w:tr>
            <w:tr w14:paraId="43A81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restart"/>
                  <w:vAlign w:val="center"/>
                </w:tcPr>
                <w:p w14:paraId="55998EF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辅助工程</w:t>
                  </w:r>
                </w:p>
              </w:tc>
              <w:tc>
                <w:tcPr>
                  <w:tcW w:w="983" w:type="dxa"/>
                  <w:vAlign w:val="center"/>
                </w:tcPr>
                <w:p w14:paraId="7BF02B9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罐区</w:t>
                  </w:r>
                </w:p>
              </w:tc>
              <w:tc>
                <w:tcPr>
                  <w:tcW w:w="6708" w:type="dxa"/>
                  <w:gridSpan w:val="3"/>
                  <w:vAlign w:val="center"/>
                </w:tcPr>
                <w:p w14:paraId="51F8797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企业设有三个罐区：其中1#罐区有托品罐2台（300m³×2）、醋酸罐8台（300m3×6/2000m3×2）、甲醇罐6台（300m³×2/100m³×4）；2#罐区有液氯罐3台（50m³×1/100m³×2）、盐酸罐10台（300m³×10）；3#罐区有液氨罐3台（100m³×3）、醋酸罐2台（1000m3×2）、甲醇罐1台（500m³）、备用罐（均为50m³一台，100m³一台）。</w:t>
                  </w:r>
                </w:p>
              </w:tc>
            </w:tr>
            <w:tr w14:paraId="344B3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0C73FE9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75E0A3E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装卸区</w:t>
                  </w:r>
                </w:p>
              </w:tc>
              <w:tc>
                <w:tcPr>
                  <w:tcW w:w="6708" w:type="dxa"/>
                  <w:gridSpan w:val="3"/>
                  <w:vAlign w:val="center"/>
                </w:tcPr>
                <w:p w14:paraId="51899B6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罐区设装卸区，用于原料装卸</w:t>
                  </w:r>
                </w:p>
              </w:tc>
            </w:tr>
            <w:tr w14:paraId="69690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5886E97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6A204C6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办公楼及其他</w:t>
                  </w:r>
                </w:p>
              </w:tc>
              <w:tc>
                <w:tcPr>
                  <w:tcW w:w="6708" w:type="dxa"/>
                  <w:gridSpan w:val="3"/>
                  <w:vAlign w:val="center"/>
                </w:tcPr>
                <w:p w14:paraId="244529F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现有综合办公楼、倒班楼、科技楼各1座，位于厂区北部</w:t>
                  </w:r>
                </w:p>
              </w:tc>
            </w:tr>
            <w:tr w14:paraId="36DC6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72F6413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707675D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事故水池及事故池</w:t>
                  </w:r>
                </w:p>
              </w:tc>
              <w:tc>
                <w:tcPr>
                  <w:tcW w:w="6708" w:type="dxa"/>
                  <w:gridSpan w:val="3"/>
                  <w:vAlign w:val="center"/>
                </w:tcPr>
                <w:p w14:paraId="4ACD9F7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现有工程容积800m³事故水池1座，容积500 m³初期雨水池</w:t>
                  </w:r>
                  <w:r>
                    <w:rPr>
                      <w:rFonts w:hint="eastAsia"/>
                      <w:color w:val="auto"/>
                      <w:sz w:val="21"/>
                      <w:szCs w:val="21"/>
                      <w:highlight w:val="none"/>
                      <w:lang w:val="en-US" w:eastAsia="zh-CN"/>
                    </w:rPr>
                    <w:t>（</w:t>
                  </w:r>
                  <w:r>
                    <w:rPr>
                      <w:rFonts w:hint="default"/>
                      <w:color w:val="auto"/>
                      <w:sz w:val="21"/>
                      <w:szCs w:val="21"/>
                      <w:highlight w:val="none"/>
                      <w:lang w:val="en-US" w:eastAsia="zh-CN"/>
                    </w:rPr>
                    <w:t>兼事故水池</w:t>
                  </w:r>
                  <w:r>
                    <w:rPr>
                      <w:rFonts w:hint="eastAsia"/>
                      <w:color w:val="auto"/>
                      <w:sz w:val="21"/>
                      <w:szCs w:val="21"/>
                      <w:highlight w:val="none"/>
                      <w:lang w:val="en-US" w:eastAsia="zh-CN"/>
                    </w:rPr>
                    <w:t>）</w:t>
                  </w:r>
                  <w:r>
                    <w:rPr>
                      <w:rFonts w:hint="default"/>
                      <w:color w:val="auto"/>
                      <w:sz w:val="21"/>
                      <w:szCs w:val="21"/>
                      <w:highlight w:val="none"/>
                      <w:lang w:val="en-US" w:eastAsia="zh-CN"/>
                    </w:rPr>
                    <w:t>1座</w:t>
                  </w:r>
                </w:p>
              </w:tc>
            </w:tr>
            <w:tr w14:paraId="2F958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restart"/>
                  <w:vAlign w:val="center"/>
                </w:tcPr>
                <w:p w14:paraId="558BB2A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公用</w:t>
                  </w:r>
                </w:p>
                <w:p w14:paraId="3348748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工程</w:t>
                  </w:r>
                </w:p>
              </w:tc>
              <w:tc>
                <w:tcPr>
                  <w:tcW w:w="983" w:type="dxa"/>
                  <w:vAlign w:val="center"/>
                </w:tcPr>
                <w:p w14:paraId="7E34CC0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供水</w:t>
                  </w:r>
                </w:p>
              </w:tc>
              <w:tc>
                <w:tcPr>
                  <w:tcW w:w="6708" w:type="dxa"/>
                  <w:gridSpan w:val="3"/>
                  <w:vAlign w:val="center"/>
                </w:tcPr>
                <w:p w14:paraId="37A7ECD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由石家庄高新技术产业开发区循环化工园区统一供给</w:t>
                  </w:r>
                </w:p>
              </w:tc>
            </w:tr>
            <w:tr w14:paraId="636BB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7731B9F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4732282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供电</w:t>
                  </w:r>
                </w:p>
              </w:tc>
              <w:tc>
                <w:tcPr>
                  <w:tcW w:w="6708" w:type="dxa"/>
                  <w:gridSpan w:val="3"/>
                  <w:vAlign w:val="center"/>
                </w:tcPr>
                <w:p w14:paraId="4EFD844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厂内设置6台变压器，并配置相应高压开关柜、低压配电屏及电容器补偿设施</w:t>
                  </w:r>
                </w:p>
              </w:tc>
            </w:tr>
            <w:tr w14:paraId="0B63E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425D495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tcBorders>
                    <w:bottom w:val="single" w:color="000000" w:sz="6" w:space="0"/>
                  </w:tcBorders>
                  <w:vAlign w:val="center"/>
                </w:tcPr>
                <w:p w14:paraId="35A58A6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供热</w:t>
                  </w:r>
                </w:p>
              </w:tc>
              <w:tc>
                <w:tcPr>
                  <w:tcW w:w="6708" w:type="dxa"/>
                  <w:gridSpan w:val="3"/>
                  <w:tcBorders>
                    <w:bottom w:val="single" w:color="000000" w:sz="6" w:space="0"/>
                  </w:tcBorders>
                  <w:vAlign w:val="center"/>
                </w:tcPr>
                <w:p w14:paraId="75D56C1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现有工程用蒸汽由园区供热企业河北旭隆化工有限公司和晋煤金石化工集团有限公司提供</w:t>
                  </w:r>
                </w:p>
              </w:tc>
            </w:tr>
            <w:tr w14:paraId="1CB3D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79F0319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tcBorders>
                    <w:bottom w:val="single" w:color="000000" w:sz="6" w:space="0"/>
                  </w:tcBorders>
                  <w:vAlign w:val="center"/>
                </w:tcPr>
                <w:p w14:paraId="1A4D761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低温冷冻水系统</w:t>
                  </w:r>
                </w:p>
              </w:tc>
              <w:tc>
                <w:tcPr>
                  <w:tcW w:w="6708" w:type="dxa"/>
                  <w:gridSpan w:val="3"/>
                  <w:tcBorders>
                    <w:bottom w:val="single" w:color="000000" w:sz="6" w:space="0"/>
                  </w:tcBorders>
                  <w:vAlign w:val="center"/>
                </w:tcPr>
                <w:p w14:paraId="797648B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现有-15℃冷冻机组7台，其中氢氟碳化物机组3台，以R32为制冷剂，每台制冷量950kW，液氨制冷剂4台，每台制冷量460kW</w:t>
                  </w:r>
                </w:p>
              </w:tc>
            </w:tr>
            <w:tr w14:paraId="62B2D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69EB822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tcBorders>
                    <w:top w:val="single" w:color="000000" w:sz="6" w:space="0"/>
                  </w:tcBorders>
                  <w:vAlign w:val="center"/>
                </w:tcPr>
                <w:p w14:paraId="5BC5EAF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循环水系统</w:t>
                  </w:r>
                </w:p>
              </w:tc>
              <w:tc>
                <w:tcPr>
                  <w:tcW w:w="6708" w:type="dxa"/>
                  <w:gridSpan w:val="3"/>
                  <w:tcBorders>
                    <w:top w:val="single" w:color="000000" w:sz="6" w:space="0"/>
                  </w:tcBorders>
                  <w:vAlign w:val="center"/>
                </w:tcPr>
                <w:p w14:paraId="7B0F1D9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厂区建设循环冷却水系统两座，第一座循环水系统流量为3600m³/h，第二座循环水流量约为8000m³/h</w:t>
                  </w:r>
                  <w:r>
                    <w:rPr>
                      <w:rFonts w:hint="eastAsia"/>
                      <w:color w:val="auto"/>
                      <w:sz w:val="21"/>
                      <w:szCs w:val="21"/>
                      <w:highlight w:val="none"/>
                      <w:lang w:val="en-US" w:eastAsia="zh-CN"/>
                    </w:rPr>
                    <w:t>；闲置凉水塔1座，流量500</w:t>
                  </w:r>
                  <w:r>
                    <w:rPr>
                      <w:rFonts w:hint="default"/>
                      <w:color w:val="auto"/>
                      <w:sz w:val="21"/>
                      <w:szCs w:val="21"/>
                      <w:highlight w:val="none"/>
                      <w:lang w:val="en-US" w:eastAsia="zh-CN"/>
                    </w:rPr>
                    <w:t>m³/h</w:t>
                  </w:r>
                </w:p>
              </w:tc>
            </w:tr>
            <w:tr w14:paraId="43AF9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restart"/>
                  <w:vAlign w:val="center"/>
                </w:tcPr>
                <w:p w14:paraId="608DC1D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环保</w:t>
                  </w:r>
                </w:p>
                <w:p w14:paraId="52A4677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工程</w:t>
                  </w:r>
                </w:p>
              </w:tc>
              <w:tc>
                <w:tcPr>
                  <w:tcW w:w="983" w:type="dxa"/>
                  <w:vMerge w:val="restart"/>
                  <w:vAlign w:val="center"/>
                </w:tcPr>
                <w:p w14:paraId="64E5F59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废气</w:t>
                  </w:r>
                </w:p>
              </w:tc>
              <w:tc>
                <w:tcPr>
                  <w:tcW w:w="1129" w:type="dxa"/>
                  <w:tcBorders>
                    <w:bottom w:val="single" w:color="000000" w:sz="6" w:space="0"/>
                  </w:tcBorders>
                  <w:vAlign w:val="center"/>
                </w:tcPr>
                <w:p w14:paraId="2EE3C4D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生产车间</w:t>
                  </w:r>
                </w:p>
              </w:tc>
              <w:tc>
                <w:tcPr>
                  <w:tcW w:w="1973" w:type="dxa"/>
                  <w:tcBorders>
                    <w:bottom w:val="single" w:color="000000" w:sz="6" w:space="0"/>
                  </w:tcBorders>
                  <w:vAlign w:val="center"/>
                </w:tcPr>
                <w:p w14:paraId="3C2C3CD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污染源</w:t>
                  </w:r>
                </w:p>
              </w:tc>
              <w:tc>
                <w:tcPr>
                  <w:tcW w:w="3606" w:type="dxa"/>
                  <w:tcBorders>
                    <w:bottom w:val="single" w:color="000000" w:sz="6" w:space="0"/>
                  </w:tcBorders>
                  <w:vAlign w:val="center"/>
                </w:tcPr>
                <w:p w14:paraId="481473B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治理措施</w:t>
                  </w:r>
                </w:p>
              </w:tc>
            </w:tr>
            <w:tr w14:paraId="3262F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19FAAD9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3B6042F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7747991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4#甲醇回收装置废气排气筒</w:t>
                  </w:r>
                </w:p>
              </w:tc>
              <w:tc>
                <w:tcPr>
                  <w:tcW w:w="1973" w:type="dxa"/>
                  <w:tcBorders>
                    <w:bottom w:val="single" w:color="000000" w:sz="6" w:space="0"/>
                  </w:tcBorders>
                  <w:vAlign w:val="center"/>
                </w:tcPr>
                <w:p w14:paraId="13887C1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2-5氨解尾气、计量罐尾气、萃取、离心、烘干、母液池；精馏不凝气；1号罐区甲醇储罐呼吸</w:t>
                  </w:r>
                </w:p>
              </w:tc>
              <w:tc>
                <w:tcPr>
                  <w:tcW w:w="3606" w:type="dxa"/>
                  <w:tcBorders>
                    <w:bottom w:val="single" w:color="000000" w:sz="6" w:space="0"/>
                  </w:tcBorders>
                  <w:vAlign w:val="center"/>
                </w:tcPr>
                <w:p w14:paraId="6F0BC12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2个尾气水吸收塔（回收甲醇：解析塔+冷凝器）+活性炭吸附/脱附”</w:t>
                  </w:r>
                  <w:r>
                    <w:rPr>
                      <w:rFonts w:hint="default"/>
                      <w:color w:val="auto"/>
                      <w:sz w:val="21"/>
                      <w:szCs w:val="21"/>
                      <w:highlight w:val="none"/>
                      <w:lang w:val="en-US" w:eastAsia="zh-CN"/>
                    </w:rPr>
                    <w:t>+1根25m排气筒（DA001）</w:t>
                  </w:r>
                </w:p>
              </w:tc>
            </w:tr>
            <w:tr w14:paraId="56F15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12B3AD8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266A64E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70A86BB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氨基乙酸车间</w:t>
                  </w:r>
                </w:p>
              </w:tc>
              <w:tc>
                <w:tcPr>
                  <w:tcW w:w="1973" w:type="dxa"/>
                  <w:tcBorders>
                    <w:bottom w:val="single" w:color="000000" w:sz="6" w:space="0"/>
                  </w:tcBorders>
                  <w:vAlign w:val="center"/>
                </w:tcPr>
                <w:p w14:paraId="3AE670B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1#-5#氨基乙酸车间氯化尾气</w:t>
                  </w:r>
                </w:p>
              </w:tc>
              <w:tc>
                <w:tcPr>
                  <w:tcW w:w="3606" w:type="dxa"/>
                  <w:tcBorders>
                    <w:bottom w:val="single" w:color="000000" w:sz="6" w:space="0"/>
                  </w:tcBorders>
                  <w:vAlign w:val="center"/>
                </w:tcPr>
                <w:p w14:paraId="5D89924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各车间氯乙酸氯化尾气经</w:t>
                  </w:r>
                  <w:r>
                    <w:rPr>
                      <w:rFonts w:hint="eastAsia"/>
                      <w:color w:val="auto"/>
                      <w:sz w:val="21"/>
                      <w:szCs w:val="21"/>
                      <w:highlight w:val="none"/>
                      <w:lang w:val="en-US" w:eastAsia="zh-CN"/>
                    </w:rPr>
                    <w:t>“</w:t>
                  </w:r>
                  <w:r>
                    <w:rPr>
                      <w:rFonts w:hint="default"/>
                      <w:color w:val="auto"/>
                      <w:sz w:val="21"/>
                      <w:szCs w:val="21"/>
                      <w:highlight w:val="none"/>
                      <w:lang w:val="en-US" w:eastAsia="zh-CN"/>
                    </w:rPr>
                    <w:t>冷凝+醋酸回收+盐酸吸收（一级塔吸收+一级降膜吸收+水吸收）</w:t>
                  </w:r>
                  <w:r>
                    <w:rPr>
                      <w:rFonts w:hint="eastAsia"/>
                      <w:color w:val="auto"/>
                      <w:sz w:val="21"/>
                      <w:szCs w:val="21"/>
                      <w:highlight w:val="none"/>
                      <w:lang w:val="en-US" w:eastAsia="zh-CN"/>
                    </w:rPr>
                    <w:t>”</w:t>
                  </w:r>
                  <w:r>
                    <w:rPr>
                      <w:rFonts w:hint="default"/>
                      <w:color w:val="auto"/>
                      <w:sz w:val="21"/>
                      <w:szCs w:val="21"/>
                      <w:highlight w:val="none"/>
                      <w:lang w:val="en-US" w:eastAsia="zh-CN"/>
                    </w:rPr>
                    <w:t>处理后，再合并经碱吸收塔+碱吸收塔</w:t>
                  </w:r>
                  <w:r>
                    <w:rPr>
                      <w:rFonts w:hint="eastAsia"/>
                      <w:color w:val="auto"/>
                      <w:sz w:val="21"/>
                      <w:szCs w:val="21"/>
                      <w:highlight w:val="none"/>
                      <w:lang w:val="en-US" w:eastAsia="zh-CN"/>
                    </w:rPr>
                    <w:t>+</w:t>
                  </w:r>
                  <w:r>
                    <w:rPr>
                      <w:rFonts w:hint="default"/>
                      <w:color w:val="auto"/>
                      <w:sz w:val="21"/>
                      <w:szCs w:val="21"/>
                      <w:highlight w:val="none"/>
                      <w:lang w:val="en-US" w:eastAsia="zh-CN"/>
                    </w:rPr>
                    <w:t>水吸收塔处理后，经1根25m高排气筒（DA002）排放</w:t>
                  </w:r>
                </w:p>
              </w:tc>
            </w:tr>
            <w:tr w14:paraId="4D761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7BBA779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44CCE63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7CA01AD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海因车间</w:t>
                  </w:r>
                </w:p>
              </w:tc>
              <w:tc>
                <w:tcPr>
                  <w:tcW w:w="1973" w:type="dxa"/>
                  <w:tcBorders>
                    <w:bottom w:val="single" w:color="000000" w:sz="6" w:space="0"/>
                  </w:tcBorders>
                  <w:vAlign w:val="center"/>
                </w:tcPr>
                <w:p w14:paraId="72DD13A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生产废气</w:t>
                  </w:r>
                </w:p>
              </w:tc>
              <w:tc>
                <w:tcPr>
                  <w:tcW w:w="3606" w:type="dxa"/>
                  <w:tcBorders>
                    <w:bottom w:val="single" w:color="000000" w:sz="6" w:space="0"/>
                  </w:tcBorders>
                  <w:vAlign w:val="center"/>
                </w:tcPr>
                <w:p w14:paraId="05E9E83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eastAsia"/>
                      <w:color w:val="auto"/>
                      <w:sz w:val="21"/>
                      <w:szCs w:val="21"/>
                      <w:highlight w:val="none"/>
                      <w:lang w:val="en-US" w:eastAsia="zh-CN"/>
                    </w:rPr>
                    <w:t>（</w:t>
                  </w:r>
                  <w:r>
                    <w:rPr>
                      <w:rFonts w:hint="default"/>
                      <w:color w:val="auto"/>
                      <w:sz w:val="21"/>
                      <w:szCs w:val="21"/>
                      <w:highlight w:val="none"/>
                      <w:lang w:val="en-US" w:eastAsia="zh-CN"/>
                    </w:rPr>
                    <w:t>水吸收+两级酸吸收</w:t>
                  </w:r>
                  <w:r>
                    <w:rPr>
                      <w:rFonts w:hint="eastAsia"/>
                      <w:color w:val="auto"/>
                      <w:sz w:val="21"/>
                      <w:szCs w:val="21"/>
                      <w:highlight w:val="none"/>
                      <w:lang w:val="en-US" w:eastAsia="zh-CN"/>
                    </w:rPr>
                    <w:t>）+</w:t>
                  </w:r>
                  <w:r>
                    <w:rPr>
                      <w:rFonts w:hint="default"/>
                      <w:color w:val="auto"/>
                      <w:sz w:val="21"/>
                      <w:szCs w:val="21"/>
                      <w:highlight w:val="none"/>
                      <w:lang w:val="en-US" w:eastAsia="zh-CN"/>
                    </w:rPr>
                    <w:t>并联布袋除尘器</w:t>
                  </w:r>
                  <w:r>
                    <w:rPr>
                      <w:rFonts w:hint="eastAsia"/>
                      <w:color w:val="auto"/>
                      <w:sz w:val="21"/>
                      <w:szCs w:val="21"/>
                      <w:highlight w:val="none"/>
                      <w:lang w:val="en-US" w:eastAsia="zh-CN"/>
                    </w:rPr>
                    <w:t>]</w:t>
                  </w:r>
                  <w:r>
                    <w:rPr>
                      <w:rFonts w:hint="default"/>
                      <w:color w:val="auto"/>
                      <w:sz w:val="21"/>
                      <w:szCs w:val="21"/>
                      <w:highlight w:val="none"/>
                      <w:lang w:val="en-US" w:eastAsia="zh-CN"/>
                    </w:rPr>
                    <w:t>+1根25m排气筒（DA003）</w:t>
                  </w:r>
                </w:p>
              </w:tc>
            </w:tr>
            <w:tr w14:paraId="2EC0D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20BF341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4B509C9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460B637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6#甲醇回收装置废气排气筒</w:t>
                  </w:r>
                </w:p>
              </w:tc>
              <w:tc>
                <w:tcPr>
                  <w:tcW w:w="1973" w:type="dxa"/>
                  <w:tcBorders>
                    <w:bottom w:val="single" w:color="000000" w:sz="6" w:space="0"/>
                  </w:tcBorders>
                  <w:vAlign w:val="center"/>
                </w:tcPr>
                <w:p w14:paraId="1F25BDD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六车间氨解尾气、周转罐尾气、离心、萃取、烘干、筛分、包装、母液池废气；3#罐区甲醇罐呼吸废气</w:t>
                  </w:r>
                  <w:r>
                    <w:rPr>
                      <w:rFonts w:hint="eastAsia"/>
                      <w:color w:val="auto"/>
                      <w:sz w:val="21"/>
                      <w:szCs w:val="21"/>
                      <w:highlight w:val="none"/>
                      <w:lang w:val="en-US" w:eastAsia="zh-CN"/>
                    </w:rPr>
                    <w:t>；精制氨基乙酸车间废气、托品化料间废气</w:t>
                  </w:r>
                </w:p>
              </w:tc>
              <w:tc>
                <w:tcPr>
                  <w:tcW w:w="3606" w:type="dxa"/>
                  <w:tcBorders>
                    <w:bottom w:val="single" w:color="000000" w:sz="6" w:space="0"/>
                  </w:tcBorders>
                  <w:vAlign w:val="center"/>
                </w:tcPr>
                <w:p w14:paraId="671D480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尾气水吸收塔（回收甲醇：解析塔+冷凝器）+活性炭吸附/脱附”</w:t>
                  </w:r>
                  <w:r>
                    <w:rPr>
                      <w:rFonts w:hint="default"/>
                      <w:color w:val="auto"/>
                      <w:sz w:val="21"/>
                      <w:szCs w:val="21"/>
                      <w:highlight w:val="none"/>
                      <w:lang w:val="en-US" w:eastAsia="zh-CN"/>
                    </w:rPr>
                    <w:t>+1根25m排气筒（DA004）</w:t>
                  </w:r>
                </w:p>
              </w:tc>
            </w:tr>
            <w:tr w14:paraId="364CD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08AC5ED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48A8B60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3832A7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螯合物二车间废气南排气筒</w:t>
                  </w:r>
                </w:p>
              </w:tc>
              <w:tc>
                <w:tcPr>
                  <w:tcW w:w="1973" w:type="dxa"/>
                  <w:tcBorders>
                    <w:bottom w:val="single" w:color="000000" w:sz="6" w:space="0"/>
                  </w:tcBorders>
                  <w:vAlign w:val="center"/>
                </w:tcPr>
                <w:p w14:paraId="39333D6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喷雾干燥废气</w:t>
                  </w:r>
                </w:p>
              </w:tc>
              <w:tc>
                <w:tcPr>
                  <w:tcW w:w="3606" w:type="dxa"/>
                  <w:tcBorders>
                    <w:bottom w:val="single" w:color="000000" w:sz="6" w:space="0"/>
                  </w:tcBorders>
                  <w:vAlign w:val="center"/>
                </w:tcPr>
                <w:p w14:paraId="1C08318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水吸收+布袋除尘器+1根15m排气筒（DA005）</w:t>
                  </w:r>
                </w:p>
              </w:tc>
            </w:tr>
            <w:tr w14:paraId="197FE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5F84E13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002B264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38DE034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螯合物二车间废气北排气筒</w:t>
                  </w:r>
                </w:p>
              </w:tc>
              <w:tc>
                <w:tcPr>
                  <w:tcW w:w="1973" w:type="dxa"/>
                  <w:tcBorders>
                    <w:bottom w:val="single" w:color="000000" w:sz="6" w:space="0"/>
                  </w:tcBorders>
                  <w:vAlign w:val="center"/>
                </w:tcPr>
                <w:p w14:paraId="71CFAF7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喷雾干燥废气</w:t>
                  </w:r>
                </w:p>
              </w:tc>
              <w:tc>
                <w:tcPr>
                  <w:tcW w:w="3606" w:type="dxa"/>
                  <w:tcBorders>
                    <w:bottom w:val="single" w:color="000000" w:sz="6" w:space="0"/>
                  </w:tcBorders>
                  <w:vAlign w:val="center"/>
                </w:tcPr>
                <w:p w14:paraId="1FDC46F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水吸收+布袋除尘器+1根15m排气筒（DA006）</w:t>
                  </w:r>
                </w:p>
              </w:tc>
            </w:tr>
            <w:tr w14:paraId="4C246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027431E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741F3D4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05243E3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危废间</w:t>
                  </w:r>
                </w:p>
              </w:tc>
              <w:tc>
                <w:tcPr>
                  <w:tcW w:w="1973" w:type="dxa"/>
                  <w:tcBorders>
                    <w:bottom w:val="single" w:color="000000" w:sz="6" w:space="0"/>
                  </w:tcBorders>
                  <w:vAlign w:val="center"/>
                </w:tcPr>
                <w:p w14:paraId="47D74BC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危废间废气</w:t>
                  </w:r>
                </w:p>
              </w:tc>
              <w:tc>
                <w:tcPr>
                  <w:tcW w:w="3606" w:type="dxa"/>
                  <w:tcBorders>
                    <w:bottom w:val="single" w:color="000000" w:sz="6" w:space="0"/>
                  </w:tcBorders>
                  <w:vAlign w:val="center"/>
                </w:tcPr>
                <w:p w14:paraId="419BDB5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活性炭吸附+碱吸收+25m排气筒（DA007）</w:t>
                  </w:r>
                </w:p>
              </w:tc>
            </w:tr>
            <w:tr w14:paraId="32B4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3260F0F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2CB7221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2218046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2#盐酸储罐</w:t>
                  </w:r>
                </w:p>
              </w:tc>
              <w:tc>
                <w:tcPr>
                  <w:tcW w:w="1973" w:type="dxa"/>
                  <w:tcBorders>
                    <w:bottom w:val="single" w:color="000000" w:sz="6" w:space="0"/>
                  </w:tcBorders>
                  <w:vAlign w:val="center"/>
                </w:tcPr>
                <w:p w14:paraId="2A5F441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呼吸废气</w:t>
                  </w:r>
                </w:p>
              </w:tc>
              <w:tc>
                <w:tcPr>
                  <w:tcW w:w="3606" w:type="dxa"/>
                  <w:tcBorders>
                    <w:bottom w:val="single" w:color="000000" w:sz="6" w:space="0"/>
                  </w:tcBorders>
                  <w:vAlign w:val="center"/>
                </w:tcPr>
                <w:p w14:paraId="10E5483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碱吸收+1根15m排气筒（DA008）</w:t>
                  </w:r>
                </w:p>
              </w:tc>
            </w:tr>
            <w:tr w14:paraId="380DC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361F464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40410EF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652212B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污水处理站</w:t>
                  </w:r>
                </w:p>
              </w:tc>
              <w:tc>
                <w:tcPr>
                  <w:tcW w:w="1973" w:type="dxa"/>
                  <w:tcBorders>
                    <w:bottom w:val="single" w:color="000000" w:sz="6" w:space="0"/>
                  </w:tcBorders>
                  <w:vAlign w:val="center"/>
                </w:tcPr>
                <w:p w14:paraId="1599D9BF">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污水处理恶臭废气</w:t>
                  </w:r>
                </w:p>
              </w:tc>
              <w:tc>
                <w:tcPr>
                  <w:tcW w:w="3606" w:type="dxa"/>
                  <w:tcBorders>
                    <w:bottom w:val="single" w:color="000000" w:sz="6" w:space="0"/>
                  </w:tcBorders>
                  <w:vAlign w:val="center"/>
                </w:tcPr>
                <w:p w14:paraId="53273B6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经水吸收+恒温多级生物滤池装置+1根15m排气筒（DA010）</w:t>
                  </w:r>
                </w:p>
              </w:tc>
            </w:tr>
            <w:tr w14:paraId="584A7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0B1CC48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1CEDFB9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5B1A61A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氯化铵车间</w:t>
                  </w:r>
                </w:p>
              </w:tc>
              <w:tc>
                <w:tcPr>
                  <w:tcW w:w="1973" w:type="dxa"/>
                  <w:tcBorders>
                    <w:bottom w:val="single" w:color="000000" w:sz="6" w:space="0"/>
                  </w:tcBorders>
                  <w:vAlign w:val="center"/>
                </w:tcPr>
                <w:p w14:paraId="4BC71B6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氯化铵离心、抽滤、传送带、空间废气</w:t>
                  </w:r>
                </w:p>
              </w:tc>
              <w:tc>
                <w:tcPr>
                  <w:tcW w:w="3606" w:type="dxa"/>
                  <w:tcBorders>
                    <w:bottom w:val="single" w:color="000000" w:sz="6" w:space="0"/>
                  </w:tcBorders>
                  <w:vAlign w:val="center"/>
                </w:tcPr>
                <w:p w14:paraId="4F210F1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eastAsia"/>
                      <w:color w:val="auto"/>
                      <w:sz w:val="21"/>
                      <w:szCs w:val="21"/>
                      <w:highlight w:val="none"/>
                      <w:lang w:val="en-US" w:eastAsia="zh-CN"/>
                    </w:rPr>
                  </w:pPr>
                  <w:r>
                    <w:rPr>
                      <w:rFonts w:hint="default"/>
                      <w:color w:val="auto"/>
                      <w:sz w:val="21"/>
                      <w:szCs w:val="21"/>
                      <w:highlight w:val="none"/>
                      <w:lang w:val="en-US" w:eastAsia="zh-CN"/>
                    </w:rPr>
                    <w:t>酸喷淋+二级水喷淋+25m排气筒（DA011）</w:t>
                  </w:r>
                </w:p>
              </w:tc>
            </w:tr>
            <w:tr w14:paraId="52A5D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50DFD45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349EBA8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557E054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精制</w:t>
                  </w:r>
                </w:p>
              </w:tc>
              <w:tc>
                <w:tcPr>
                  <w:tcW w:w="1973" w:type="dxa"/>
                  <w:tcBorders>
                    <w:bottom w:val="single" w:color="000000" w:sz="6" w:space="0"/>
                  </w:tcBorders>
                  <w:vAlign w:val="center"/>
                </w:tcPr>
                <w:p w14:paraId="496BECD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精制品尾气排气筒</w:t>
                  </w:r>
                </w:p>
              </w:tc>
              <w:tc>
                <w:tcPr>
                  <w:tcW w:w="3606" w:type="dxa"/>
                  <w:tcBorders>
                    <w:bottom w:val="single" w:color="000000" w:sz="6" w:space="0"/>
                  </w:tcBorders>
                  <w:vAlign w:val="center"/>
                </w:tcPr>
                <w:p w14:paraId="05DFB71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布袋除尘器（1套）+1根25m排气筒（DA0</w:t>
                  </w:r>
                  <w:r>
                    <w:rPr>
                      <w:rFonts w:hint="eastAsia"/>
                      <w:color w:val="auto"/>
                      <w:sz w:val="21"/>
                      <w:szCs w:val="21"/>
                      <w:highlight w:val="none"/>
                      <w:lang w:val="en-US" w:eastAsia="zh-CN"/>
                    </w:rPr>
                    <w:t>13）</w:t>
                  </w:r>
                </w:p>
              </w:tc>
            </w:tr>
            <w:tr w14:paraId="50372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3E70F58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04B96FA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246C1C95">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罐区废气、氨回收废气、氯化铵废气集中收集深度处理装置废气排气筒</w:t>
                  </w:r>
                </w:p>
              </w:tc>
              <w:tc>
                <w:tcPr>
                  <w:tcW w:w="1973" w:type="dxa"/>
                  <w:tcBorders>
                    <w:bottom w:val="single" w:color="000000" w:sz="6" w:space="0"/>
                  </w:tcBorders>
                  <w:vAlign w:val="center"/>
                </w:tcPr>
                <w:p w14:paraId="0ADB604E">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醋酸罐呼吸废气、泵房空间废气、氨回收系统废气、氯化铵工段废气、氨水储罐废气、氨水装车废气</w:t>
                  </w:r>
                </w:p>
              </w:tc>
              <w:tc>
                <w:tcPr>
                  <w:tcW w:w="3606" w:type="dxa"/>
                  <w:tcBorders>
                    <w:bottom w:val="single" w:color="000000" w:sz="6" w:space="0"/>
                  </w:tcBorders>
                  <w:vAlign w:val="center"/>
                </w:tcPr>
                <w:p w14:paraId="2E45746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醋酸罐呼吸废气、泵房空间废气经两级碱喷淋处理；氯化铵工段废气经酸喷淋+水喷淋+水喷淋处理；氨回收废气经冷凝+一级水吸收塔+二级酸吸收塔喷淋处理；氨水储罐废气及氨水装车废气经一级水吸收塔+二级酸吸收塔喷淋处理。以上废气合并后共同再经低温水吸收塔+除雾器+</w:t>
                  </w:r>
                  <w:r>
                    <w:rPr>
                      <w:rFonts w:hint="eastAsia"/>
                      <w:color w:val="auto"/>
                      <w:sz w:val="21"/>
                      <w:szCs w:val="21"/>
                      <w:highlight w:val="none"/>
                      <w:lang w:val="en-US" w:eastAsia="zh-CN"/>
                    </w:rPr>
                    <w:t>干式过滤-</w:t>
                  </w:r>
                  <w:r>
                    <w:rPr>
                      <w:rFonts w:hint="default"/>
                      <w:color w:val="auto"/>
                      <w:sz w:val="21"/>
                      <w:szCs w:val="21"/>
                      <w:highlight w:val="none"/>
                      <w:lang w:val="en-US" w:eastAsia="zh-CN"/>
                    </w:rPr>
                    <w:t>活性炭吸附/脱附+1根25m排气筒（DA017）</w:t>
                  </w:r>
                </w:p>
              </w:tc>
            </w:tr>
            <w:tr w14:paraId="3199E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55A043C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6022F1C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45A08B5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实验室</w:t>
                  </w:r>
                </w:p>
              </w:tc>
              <w:tc>
                <w:tcPr>
                  <w:tcW w:w="1973" w:type="dxa"/>
                  <w:tcBorders>
                    <w:bottom w:val="single" w:color="000000" w:sz="6" w:space="0"/>
                  </w:tcBorders>
                  <w:vAlign w:val="center"/>
                </w:tcPr>
                <w:p w14:paraId="71C8ACA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实验室废气</w:t>
                  </w:r>
                </w:p>
              </w:tc>
              <w:tc>
                <w:tcPr>
                  <w:tcW w:w="3606" w:type="dxa"/>
                  <w:tcBorders>
                    <w:bottom w:val="single" w:color="000000" w:sz="6" w:space="0"/>
                  </w:tcBorders>
                  <w:vAlign w:val="center"/>
                </w:tcPr>
                <w:p w14:paraId="0106486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水吸收+碱吸收+1根25m排气筒（DA018）</w:t>
                  </w:r>
                </w:p>
              </w:tc>
            </w:tr>
            <w:tr w14:paraId="72F14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265B292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3CE52BA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6C72011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新工艺氨基乙酸车间</w:t>
                  </w:r>
                </w:p>
              </w:tc>
              <w:tc>
                <w:tcPr>
                  <w:tcW w:w="1973" w:type="dxa"/>
                  <w:tcBorders>
                    <w:bottom w:val="single" w:color="000000" w:sz="6" w:space="0"/>
                  </w:tcBorders>
                  <w:vAlign w:val="center"/>
                </w:tcPr>
                <w:p w14:paraId="4647CB4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新车间计量罐、化酸釜、反应釜、溶解、离心、结晶、母液罐、混晶釜尾气</w:t>
                  </w:r>
                </w:p>
              </w:tc>
              <w:tc>
                <w:tcPr>
                  <w:tcW w:w="3606" w:type="dxa"/>
                  <w:tcBorders>
                    <w:bottom w:val="single" w:color="000000" w:sz="6" w:space="0"/>
                  </w:tcBorders>
                  <w:vAlign w:val="center"/>
                </w:tcPr>
                <w:p w14:paraId="39CAB22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酸吸收+两级水吸收+1根25m排气筒（DA021）</w:t>
                  </w:r>
                </w:p>
              </w:tc>
            </w:tr>
            <w:tr w14:paraId="11F02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4FA7A84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3C72836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35BB3B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新工艺氨基乙酸车间</w:t>
                  </w:r>
                </w:p>
              </w:tc>
              <w:tc>
                <w:tcPr>
                  <w:tcW w:w="1973" w:type="dxa"/>
                  <w:tcBorders>
                    <w:bottom w:val="single" w:color="000000" w:sz="6" w:space="0"/>
                  </w:tcBorders>
                  <w:vAlign w:val="center"/>
                </w:tcPr>
                <w:p w14:paraId="71715A5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干燥废气</w:t>
                  </w:r>
                </w:p>
              </w:tc>
              <w:tc>
                <w:tcPr>
                  <w:tcW w:w="3606" w:type="dxa"/>
                  <w:tcBorders>
                    <w:bottom w:val="single" w:color="000000" w:sz="6" w:space="0"/>
                  </w:tcBorders>
                  <w:shd w:val="clear" w:color="auto" w:fill="auto"/>
                  <w:vAlign w:val="center"/>
                </w:tcPr>
                <w:p w14:paraId="19F881B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2级旋风分离器+布袋除尘器（1套）+1根25m排气筒（DA026）</w:t>
                  </w:r>
                </w:p>
              </w:tc>
            </w:tr>
            <w:tr w14:paraId="5893E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019543C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58B2D87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6FC628B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螯合物一车间</w:t>
                  </w:r>
                </w:p>
              </w:tc>
              <w:tc>
                <w:tcPr>
                  <w:tcW w:w="1973" w:type="dxa"/>
                  <w:tcBorders>
                    <w:bottom w:val="single" w:color="000000" w:sz="6" w:space="0"/>
                  </w:tcBorders>
                  <w:vAlign w:val="center"/>
                </w:tcPr>
                <w:p w14:paraId="780AF56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喷雾干燥废气</w:t>
                  </w:r>
                </w:p>
              </w:tc>
              <w:tc>
                <w:tcPr>
                  <w:tcW w:w="3606" w:type="dxa"/>
                  <w:tcBorders>
                    <w:bottom w:val="single" w:color="000000" w:sz="6" w:space="0"/>
                  </w:tcBorders>
                  <w:shd w:val="clear" w:color="auto" w:fill="auto"/>
                  <w:vAlign w:val="center"/>
                </w:tcPr>
                <w:p w14:paraId="5D0625E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布袋除尘器+水喷淋吸收+酸喷淋吸收+1根25m排气筒（DA028）</w:t>
                  </w:r>
                </w:p>
              </w:tc>
            </w:tr>
            <w:tr w14:paraId="3F768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41E1A5A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50C3E9C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29" w:type="dxa"/>
                  <w:tcBorders>
                    <w:bottom w:val="single" w:color="000000" w:sz="6" w:space="0"/>
                  </w:tcBorders>
                  <w:vAlign w:val="center"/>
                </w:tcPr>
                <w:p w14:paraId="5115A5D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食堂</w:t>
                  </w:r>
                </w:p>
              </w:tc>
              <w:tc>
                <w:tcPr>
                  <w:tcW w:w="1973" w:type="dxa"/>
                  <w:tcBorders>
                    <w:bottom w:val="single" w:color="000000" w:sz="6" w:space="0"/>
                  </w:tcBorders>
                  <w:vAlign w:val="center"/>
                </w:tcPr>
                <w:p w14:paraId="4695111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食堂油烟废气</w:t>
                  </w:r>
                </w:p>
              </w:tc>
              <w:tc>
                <w:tcPr>
                  <w:tcW w:w="3606" w:type="dxa"/>
                  <w:tcBorders>
                    <w:bottom w:val="single" w:color="000000" w:sz="6" w:space="0"/>
                  </w:tcBorders>
                  <w:shd w:val="clear" w:color="auto" w:fill="auto"/>
                  <w:vAlign w:val="center"/>
                </w:tcPr>
                <w:p w14:paraId="5B1428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60" w:lineRule="exact"/>
                    <w:ind w:left="0" w:leftChars="0" w:right="0" w:rightChars="0" w:firstLine="0" w:firstLineChars="0"/>
                    <w:jc w:val="center"/>
                    <w:textAlignment w:val="auto"/>
                    <w:rPr>
                      <w:rFonts w:hint="default"/>
                      <w:color w:val="auto"/>
                      <w:sz w:val="21"/>
                      <w:szCs w:val="21"/>
                      <w:highlight w:val="none"/>
                      <w:lang w:val="en-US" w:eastAsia="zh-CN"/>
                    </w:rPr>
                  </w:pPr>
                  <w:r>
                    <w:rPr>
                      <w:rFonts w:hint="default"/>
                      <w:color w:val="auto"/>
                      <w:sz w:val="21"/>
                      <w:szCs w:val="21"/>
                      <w:highlight w:val="none"/>
                      <w:lang w:val="en-US" w:eastAsia="zh-CN"/>
                    </w:rPr>
                    <w:t>油烟净化装置+1根25m高排气筒（DA030）</w:t>
                  </w:r>
                </w:p>
              </w:tc>
            </w:tr>
            <w:tr w14:paraId="7441A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40A0586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6968799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废水</w:t>
                  </w:r>
                </w:p>
              </w:tc>
              <w:tc>
                <w:tcPr>
                  <w:tcW w:w="6708" w:type="dxa"/>
                  <w:gridSpan w:val="3"/>
                  <w:vAlign w:val="center"/>
                </w:tcPr>
                <w:p w14:paraId="1FAA42B3">
                  <w:pPr>
                    <w:keepNext w:val="0"/>
                    <w:keepLines w:val="0"/>
                    <w:suppressLineNumbers w:val="0"/>
                    <w:shd w:val="clear"/>
                    <w:snapToGrid w:val="0"/>
                    <w:spacing w:before="0" w:beforeAutospacing="0" w:after="0" w:afterAutospacing="0" w:line="280" w:lineRule="exact"/>
                    <w:ind w:left="-10" w:leftChars="-4" w:right="0" w:firstLine="0" w:firstLineChars="0"/>
                    <w:jc w:val="both"/>
                    <w:rPr>
                      <w:rFonts w:hint="default"/>
                      <w:color w:val="auto"/>
                      <w:sz w:val="21"/>
                      <w:szCs w:val="21"/>
                      <w:highlight w:val="none"/>
                      <w:lang w:val="en-US" w:eastAsia="zh-CN"/>
                    </w:rPr>
                  </w:pPr>
                  <w:r>
                    <w:rPr>
                      <w:rFonts w:hint="default"/>
                      <w:color w:val="auto"/>
                      <w:sz w:val="21"/>
                      <w:szCs w:val="21"/>
                      <w:highlight w:val="none"/>
                      <w:lang w:val="en-US" w:eastAsia="zh-CN"/>
                    </w:rPr>
                    <w:t>现有工程废水主要为生产工艺废水、废气治理设施排水、设备地面冲洗水、软水制备排水、冷凝水、循环冷却水系统排水、氨回收系统排水等；一起送厂综合污水处理站处理。厂综合污水站污水处理能力为1600m³/d，污水处理工艺为</w:t>
                  </w:r>
                  <w:r>
                    <w:rPr>
                      <w:rFonts w:hint="eastAsia"/>
                      <w:color w:val="auto"/>
                      <w:sz w:val="21"/>
                      <w:szCs w:val="21"/>
                      <w:highlight w:val="none"/>
                      <w:lang w:val="en-US" w:eastAsia="zh-CN"/>
                    </w:rPr>
                    <w:t>“</w:t>
                  </w:r>
                  <w:r>
                    <w:rPr>
                      <w:rFonts w:hint="default"/>
                      <w:color w:val="auto"/>
                      <w:sz w:val="21"/>
                      <w:szCs w:val="21"/>
                      <w:highlight w:val="none"/>
                      <w:lang w:val="en-US" w:eastAsia="zh-CN"/>
                    </w:rPr>
                    <w:t>调节池＋初沉池+水解酸化池＋</w:t>
                  </w:r>
                  <w:r>
                    <w:rPr>
                      <w:rFonts w:hint="eastAsia"/>
                      <w:color w:val="auto"/>
                      <w:sz w:val="21"/>
                      <w:szCs w:val="21"/>
                      <w:highlight w:val="none"/>
                      <w:lang w:val="en-US" w:eastAsia="zh-CN"/>
                    </w:rPr>
                    <w:t>水解酸化</w:t>
                  </w:r>
                  <w:r>
                    <w:rPr>
                      <w:rFonts w:hint="default"/>
                      <w:color w:val="auto"/>
                      <w:sz w:val="21"/>
                      <w:szCs w:val="21"/>
                      <w:highlight w:val="none"/>
                      <w:lang w:val="en-US" w:eastAsia="zh-CN"/>
                    </w:rPr>
                    <w:t>沉淀池+好氧池+一沉池+</w:t>
                  </w:r>
                  <w:r>
                    <w:rPr>
                      <w:rFonts w:hint="eastAsia"/>
                      <w:color w:val="auto"/>
                      <w:sz w:val="21"/>
                      <w:szCs w:val="21"/>
                      <w:highlight w:val="none"/>
                      <w:lang w:val="en-US" w:eastAsia="zh-CN"/>
                    </w:rPr>
                    <w:t>二级</w:t>
                  </w:r>
                  <w:r>
                    <w:rPr>
                      <w:rFonts w:hint="default"/>
                      <w:color w:val="auto"/>
                      <w:sz w:val="21"/>
                      <w:szCs w:val="21"/>
                      <w:highlight w:val="none"/>
                      <w:lang w:val="en-US" w:eastAsia="zh-CN"/>
                    </w:rPr>
                    <w:t>水解酸化池+二级</w:t>
                  </w:r>
                  <w:r>
                    <w:rPr>
                      <w:rFonts w:hint="eastAsia"/>
                      <w:color w:val="auto"/>
                      <w:sz w:val="21"/>
                      <w:szCs w:val="21"/>
                      <w:highlight w:val="none"/>
                      <w:lang w:val="en-US" w:eastAsia="zh-CN"/>
                    </w:rPr>
                    <w:t>接触氧化</w:t>
                  </w:r>
                  <w:r>
                    <w:rPr>
                      <w:rFonts w:hint="default"/>
                      <w:color w:val="auto"/>
                      <w:sz w:val="21"/>
                      <w:szCs w:val="21"/>
                      <w:highlight w:val="none"/>
                      <w:lang w:val="en-US" w:eastAsia="zh-CN"/>
                    </w:rPr>
                    <w:t>池+二</w:t>
                  </w:r>
                  <w:r>
                    <w:rPr>
                      <w:rFonts w:hint="eastAsia"/>
                      <w:color w:val="auto"/>
                      <w:sz w:val="21"/>
                      <w:szCs w:val="21"/>
                      <w:highlight w:val="none"/>
                      <w:lang w:val="en-US" w:eastAsia="zh-CN"/>
                    </w:rPr>
                    <w:t>级</w:t>
                  </w:r>
                  <w:r>
                    <w:rPr>
                      <w:rFonts w:hint="default"/>
                      <w:color w:val="auto"/>
                      <w:sz w:val="21"/>
                      <w:szCs w:val="21"/>
                      <w:highlight w:val="none"/>
                      <w:lang w:val="en-US" w:eastAsia="zh-CN"/>
                    </w:rPr>
                    <w:t>沉</w:t>
                  </w:r>
                  <w:r>
                    <w:rPr>
                      <w:rFonts w:hint="eastAsia"/>
                      <w:color w:val="auto"/>
                      <w:sz w:val="21"/>
                      <w:szCs w:val="21"/>
                      <w:highlight w:val="none"/>
                      <w:lang w:val="en-US" w:eastAsia="zh-CN"/>
                    </w:rPr>
                    <w:t>淀</w:t>
                  </w:r>
                  <w:r>
                    <w:rPr>
                      <w:rFonts w:hint="default"/>
                      <w:color w:val="auto"/>
                      <w:sz w:val="21"/>
                      <w:szCs w:val="21"/>
                      <w:highlight w:val="none"/>
                      <w:lang w:val="en-US" w:eastAsia="zh-CN"/>
                    </w:rPr>
                    <w:t>池+混凝气浮</w:t>
                  </w:r>
                  <w:r>
                    <w:rPr>
                      <w:rFonts w:hint="eastAsia"/>
                      <w:color w:val="auto"/>
                      <w:sz w:val="21"/>
                      <w:szCs w:val="21"/>
                      <w:highlight w:val="none"/>
                      <w:lang w:val="en-US" w:eastAsia="zh-CN"/>
                    </w:rPr>
                    <w:t>”</w:t>
                  </w:r>
                  <w:r>
                    <w:rPr>
                      <w:rFonts w:hint="default"/>
                      <w:color w:val="auto"/>
                      <w:sz w:val="21"/>
                      <w:szCs w:val="21"/>
                      <w:highlight w:val="none"/>
                      <w:lang w:val="en-US" w:eastAsia="zh-CN"/>
                    </w:rPr>
                    <w:t>，达标后经管网排入</w:t>
                  </w:r>
                  <w:r>
                    <w:rPr>
                      <w:rFonts w:hint="eastAsia"/>
                      <w:color w:val="auto"/>
                      <w:sz w:val="21"/>
                      <w:szCs w:val="21"/>
                      <w:highlight w:val="none"/>
                      <w:lang w:val="en-US" w:eastAsia="zh-CN"/>
                    </w:rPr>
                    <w:t>石家庄高新区循化环境水务有限公司（良村南污水处理厂）</w:t>
                  </w:r>
                  <w:r>
                    <w:rPr>
                      <w:rFonts w:hint="default"/>
                      <w:color w:val="auto"/>
                      <w:sz w:val="21"/>
                      <w:szCs w:val="21"/>
                      <w:highlight w:val="none"/>
                      <w:lang w:val="en-US" w:eastAsia="zh-CN"/>
                    </w:rPr>
                    <w:t>。排水水质满足《污水综合排放标准》（GB8978-1996）表4三级标准和</w:t>
                  </w:r>
                  <w:r>
                    <w:rPr>
                      <w:rFonts w:hint="eastAsia"/>
                      <w:color w:val="auto"/>
                      <w:sz w:val="21"/>
                      <w:szCs w:val="21"/>
                      <w:highlight w:val="none"/>
                      <w:lang w:val="en-US" w:eastAsia="zh-CN"/>
                    </w:rPr>
                    <w:t>石家庄高新区循化环境水务有限公司（良村南污水处理厂）</w:t>
                  </w:r>
                  <w:r>
                    <w:rPr>
                      <w:rFonts w:hint="default"/>
                      <w:color w:val="auto"/>
                      <w:sz w:val="21"/>
                      <w:szCs w:val="21"/>
                      <w:highlight w:val="none"/>
                      <w:lang w:val="en-US" w:eastAsia="zh-CN"/>
                    </w:rPr>
                    <w:t>进水水质要求</w:t>
                  </w:r>
                </w:p>
              </w:tc>
            </w:tr>
            <w:tr w14:paraId="0AC07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67AAE1A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Align w:val="center"/>
                </w:tcPr>
                <w:p w14:paraId="2D778D8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噪声</w:t>
                  </w:r>
                </w:p>
              </w:tc>
              <w:tc>
                <w:tcPr>
                  <w:tcW w:w="6708" w:type="dxa"/>
                  <w:gridSpan w:val="3"/>
                  <w:vAlign w:val="center"/>
                </w:tcPr>
                <w:p w14:paraId="68D06C1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rPr>
                    <w:t>低噪声设备、基础减振、风机消声、厂房隔声、厂区合理布局等减噪措施</w:t>
                  </w:r>
                </w:p>
              </w:tc>
            </w:tr>
            <w:tr w14:paraId="21873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3759FDF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restart"/>
                  <w:vAlign w:val="center"/>
                </w:tcPr>
                <w:p w14:paraId="29C4C33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固废</w:t>
                  </w:r>
                </w:p>
              </w:tc>
              <w:tc>
                <w:tcPr>
                  <w:tcW w:w="6708" w:type="dxa"/>
                  <w:gridSpan w:val="3"/>
                  <w:tcBorders>
                    <w:bottom w:val="single" w:color="000000" w:sz="6" w:space="0"/>
                  </w:tcBorders>
                  <w:vAlign w:val="center"/>
                </w:tcPr>
                <w:p w14:paraId="00F7AF36">
                  <w:pPr>
                    <w:keepNext w:val="0"/>
                    <w:keepLines w:val="0"/>
                    <w:suppressLineNumbers w:val="0"/>
                    <w:shd w:val="clear"/>
                    <w:snapToGrid w:val="0"/>
                    <w:spacing w:before="0" w:beforeAutospacing="0" w:after="0" w:afterAutospacing="0" w:line="280" w:lineRule="exact"/>
                    <w:ind w:left="-10" w:leftChars="-4" w:right="0" w:firstLine="0" w:firstLineChars="0"/>
                    <w:jc w:val="both"/>
                    <w:rPr>
                      <w:rFonts w:hint="default"/>
                      <w:color w:val="auto"/>
                      <w:sz w:val="21"/>
                      <w:szCs w:val="21"/>
                      <w:highlight w:val="none"/>
                      <w:lang w:val="en-US" w:eastAsia="zh-CN"/>
                    </w:rPr>
                  </w:pPr>
                  <w:r>
                    <w:rPr>
                      <w:rFonts w:hint="default"/>
                      <w:color w:val="auto"/>
                      <w:sz w:val="21"/>
                      <w:szCs w:val="21"/>
                      <w:highlight w:val="none"/>
                      <w:lang w:val="en-US" w:eastAsia="zh-CN"/>
                    </w:rPr>
                    <w:t>企业现有危废为氯乙酸硫磺废内包装、废矿物油、在线监测废试剂、实验室废液、废气治理设施废活性炭、废铅蓄电池、废漆桶、废切屑液等，均危废间暂存，定期送有资质单位处置；污泥</w:t>
                  </w:r>
                  <w:r>
                    <w:rPr>
                      <w:rFonts w:hint="eastAsia"/>
                      <w:color w:val="auto"/>
                      <w:sz w:val="21"/>
                      <w:szCs w:val="21"/>
                      <w:highlight w:val="none"/>
                      <w:lang w:val="en-US" w:eastAsia="zh-CN"/>
                    </w:rPr>
                    <w:t>经鉴定为一般工业固体废物，</w:t>
                  </w:r>
                  <w:r>
                    <w:rPr>
                      <w:rFonts w:hint="default" w:ascii="Times New Roman" w:hAnsi="Times New Roman" w:eastAsia="宋体" w:cs="Times New Roman"/>
                      <w:color w:val="auto"/>
                      <w:spacing w:val="0"/>
                      <w:w w:val="100"/>
                      <w:position w:val="0"/>
                      <w:sz w:val="21"/>
                      <w:szCs w:val="21"/>
                      <w:highlight w:val="none"/>
                      <w:lang w:val="en-US" w:eastAsia="zh-CN"/>
                    </w:rPr>
                    <w:t>定期</w:t>
                  </w:r>
                  <w:r>
                    <w:rPr>
                      <w:rFonts w:hint="eastAsia" w:ascii="Times New Roman" w:hAnsi="Times New Roman" w:eastAsia="宋体" w:cs="Times New Roman"/>
                      <w:color w:val="auto"/>
                      <w:spacing w:val="0"/>
                      <w:w w:val="100"/>
                      <w:position w:val="0"/>
                      <w:sz w:val="21"/>
                      <w:szCs w:val="21"/>
                      <w:highlight w:val="none"/>
                      <w:lang w:val="en-US" w:eastAsia="zh-CN"/>
                    </w:rPr>
                    <w:t>交</w:t>
                  </w:r>
                  <w:r>
                    <w:rPr>
                      <w:rFonts w:hint="eastAsia" w:cs="Times New Roman"/>
                      <w:color w:val="auto"/>
                      <w:spacing w:val="0"/>
                      <w:w w:val="100"/>
                      <w:position w:val="0"/>
                      <w:sz w:val="21"/>
                      <w:szCs w:val="21"/>
                      <w:highlight w:val="none"/>
                      <w:lang w:val="en-US" w:eastAsia="zh-CN"/>
                    </w:rPr>
                    <w:t>由石家庄云泉生物科技有限公司好氧无害化处置</w:t>
                  </w:r>
                  <w:r>
                    <w:rPr>
                      <w:rFonts w:hint="default"/>
                      <w:color w:val="auto"/>
                      <w:sz w:val="21"/>
                      <w:szCs w:val="21"/>
                      <w:highlight w:val="none"/>
                      <w:lang w:val="en-US" w:eastAsia="zh-CN"/>
                    </w:rPr>
                    <w:t>；生产工艺脱色废活性炭定期交由</w:t>
                  </w:r>
                  <w:r>
                    <w:rPr>
                      <w:rFonts w:hint="eastAsia"/>
                      <w:color w:val="auto"/>
                      <w:sz w:val="21"/>
                      <w:szCs w:val="21"/>
                      <w:highlight w:val="none"/>
                      <w:lang w:val="en-US" w:eastAsia="zh-CN"/>
                    </w:rPr>
                    <w:t>辛集市瀚蓝环保科技有限公司</w:t>
                  </w:r>
                  <w:r>
                    <w:rPr>
                      <w:rFonts w:hint="default"/>
                      <w:color w:val="auto"/>
                      <w:sz w:val="21"/>
                      <w:szCs w:val="21"/>
                      <w:highlight w:val="none"/>
                      <w:lang w:val="en-US" w:eastAsia="zh-CN"/>
                    </w:rPr>
                    <w:t>处置；硫磺外包装由原厂家回收利用；生活垃圾由环卫部门统一收集后处理。</w:t>
                  </w:r>
                </w:p>
              </w:tc>
            </w:tr>
            <w:tr w14:paraId="00E90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 w:hRule="atLeast"/>
                <w:jc w:val="center"/>
              </w:trPr>
              <w:tc>
                <w:tcPr>
                  <w:tcW w:w="244" w:type="dxa"/>
                  <w:vMerge w:val="continue"/>
                  <w:vAlign w:val="center"/>
                </w:tcPr>
                <w:p w14:paraId="160EF72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983" w:type="dxa"/>
                  <w:vMerge w:val="continue"/>
                  <w:vAlign w:val="center"/>
                </w:tcPr>
                <w:p w14:paraId="53254C8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6708" w:type="dxa"/>
                  <w:gridSpan w:val="3"/>
                  <w:tcBorders>
                    <w:top w:val="single" w:color="000000" w:sz="6" w:space="0"/>
                    <w:bottom w:val="single" w:color="000000" w:sz="6" w:space="0"/>
                  </w:tcBorders>
                  <w:vAlign w:val="center"/>
                </w:tcPr>
                <w:p w14:paraId="494B2A7F">
                  <w:pPr>
                    <w:keepNext w:val="0"/>
                    <w:keepLines w:val="0"/>
                    <w:suppressLineNumbers w:val="0"/>
                    <w:shd w:val="clear"/>
                    <w:snapToGrid w:val="0"/>
                    <w:spacing w:before="0" w:beforeAutospacing="0" w:after="0" w:afterAutospacing="0" w:line="280" w:lineRule="exact"/>
                    <w:ind w:left="-10" w:leftChars="-4" w:right="0" w:firstLine="0" w:firstLineChars="0"/>
                    <w:jc w:val="both"/>
                    <w:rPr>
                      <w:rFonts w:hint="default"/>
                      <w:color w:val="auto"/>
                      <w:sz w:val="21"/>
                      <w:szCs w:val="21"/>
                      <w:highlight w:val="none"/>
                      <w:lang w:val="en-US" w:eastAsia="zh-CN"/>
                    </w:rPr>
                  </w:pPr>
                  <w:r>
                    <w:rPr>
                      <w:rFonts w:hint="default"/>
                      <w:color w:val="auto"/>
                      <w:sz w:val="21"/>
                      <w:szCs w:val="21"/>
                      <w:highlight w:val="none"/>
                      <w:lang w:val="en-US" w:eastAsia="zh-CN"/>
                    </w:rPr>
                    <w:t>危废间：现有1座</w:t>
                  </w:r>
                  <w:r>
                    <w:rPr>
                      <w:rFonts w:hint="eastAsia"/>
                      <w:color w:val="auto"/>
                      <w:sz w:val="21"/>
                      <w:szCs w:val="21"/>
                      <w:highlight w:val="none"/>
                      <w:lang w:val="en-US" w:eastAsia="zh-CN"/>
                    </w:rPr>
                    <w:t>216</w:t>
                  </w:r>
                  <w:r>
                    <w:rPr>
                      <w:rFonts w:hint="default"/>
                      <w:color w:val="auto"/>
                      <w:sz w:val="21"/>
                      <w:szCs w:val="21"/>
                      <w:highlight w:val="none"/>
                      <w:lang w:val="en-US" w:eastAsia="zh-CN"/>
                    </w:rPr>
                    <w:t>m</w:t>
                  </w:r>
                  <w:r>
                    <w:rPr>
                      <w:rFonts w:hint="eastAsia"/>
                      <w:color w:val="auto"/>
                      <w:sz w:val="21"/>
                      <w:szCs w:val="21"/>
                      <w:highlight w:val="none"/>
                      <w:vertAlign w:val="superscript"/>
                      <w:lang w:val="en-US" w:eastAsia="zh-CN"/>
                    </w:rPr>
                    <w:t>2</w:t>
                  </w:r>
                  <w:r>
                    <w:rPr>
                      <w:rFonts w:hint="default"/>
                      <w:color w:val="auto"/>
                      <w:sz w:val="21"/>
                      <w:szCs w:val="21"/>
                      <w:highlight w:val="none"/>
                      <w:lang w:val="en-US" w:eastAsia="zh-CN"/>
                    </w:rPr>
                    <w:t>危废间，用于危险废物的暂存，进行</w:t>
                  </w:r>
                  <w:r>
                    <w:rPr>
                      <w:rFonts w:hint="eastAsia"/>
                      <w:color w:val="auto"/>
                      <w:sz w:val="21"/>
                      <w:szCs w:val="21"/>
                      <w:highlight w:val="none"/>
                      <w:lang w:val="en-US" w:eastAsia="zh-CN"/>
                    </w:rPr>
                    <w:t>“</w:t>
                  </w:r>
                  <w:r>
                    <w:rPr>
                      <w:rFonts w:hint="default"/>
                      <w:color w:val="auto"/>
                      <w:sz w:val="21"/>
                      <w:szCs w:val="21"/>
                      <w:highlight w:val="none"/>
                      <w:lang w:val="en-US" w:eastAsia="zh-CN"/>
                    </w:rPr>
                    <w:t>三防</w:t>
                  </w:r>
                  <w:r>
                    <w:rPr>
                      <w:rFonts w:hint="eastAsia"/>
                      <w:color w:val="auto"/>
                      <w:sz w:val="21"/>
                      <w:szCs w:val="21"/>
                      <w:highlight w:val="none"/>
                      <w:lang w:val="en-US" w:eastAsia="zh-CN"/>
                    </w:rPr>
                    <w:t>”</w:t>
                  </w:r>
                  <w:r>
                    <w:rPr>
                      <w:rFonts w:hint="default"/>
                      <w:color w:val="auto"/>
                      <w:sz w:val="21"/>
                      <w:szCs w:val="21"/>
                      <w:highlight w:val="none"/>
                      <w:lang w:val="en-US" w:eastAsia="zh-CN"/>
                    </w:rPr>
                    <w:t>处理，内部设裙角围堰等附属设施；危废间底面和围堰防渗采用的人工防渗材料，厚度在5mm。等效黏土防渗层Mb≥6.0m，K≤1×10</w:t>
                  </w:r>
                  <w:r>
                    <w:rPr>
                      <w:rFonts w:hint="default"/>
                      <w:color w:val="auto"/>
                      <w:sz w:val="21"/>
                      <w:szCs w:val="21"/>
                      <w:highlight w:val="none"/>
                      <w:vertAlign w:val="superscript"/>
                      <w:lang w:val="en-US" w:eastAsia="zh-CN"/>
                    </w:rPr>
                    <w:t>-10</w:t>
                  </w:r>
                  <w:r>
                    <w:rPr>
                      <w:rFonts w:hint="default"/>
                      <w:color w:val="auto"/>
                      <w:sz w:val="21"/>
                      <w:szCs w:val="21"/>
                      <w:highlight w:val="none"/>
                      <w:lang w:val="en-US" w:eastAsia="zh-CN"/>
                    </w:rPr>
                    <w:t>cm/s</w:t>
                  </w:r>
                </w:p>
              </w:tc>
            </w:tr>
          </w:tbl>
          <w:p w14:paraId="59015A73">
            <w:pPr>
              <w:pStyle w:val="35"/>
              <w:keepNext w:val="0"/>
              <w:keepLines w:val="0"/>
              <w:pageBreakBefore w:val="0"/>
              <w:widowControl w:val="0"/>
              <w:kinsoku/>
              <w:wordWrap/>
              <w:overflowPunct/>
              <w:topLinePunct w:val="0"/>
              <w:bidi w:val="0"/>
              <w:adjustRightInd/>
              <w:snapToGrid/>
              <w:spacing w:beforeLines="0" w:line="360" w:lineRule="auto"/>
              <w:ind w:firstLine="420" w:firstLineChars="200"/>
              <w:textAlignment w:val="auto"/>
              <w:rPr>
                <w:rFonts w:hint="default"/>
                <w:color w:val="auto"/>
                <w:sz w:val="21"/>
                <w:szCs w:val="21"/>
                <w:highlight w:val="none"/>
                <w:lang w:val="en-US" w:eastAsia="zh-CN"/>
              </w:rPr>
            </w:pPr>
            <w:r>
              <w:rPr>
                <w:rFonts w:hint="default"/>
                <w:color w:val="auto"/>
                <w:sz w:val="21"/>
                <w:szCs w:val="21"/>
                <w:highlight w:val="none"/>
                <w:lang w:val="en-US" w:eastAsia="zh-CN"/>
              </w:rPr>
              <w:t>（3）现有工程产品方案</w:t>
            </w:r>
          </w:p>
          <w:p w14:paraId="247E2962">
            <w:pPr>
              <w:pStyle w:val="35"/>
              <w:keepNext w:val="0"/>
              <w:keepLines w:val="0"/>
              <w:pageBreakBefore w:val="0"/>
              <w:widowControl w:val="0"/>
              <w:kinsoku/>
              <w:wordWrap/>
              <w:overflowPunct/>
              <w:topLinePunct w:val="0"/>
              <w:bidi w:val="0"/>
              <w:adjustRightInd/>
              <w:snapToGrid/>
              <w:spacing w:beforeLines="0" w:line="360" w:lineRule="auto"/>
              <w:ind w:firstLine="420" w:firstLineChars="200"/>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石家庄东华金龙化工有限公司产品主要为</w:t>
            </w:r>
            <w:r>
              <w:rPr>
                <w:rFonts w:hint="eastAsia"/>
                <w:color w:val="auto"/>
                <w:sz w:val="21"/>
                <w:szCs w:val="21"/>
                <w:highlight w:val="none"/>
                <w:lang w:val="en-US" w:eastAsia="zh-CN"/>
              </w:rPr>
              <w:t>工业</w:t>
            </w:r>
            <w:r>
              <w:rPr>
                <w:rFonts w:hint="default"/>
                <w:color w:val="auto"/>
                <w:sz w:val="21"/>
                <w:szCs w:val="21"/>
                <w:highlight w:val="none"/>
                <w:lang w:val="en-US" w:eastAsia="zh-CN"/>
              </w:rPr>
              <w:t>氨基乙酸、精制甘氨酸、ZAO靶材、海因、甘氨酸亚铁、甘氨酸铜、甘氨酸钙、甘氨酸镁、甘氨酸锌和甘氨酸钠、甘氨酸钠碳酸盐等衍生物。全厂产品及产量见表</w:t>
            </w:r>
            <w:r>
              <w:rPr>
                <w:rFonts w:hint="eastAsia"/>
                <w:color w:val="auto"/>
                <w:sz w:val="21"/>
                <w:szCs w:val="21"/>
                <w:highlight w:val="none"/>
                <w:lang w:val="en-US" w:eastAsia="zh-CN"/>
              </w:rPr>
              <w:t xml:space="preserve">2-15，厂区产品链图见图2- </w:t>
            </w:r>
            <w:r>
              <w:rPr>
                <w:rFonts w:hint="default"/>
                <w:color w:val="auto"/>
                <w:sz w:val="21"/>
                <w:szCs w:val="21"/>
                <w:highlight w:val="none"/>
                <w:lang w:val="en-US" w:eastAsia="zh-CN"/>
              </w:rPr>
              <w:t>。</w:t>
            </w:r>
          </w:p>
          <w:p w14:paraId="7C708E77">
            <w:pPr>
              <w:pStyle w:val="7"/>
              <w:keepNext/>
              <w:keepLines/>
              <w:pageBreakBefore w:val="0"/>
              <w:widowControl w:val="0"/>
              <w:numPr>
                <w:ilvl w:val="5"/>
                <w:numId w:val="0"/>
              </w:numPr>
              <w:kinsoku/>
              <w:wordWrap/>
              <w:overflowPunct/>
              <w:topLinePunct w:val="0"/>
              <w:autoSpaceDE/>
              <w:autoSpaceDN/>
              <w:bidi w:val="0"/>
              <w:adjustRightInd/>
              <w:snapToGrid/>
              <w:spacing w:beforeLines="0" w:afterLines="0" w:line="360" w:lineRule="auto"/>
              <w:ind w:leftChars="0" w:firstLine="422" w:firstLineChars="200"/>
              <w:jc w:val="center"/>
              <w:textAlignment w:val="auto"/>
              <w:rPr>
                <w:rFonts w:hint="default"/>
                <w:color w:val="auto"/>
                <w:sz w:val="21"/>
                <w:szCs w:val="21"/>
                <w:highlight w:val="none"/>
                <w:lang w:val="zh-CN" w:eastAsia="zh-CN"/>
              </w:rPr>
            </w:pPr>
            <w:r>
              <w:rPr>
                <w:rFonts w:hint="eastAsia"/>
                <w:color w:val="auto"/>
                <w:sz w:val="21"/>
                <w:szCs w:val="21"/>
                <w:highlight w:val="none"/>
                <w:lang w:val="zh-CN" w:eastAsia="zh-CN"/>
              </w:rPr>
              <w:t>表</w:t>
            </w:r>
            <w:r>
              <w:rPr>
                <w:rFonts w:hint="eastAsia"/>
                <w:color w:val="auto"/>
                <w:sz w:val="21"/>
                <w:szCs w:val="21"/>
                <w:highlight w:val="none"/>
                <w:lang w:val="en-US" w:eastAsia="zh-CN"/>
              </w:rPr>
              <w:t xml:space="preserve"> 2-15 </w:t>
            </w:r>
            <w:r>
              <w:rPr>
                <w:rFonts w:hint="default"/>
                <w:color w:val="auto"/>
                <w:sz w:val="21"/>
                <w:szCs w:val="21"/>
                <w:highlight w:val="none"/>
                <w:lang w:val="zh-CN" w:eastAsia="zh-CN"/>
              </w:rPr>
              <w:t>现有</w:t>
            </w:r>
            <w:r>
              <w:rPr>
                <w:rFonts w:hint="default"/>
                <w:color w:val="auto"/>
                <w:sz w:val="21"/>
                <w:szCs w:val="21"/>
                <w:highlight w:val="none"/>
                <w:lang w:val="en-US" w:eastAsia="zh-CN"/>
              </w:rPr>
              <w:t>工程</w:t>
            </w:r>
            <w:r>
              <w:rPr>
                <w:rFonts w:hint="default"/>
                <w:color w:val="auto"/>
                <w:sz w:val="21"/>
                <w:szCs w:val="21"/>
                <w:highlight w:val="none"/>
                <w:lang w:val="zh-CN" w:eastAsia="zh-CN"/>
              </w:rPr>
              <w:t>产品方案汇总表</w:t>
            </w:r>
          </w:p>
          <w:tbl>
            <w:tblPr>
              <w:tblStyle w:val="26"/>
              <w:tblpPr w:leftFromText="180" w:rightFromText="180" w:vertAnchor="text" w:horzAnchor="page" w:tblpX="152" w:tblpY="99"/>
              <w:tblOverlap w:val="never"/>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7"/>
              <w:gridCol w:w="830"/>
              <w:gridCol w:w="727"/>
              <w:gridCol w:w="1144"/>
              <w:gridCol w:w="916"/>
              <w:gridCol w:w="787"/>
              <w:gridCol w:w="3001"/>
            </w:tblGrid>
            <w:tr w14:paraId="4C9E6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blHeader/>
              </w:trPr>
              <w:tc>
                <w:tcPr>
                  <w:tcW w:w="332" w:type="pct"/>
                  <w:vAlign w:val="center"/>
                </w:tcPr>
                <w:p w14:paraId="341ACD6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序号</w:t>
                  </w:r>
                </w:p>
              </w:tc>
              <w:tc>
                <w:tcPr>
                  <w:tcW w:w="523" w:type="pct"/>
                  <w:vAlign w:val="center"/>
                </w:tcPr>
                <w:p w14:paraId="07E6078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项目</w:t>
                  </w:r>
                </w:p>
              </w:tc>
              <w:tc>
                <w:tcPr>
                  <w:tcW w:w="1179" w:type="pct"/>
                  <w:gridSpan w:val="2"/>
                  <w:vAlign w:val="center"/>
                </w:tcPr>
                <w:p w14:paraId="4AA5B3E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产品</w:t>
                  </w:r>
                </w:p>
              </w:tc>
              <w:tc>
                <w:tcPr>
                  <w:tcW w:w="577" w:type="pct"/>
                  <w:vAlign w:val="center"/>
                </w:tcPr>
                <w:p w14:paraId="6A5B117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产能</w:t>
                  </w:r>
                </w:p>
              </w:tc>
              <w:tc>
                <w:tcPr>
                  <w:tcW w:w="496" w:type="pct"/>
                  <w:vAlign w:val="center"/>
                </w:tcPr>
                <w:p w14:paraId="132C2D5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单位</w:t>
                  </w:r>
                </w:p>
              </w:tc>
              <w:tc>
                <w:tcPr>
                  <w:tcW w:w="1891" w:type="pct"/>
                  <w:vAlign w:val="center"/>
                </w:tcPr>
                <w:p w14:paraId="7C51263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备注</w:t>
                  </w:r>
                </w:p>
              </w:tc>
            </w:tr>
            <w:tr w14:paraId="27058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6C0D80B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w:t>
                  </w:r>
                </w:p>
              </w:tc>
              <w:tc>
                <w:tcPr>
                  <w:tcW w:w="523" w:type="pct"/>
                  <w:vMerge w:val="restart"/>
                  <w:vAlign w:val="center"/>
                </w:tcPr>
                <w:p w14:paraId="1A7C978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主产</w:t>
                  </w:r>
                </w:p>
              </w:tc>
              <w:tc>
                <w:tcPr>
                  <w:tcW w:w="1179" w:type="pct"/>
                  <w:gridSpan w:val="2"/>
                  <w:vAlign w:val="center"/>
                </w:tcPr>
                <w:p w14:paraId="2F0E2D1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工业氨基乙酸</w:t>
                  </w:r>
                </w:p>
              </w:tc>
              <w:tc>
                <w:tcPr>
                  <w:tcW w:w="577" w:type="pct"/>
                  <w:vAlign w:val="center"/>
                </w:tcPr>
                <w:p w14:paraId="4E324A1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10万</w:t>
                  </w:r>
                </w:p>
              </w:tc>
              <w:tc>
                <w:tcPr>
                  <w:tcW w:w="496" w:type="pct"/>
                  <w:vAlign w:val="center"/>
                </w:tcPr>
                <w:p w14:paraId="61CD4C7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18921A3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其中9万吨采用甲醇溶剂法，1万吨采用非甲醇溶剂法</w:t>
                  </w:r>
                </w:p>
              </w:tc>
            </w:tr>
            <w:tr w14:paraId="3CF7B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76F3172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2</w:t>
                  </w:r>
                </w:p>
              </w:tc>
              <w:tc>
                <w:tcPr>
                  <w:tcW w:w="523" w:type="pct"/>
                  <w:vMerge w:val="continue"/>
                  <w:vAlign w:val="center"/>
                </w:tcPr>
                <w:p w14:paraId="749231E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79" w:type="pct"/>
                  <w:gridSpan w:val="2"/>
                  <w:vAlign w:val="center"/>
                </w:tcPr>
                <w:p w14:paraId="065CDCF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精制氨基乙酸</w:t>
                  </w:r>
                </w:p>
              </w:tc>
              <w:tc>
                <w:tcPr>
                  <w:tcW w:w="577" w:type="pct"/>
                  <w:vAlign w:val="center"/>
                </w:tcPr>
                <w:p w14:paraId="3B7A914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1万</w:t>
                  </w:r>
                </w:p>
              </w:tc>
              <w:tc>
                <w:tcPr>
                  <w:tcW w:w="496" w:type="pct"/>
                  <w:vAlign w:val="center"/>
                </w:tcPr>
                <w:p w14:paraId="40A87C5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5FEC6BB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用作食品、医药原材料</w:t>
                  </w:r>
                </w:p>
              </w:tc>
            </w:tr>
            <w:tr w14:paraId="35715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68135E5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3</w:t>
                  </w:r>
                </w:p>
              </w:tc>
              <w:tc>
                <w:tcPr>
                  <w:tcW w:w="523" w:type="pct"/>
                  <w:vMerge w:val="continue"/>
                  <w:vAlign w:val="center"/>
                </w:tcPr>
                <w:p w14:paraId="4889016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79" w:type="pct"/>
                  <w:gridSpan w:val="2"/>
                  <w:vAlign w:val="center"/>
                </w:tcPr>
                <w:p w14:paraId="7367513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ZAO靶材</w:t>
                  </w:r>
                </w:p>
              </w:tc>
              <w:tc>
                <w:tcPr>
                  <w:tcW w:w="577" w:type="pct"/>
                  <w:vAlign w:val="center"/>
                </w:tcPr>
                <w:p w14:paraId="7285A50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200</w:t>
                  </w:r>
                </w:p>
              </w:tc>
              <w:tc>
                <w:tcPr>
                  <w:tcW w:w="496" w:type="pct"/>
                  <w:vAlign w:val="center"/>
                </w:tcPr>
                <w:p w14:paraId="06052D4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1B5E095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55837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1A41647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4</w:t>
                  </w:r>
                </w:p>
              </w:tc>
              <w:tc>
                <w:tcPr>
                  <w:tcW w:w="523" w:type="pct"/>
                  <w:vMerge w:val="continue"/>
                  <w:vAlign w:val="center"/>
                </w:tcPr>
                <w:p w14:paraId="39D9E5A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79" w:type="pct"/>
                  <w:gridSpan w:val="2"/>
                  <w:vAlign w:val="center"/>
                </w:tcPr>
                <w:p w14:paraId="24E61CD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海因</w:t>
                  </w:r>
                </w:p>
              </w:tc>
              <w:tc>
                <w:tcPr>
                  <w:tcW w:w="577" w:type="pct"/>
                  <w:vAlign w:val="center"/>
                </w:tcPr>
                <w:p w14:paraId="1DF6F01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2500</w:t>
                  </w:r>
                </w:p>
              </w:tc>
              <w:tc>
                <w:tcPr>
                  <w:tcW w:w="496" w:type="pct"/>
                  <w:vAlign w:val="center"/>
                </w:tcPr>
                <w:p w14:paraId="3863C5A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5204E10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6B587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78F6B65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5</w:t>
                  </w:r>
                </w:p>
              </w:tc>
              <w:tc>
                <w:tcPr>
                  <w:tcW w:w="523" w:type="pct"/>
                  <w:vMerge w:val="continue"/>
                  <w:vAlign w:val="center"/>
                </w:tcPr>
                <w:p w14:paraId="7EB1382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79" w:type="pct"/>
                  <w:gridSpan w:val="2"/>
                  <w:vAlign w:val="center"/>
                </w:tcPr>
                <w:p w14:paraId="7C32BDC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甘氨酸亚铁</w:t>
                  </w:r>
                </w:p>
              </w:tc>
              <w:tc>
                <w:tcPr>
                  <w:tcW w:w="577" w:type="pct"/>
                  <w:vAlign w:val="center"/>
                </w:tcPr>
                <w:p w14:paraId="002BE17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50</w:t>
                  </w:r>
                </w:p>
              </w:tc>
              <w:tc>
                <w:tcPr>
                  <w:tcW w:w="496" w:type="pct"/>
                  <w:vAlign w:val="center"/>
                </w:tcPr>
                <w:p w14:paraId="14D557A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69909CB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68931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3A5C6FA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6</w:t>
                  </w:r>
                </w:p>
              </w:tc>
              <w:tc>
                <w:tcPr>
                  <w:tcW w:w="523" w:type="pct"/>
                  <w:vMerge w:val="continue"/>
                  <w:vAlign w:val="center"/>
                </w:tcPr>
                <w:p w14:paraId="05C2B96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79" w:type="pct"/>
                  <w:gridSpan w:val="2"/>
                  <w:vAlign w:val="center"/>
                </w:tcPr>
                <w:p w14:paraId="4218759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甘氨酸钙（镁、锌）</w:t>
                  </w:r>
                </w:p>
              </w:tc>
              <w:tc>
                <w:tcPr>
                  <w:tcW w:w="577" w:type="pct"/>
                  <w:vAlign w:val="center"/>
                </w:tcPr>
                <w:p w14:paraId="16934EA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100</w:t>
                  </w:r>
                </w:p>
              </w:tc>
              <w:tc>
                <w:tcPr>
                  <w:tcW w:w="496" w:type="pct"/>
                  <w:vAlign w:val="center"/>
                </w:tcPr>
                <w:p w14:paraId="7F423DD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502F68A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2CAA4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6B13109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9</w:t>
                  </w:r>
                </w:p>
              </w:tc>
              <w:tc>
                <w:tcPr>
                  <w:tcW w:w="523" w:type="pct"/>
                  <w:vMerge w:val="continue"/>
                  <w:vAlign w:val="center"/>
                </w:tcPr>
                <w:p w14:paraId="7DB9569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1179" w:type="pct"/>
                  <w:gridSpan w:val="2"/>
                  <w:vAlign w:val="center"/>
                </w:tcPr>
                <w:p w14:paraId="77389BE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甘氨酸钠</w:t>
                  </w:r>
                </w:p>
              </w:tc>
              <w:tc>
                <w:tcPr>
                  <w:tcW w:w="577" w:type="pct"/>
                  <w:vAlign w:val="center"/>
                </w:tcPr>
                <w:p w14:paraId="51D1967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4000</w:t>
                  </w:r>
                </w:p>
              </w:tc>
              <w:tc>
                <w:tcPr>
                  <w:tcW w:w="496" w:type="pct"/>
                  <w:vAlign w:val="center"/>
                </w:tcPr>
                <w:p w14:paraId="58C51DF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2C19D69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59894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40FD6E0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10</w:t>
                  </w:r>
                </w:p>
              </w:tc>
              <w:tc>
                <w:tcPr>
                  <w:tcW w:w="523" w:type="pct"/>
                  <w:vMerge w:val="continue"/>
                  <w:vAlign w:val="center"/>
                </w:tcPr>
                <w:p w14:paraId="26E1885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458" w:type="pct"/>
                  <w:vMerge w:val="restart"/>
                  <w:vAlign w:val="center"/>
                </w:tcPr>
                <w:p w14:paraId="3833D0B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共线生产</w:t>
                  </w:r>
                </w:p>
              </w:tc>
              <w:tc>
                <w:tcPr>
                  <w:tcW w:w="721" w:type="pct"/>
                  <w:shd w:val="clear" w:color="auto" w:fill="auto"/>
                  <w:vAlign w:val="center"/>
                </w:tcPr>
                <w:p w14:paraId="0756A61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甘氨酸镁</w:t>
                  </w:r>
                </w:p>
              </w:tc>
              <w:tc>
                <w:tcPr>
                  <w:tcW w:w="577" w:type="pct"/>
                  <w:vAlign w:val="center"/>
                </w:tcPr>
                <w:p w14:paraId="5C710B78">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3000</w:t>
                  </w:r>
                </w:p>
              </w:tc>
              <w:tc>
                <w:tcPr>
                  <w:tcW w:w="496" w:type="pct"/>
                  <w:vAlign w:val="center"/>
                </w:tcPr>
                <w:p w14:paraId="0003878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5FFFF2F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r w14:paraId="4F790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332" w:type="pct"/>
                  <w:vAlign w:val="center"/>
                </w:tcPr>
                <w:p w14:paraId="490BE84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11</w:t>
                  </w:r>
                </w:p>
              </w:tc>
              <w:tc>
                <w:tcPr>
                  <w:tcW w:w="523" w:type="pct"/>
                  <w:vMerge w:val="continue"/>
                  <w:vAlign w:val="center"/>
                </w:tcPr>
                <w:p w14:paraId="168113C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p>
              </w:tc>
              <w:tc>
                <w:tcPr>
                  <w:tcW w:w="458" w:type="pct"/>
                  <w:vMerge w:val="continue"/>
                  <w:vAlign w:val="center"/>
                </w:tcPr>
                <w:p w14:paraId="0607BF7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eastAsia"/>
                      <w:color w:val="auto"/>
                      <w:sz w:val="21"/>
                      <w:szCs w:val="21"/>
                      <w:highlight w:val="none"/>
                      <w:lang w:val="en-US" w:eastAsia="zh-CN"/>
                    </w:rPr>
                  </w:pPr>
                </w:p>
              </w:tc>
              <w:tc>
                <w:tcPr>
                  <w:tcW w:w="721" w:type="pct"/>
                  <w:shd w:val="clear" w:color="auto" w:fill="auto"/>
                  <w:vAlign w:val="center"/>
                </w:tcPr>
                <w:p w14:paraId="44864E8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color w:val="auto"/>
                      <w:sz w:val="21"/>
                      <w:szCs w:val="21"/>
                      <w:highlight w:val="none"/>
                      <w:lang w:val="en-US" w:eastAsia="zh-CN"/>
                    </w:rPr>
                  </w:pPr>
                  <w:r>
                    <w:rPr>
                      <w:rFonts w:hint="eastAsia"/>
                      <w:color w:val="auto"/>
                      <w:sz w:val="21"/>
                      <w:szCs w:val="21"/>
                      <w:highlight w:val="none"/>
                      <w:lang w:val="en-US" w:eastAsia="zh-CN"/>
                    </w:rPr>
                    <w:t>甘氨酸锌</w:t>
                  </w:r>
                </w:p>
              </w:tc>
              <w:tc>
                <w:tcPr>
                  <w:tcW w:w="577" w:type="pct"/>
                  <w:vAlign w:val="center"/>
                </w:tcPr>
                <w:p w14:paraId="7E2EB4AE">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1800</w:t>
                  </w:r>
                </w:p>
              </w:tc>
              <w:tc>
                <w:tcPr>
                  <w:tcW w:w="496" w:type="pct"/>
                  <w:vAlign w:val="center"/>
                </w:tcPr>
                <w:p w14:paraId="7ED741ED">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t/a</w:t>
                  </w:r>
                </w:p>
              </w:tc>
              <w:tc>
                <w:tcPr>
                  <w:tcW w:w="1891" w:type="pct"/>
                  <w:vAlign w:val="center"/>
                </w:tcPr>
                <w:p w14:paraId="1615E02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r>
          </w:tbl>
          <w:p w14:paraId="3B315DF0">
            <w:pPr>
              <w:keepNext w:val="0"/>
              <w:keepLines w:val="0"/>
              <w:pageBreakBefore w:val="0"/>
              <w:widowControl w:val="0"/>
              <w:kinsoku/>
              <w:wordWrap/>
              <w:overflowPunct/>
              <w:topLinePunct w:val="0"/>
              <w:bidi w:val="0"/>
              <w:adjustRightInd w:val="0"/>
              <w:snapToGrid w:val="0"/>
              <w:spacing w:line="360" w:lineRule="auto"/>
              <w:ind w:firstLine="420" w:firstLineChars="200"/>
              <w:jc w:val="left"/>
              <w:textAlignment w:val="baseline"/>
              <w:rPr>
                <w:rFonts w:hint="default"/>
                <w:color w:val="auto"/>
                <w:sz w:val="21"/>
                <w:szCs w:val="21"/>
                <w:highlight w:val="none"/>
                <w:lang w:val="en-US" w:eastAsia="zh-CN"/>
              </w:rPr>
            </w:pPr>
          </w:p>
          <w:p w14:paraId="1B450EEE">
            <w:pPr>
              <w:keepNext w:val="0"/>
              <w:keepLines w:val="0"/>
              <w:pageBreakBefore w:val="0"/>
              <w:widowControl w:val="0"/>
              <w:kinsoku/>
              <w:wordWrap/>
              <w:overflowPunct/>
              <w:topLinePunct w:val="0"/>
              <w:bidi w:val="0"/>
              <w:adjustRightInd w:val="0"/>
              <w:snapToGrid w:val="0"/>
              <w:spacing w:line="360" w:lineRule="auto"/>
              <w:ind w:firstLine="420" w:firstLineChars="200"/>
              <w:jc w:val="left"/>
              <w:textAlignment w:val="baseline"/>
              <w:rPr>
                <w:rFonts w:hint="default"/>
                <w:color w:val="auto"/>
                <w:sz w:val="21"/>
                <w:szCs w:val="21"/>
                <w:highlight w:val="none"/>
                <w:lang w:val="en-US" w:eastAsia="zh-CN"/>
              </w:rPr>
            </w:pPr>
            <w:r>
              <w:rPr>
                <w:rFonts w:hint="default"/>
                <w:color w:val="auto"/>
                <w:sz w:val="21"/>
                <w:szCs w:val="21"/>
                <w:highlight w:val="none"/>
                <w:lang w:val="en-US" w:eastAsia="zh-CN"/>
              </w:rPr>
              <w:t>（4）现有公用工程</w:t>
            </w:r>
          </w:p>
          <w:p w14:paraId="7EA16C49">
            <w:pPr>
              <w:keepNext w:val="0"/>
              <w:keepLines w:val="0"/>
              <w:pageBreakBefore w:val="0"/>
              <w:widowControl w:val="0"/>
              <w:kinsoku/>
              <w:wordWrap/>
              <w:overflowPunct/>
              <w:topLinePunct w:val="0"/>
              <w:autoSpaceDE/>
              <w:autoSpaceDN/>
              <w:bidi w:val="0"/>
              <w:adjustRightInd/>
              <w:snapToGrid w:val="0"/>
              <w:spacing w:line="360" w:lineRule="auto"/>
              <w:ind w:left="0" w:firstLine="420" w:firstLineChars="200"/>
              <w:jc w:val="left"/>
              <w:textAlignment w:val="baseline"/>
              <w:rPr>
                <w:rFonts w:hint="default"/>
                <w:color w:val="auto"/>
                <w:sz w:val="21"/>
                <w:szCs w:val="21"/>
                <w:highlight w:val="none"/>
                <w:lang w:val="en-US" w:eastAsia="zh-CN"/>
              </w:rPr>
            </w:pPr>
            <w:r>
              <w:rPr>
                <w:rFonts w:hint="default"/>
                <w:color w:val="auto"/>
                <w:sz w:val="21"/>
                <w:szCs w:val="21"/>
                <w:highlight w:val="none"/>
                <w:lang w:val="en-US" w:eastAsia="zh-CN"/>
              </w:rPr>
              <w:t>①供电</w:t>
            </w:r>
          </w:p>
          <w:p w14:paraId="6ED53753">
            <w:pPr>
              <w:keepNext w:val="0"/>
              <w:keepLines w:val="0"/>
              <w:pageBreakBefore w:val="0"/>
              <w:widowControl w:val="0"/>
              <w:kinsoku/>
              <w:wordWrap/>
              <w:overflowPunct/>
              <w:topLinePunct w:val="0"/>
              <w:autoSpaceDE/>
              <w:autoSpaceDN/>
              <w:bidi w:val="0"/>
              <w:adjustRightInd/>
              <w:snapToGrid w:val="0"/>
              <w:spacing w:line="360" w:lineRule="auto"/>
              <w:ind w:left="0" w:firstLine="420" w:firstLineChars="200"/>
              <w:jc w:val="left"/>
              <w:textAlignment w:val="baseline"/>
              <w:rPr>
                <w:rFonts w:hint="default"/>
                <w:color w:val="auto"/>
                <w:sz w:val="21"/>
                <w:szCs w:val="21"/>
                <w:highlight w:val="none"/>
                <w:lang w:val="en-US" w:eastAsia="zh-CN"/>
              </w:rPr>
            </w:pPr>
            <w:r>
              <w:rPr>
                <w:rFonts w:hint="default"/>
                <w:color w:val="auto"/>
                <w:sz w:val="21"/>
                <w:szCs w:val="21"/>
                <w:highlight w:val="none"/>
                <w:lang w:val="en-US" w:eastAsia="zh-CN"/>
              </w:rPr>
              <w:t>石家庄东华金龙化工有限公司厂内设置6台变压器，并配置相应高压开关柜、低压配电屏及电容器补偿设施，公司现有容量为2000kVA变压器四台，2500kVA变电站两台，总容量为13000kVA。</w:t>
            </w:r>
          </w:p>
          <w:p w14:paraId="09C4DADB">
            <w:pPr>
              <w:keepNext w:val="0"/>
              <w:keepLines w:val="0"/>
              <w:pageBreakBefore w:val="0"/>
              <w:widowControl w:val="0"/>
              <w:kinsoku/>
              <w:wordWrap/>
              <w:overflowPunct/>
              <w:topLinePunct w:val="0"/>
              <w:autoSpaceDE/>
              <w:autoSpaceDN/>
              <w:bidi w:val="0"/>
              <w:adjustRightInd/>
              <w:snapToGrid w:val="0"/>
              <w:spacing w:line="360" w:lineRule="auto"/>
              <w:ind w:left="0" w:firstLine="420" w:firstLineChars="200"/>
              <w:jc w:val="left"/>
              <w:textAlignment w:val="baseline"/>
              <w:rPr>
                <w:rFonts w:hint="default"/>
                <w:color w:val="auto"/>
                <w:sz w:val="21"/>
                <w:szCs w:val="21"/>
                <w:highlight w:val="none"/>
              </w:rPr>
            </w:pPr>
            <w:r>
              <w:rPr>
                <w:rFonts w:hint="default"/>
                <w:color w:val="auto"/>
                <w:sz w:val="21"/>
                <w:szCs w:val="21"/>
                <w:highlight w:val="none"/>
                <w:lang w:val="en-US" w:eastAsia="zh-CN"/>
              </w:rPr>
              <w:t>②供热</w:t>
            </w:r>
            <w:r>
              <w:rPr>
                <w:rFonts w:hint="default"/>
                <w:color w:val="auto"/>
                <w:sz w:val="21"/>
                <w:szCs w:val="21"/>
                <w:highlight w:val="none"/>
              </w:rPr>
              <w:t>石家庄东华金龙化工有限公司供热由园区供热管网提供，利用公司现有换热站，换热站设计能力150t/h，现有工程使用</w:t>
            </w:r>
            <w:r>
              <w:rPr>
                <w:rFonts w:hint="default"/>
                <w:color w:val="auto"/>
                <w:sz w:val="21"/>
                <w:szCs w:val="21"/>
                <w:highlight w:val="none"/>
                <w:lang w:val="en-US" w:eastAsia="zh-CN"/>
              </w:rPr>
              <w:t>92</w:t>
            </w:r>
            <w:r>
              <w:rPr>
                <w:rFonts w:hint="default"/>
                <w:color w:val="auto"/>
                <w:sz w:val="21"/>
                <w:szCs w:val="21"/>
                <w:highlight w:val="none"/>
              </w:rPr>
              <w:t>t/h，尚有余量。</w:t>
            </w:r>
          </w:p>
          <w:p w14:paraId="4653A0CB">
            <w:pPr>
              <w:keepNext w:val="0"/>
              <w:keepLines w:val="0"/>
              <w:pageBreakBefore w:val="0"/>
              <w:widowControl w:val="0"/>
              <w:kinsoku/>
              <w:wordWrap/>
              <w:overflowPunct/>
              <w:topLinePunct w:val="0"/>
              <w:autoSpaceDE/>
              <w:autoSpaceDN/>
              <w:bidi w:val="0"/>
              <w:adjustRightInd/>
              <w:snapToGrid w:val="0"/>
              <w:spacing w:line="360" w:lineRule="auto"/>
              <w:ind w:left="0" w:firstLine="420" w:firstLineChars="200"/>
              <w:jc w:val="left"/>
              <w:textAlignment w:val="baseline"/>
              <w:rPr>
                <w:rFonts w:hint="default"/>
                <w:color w:val="auto"/>
                <w:sz w:val="21"/>
                <w:szCs w:val="21"/>
                <w:highlight w:val="none"/>
                <w:lang w:val="en-US" w:eastAsia="zh-CN"/>
              </w:rPr>
            </w:pPr>
            <w:r>
              <w:rPr>
                <w:rFonts w:hint="default"/>
                <w:color w:val="auto"/>
                <w:sz w:val="21"/>
                <w:szCs w:val="21"/>
                <w:highlight w:val="none"/>
                <w:lang w:val="en-US" w:eastAsia="zh-CN"/>
              </w:rPr>
              <w:t>③给排水</w:t>
            </w:r>
          </w:p>
          <w:p w14:paraId="6170D6B8">
            <w:pPr>
              <w:keepNext w:val="0"/>
              <w:keepLines w:val="0"/>
              <w:pageBreakBefore w:val="0"/>
              <w:widowControl w:val="0"/>
              <w:kinsoku/>
              <w:wordWrap/>
              <w:overflowPunct/>
              <w:topLinePunct w:val="0"/>
              <w:bidi w:val="0"/>
              <w:adjustRightInd w:val="0"/>
              <w:snapToGrid w:val="0"/>
              <w:spacing w:line="360" w:lineRule="auto"/>
              <w:ind w:left="0" w:firstLine="420" w:firstLineChars="200"/>
              <w:jc w:val="both"/>
              <w:textAlignment w:val="baseline"/>
              <w:rPr>
                <w:rFonts w:hint="default"/>
                <w:color w:val="auto"/>
                <w:sz w:val="21"/>
                <w:szCs w:val="21"/>
                <w:highlight w:val="none"/>
                <w:shd w:val="clear"/>
              </w:rPr>
            </w:pPr>
            <w:r>
              <w:rPr>
                <w:rFonts w:hint="default"/>
                <w:color w:val="auto"/>
                <w:sz w:val="21"/>
                <w:szCs w:val="21"/>
                <w:highlight w:val="none"/>
                <w:lang w:val="en-US" w:eastAsia="zh-CN"/>
              </w:rPr>
              <w:t>给水：</w:t>
            </w:r>
            <w:r>
              <w:rPr>
                <w:rFonts w:hint="default"/>
                <w:color w:val="auto"/>
                <w:sz w:val="21"/>
                <w:szCs w:val="21"/>
                <w:highlight w:val="none"/>
                <w:shd w:val="clear"/>
                <w:lang w:val="en-US" w:eastAsia="zh-CN"/>
              </w:rPr>
              <w:t>现有工程</w:t>
            </w:r>
            <w:r>
              <w:rPr>
                <w:rFonts w:hint="default"/>
                <w:color w:val="auto"/>
                <w:sz w:val="21"/>
                <w:szCs w:val="21"/>
                <w:highlight w:val="none"/>
                <w:shd w:val="clear"/>
              </w:rPr>
              <w:t>全厂总用水量为</w:t>
            </w:r>
            <w:r>
              <w:rPr>
                <w:rFonts w:hint="eastAsia"/>
                <w:color w:val="auto"/>
                <w:sz w:val="21"/>
                <w:szCs w:val="21"/>
                <w:highlight w:val="none"/>
                <w:shd w:val="clear"/>
                <w:lang w:val="en-US" w:eastAsia="zh-CN"/>
              </w:rPr>
              <w:t>139469.09</w:t>
            </w:r>
            <w:r>
              <w:rPr>
                <w:rFonts w:hint="default"/>
                <w:color w:val="auto"/>
                <w:sz w:val="21"/>
                <w:szCs w:val="21"/>
                <w:highlight w:val="none"/>
                <w:shd w:val="clear"/>
              </w:rPr>
              <w:t>m</w:t>
            </w:r>
            <w:r>
              <w:rPr>
                <w:rFonts w:hint="default"/>
                <w:color w:val="auto"/>
                <w:sz w:val="21"/>
                <w:szCs w:val="21"/>
                <w:highlight w:val="none"/>
                <w:shd w:val="clear"/>
                <w:vertAlign w:val="superscript"/>
              </w:rPr>
              <w:t>3</w:t>
            </w:r>
            <w:r>
              <w:rPr>
                <w:rFonts w:hint="default"/>
                <w:color w:val="auto"/>
                <w:sz w:val="21"/>
                <w:szCs w:val="21"/>
                <w:highlight w:val="none"/>
                <w:shd w:val="clear"/>
              </w:rPr>
              <w:t>/d，其中新鲜用水量为</w:t>
            </w:r>
            <w:r>
              <w:rPr>
                <w:rFonts w:hint="eastAsia"/>
                <w:color w:val="auto"/>
                <w:sz w:val="21"/>
                <w:szCs w:val="21"/>
                <w:highlight w:val="none"/>
                <w:shd w:val="clear"/>
                <w:lang w:val="en-US" w:eastAsia="zh-CN"/>
              </w:rPr>
              <w:t>2096.59</w:t>
            </w:r>
            <w:r>
              <w:rPr>
                <w:rFonts w:hint="default"/>
                <w:color w:val="auto"/>
                <w:sz w:val="21"/>
                <w:szCs w:val="21"/>
                <w:highlight w:val="none"/>
                <w:shd w:val="clear"/>
              </w:rPr>
              <w:t>m</w:t>
            </w:r>
            <w:r>
              <w:rPr>
                <w:rFonts w:hint="default"/>
                <w:color w:val="auto"/>
                <w:sz w:val="21"/>
                <w:szCs w:val="21"/>
                <w:highlight w:val="none"/>
                <w:shd w:val="clear"/>
                <w:vertAlign w:val="superscript"/>
              </w:rPr>
              <w:t>3</w:t>
            </w:r>
            <w:r>
              <w:rPr>
                <w:rFonts w:hint="default"/>
                <w:color w:val="auto"/>
                <w:sz w:val="21"/>
                <w:szCs w:val="21"/>
                <w:highlight w:val="none"/>
                <w:shd w:val="clear"/>
              </w:rPr>
              <w:t>/d，原料代入及反应生成</w:t>
            </w:r>
            <w:r>
              <w:rPr>
                <w:rFonts w:hint="eastAsia"/>
                <w:color w:val="auto"/>
                <w:sz w:val="21"/>
                <w:szCs w:val="21"/>
                <w:highlight w:val="none"/>
                <w:shd w:val="clear"/>
                <w:lang w:val="en-US" w:eastAsia="zh-CN"/>
              </w:rPr>
              <w:t>70.3</w:t>
            </w:r>
            <w:r>
              <w:rPr>
                <w:rFonts w:hint="default"/>
                <w:color w:val="auto"/>
                <w:sz w:val="21"/>
                <w:szCs w:val="21"/>
                <w:highlight w:val="none"/>
                <w:shd w:val="clear"/>
              </w:rPr>
              <w:t>m</w:t>
            </w:r>
            <w:r>
              <w:rPr>
                <w:rFonts w:hint="default"/>
                <w:color w:val="auto"/>
                <w:sz w:val="21"/>
                <w:szCs w:val="21"/>
                <w:highlight w:val="none"/>
                <w:shd w:val="clear"/>
                <w:vertAlign w:val="superscript"/>
              </w:rPr>
              <w:t>3</w:t>
            </w:r>
            <w:r>
              <w:rPr>
                <w:rFonts w:hint="default"/>
                <w:color w:val="auto"/>
                <w:sz w:val="21"/>
                <w:szCs w:val="21"/>
                <w:highlight w:val="none"/>
                <w:shd w:val="clear"/>
              </w:rPr>
              <w:t>/d，循环水量</w:t>
            </w:r>
            <w:r>
              <w:rPr>
                <w:rFonts w:hint="eastAsia"/>
                <w:color w:val="auto"/>
                <w:sz w:val="21"/>
                <w:szCs w:val="21"/>
                <w:highlight w:val="none"/>
                <w:shd w:val="clear"/>
                <w:lang w:val="en-US" w:eastAsia="zh-CN"/>
              </w:rPr>
              <w:t>135560</w:t>
            </w:r>
            <w:r>
              <w:rPr>
                <w:rFonts w:hint="default"/>
                <w:color w:val="auto"/>
                <w:sz w:val="21"/>
                <w:szCs w:val="21"/>
                <w:highlight w:val="none"/>
                <w:shd w:val="clear"/>
              </w:rPr>
              <w:t>m</w:t>
            </w:r>
            <w:r>
              <w:rPr>
                <w:rFonts w:hint="default"/>
                <w:color w:val="auto"/>
                <w:sz w:val="21"/>
                <w:szCs w:val="21"/>
                <w:highlight w:val="none"/>
                <w:shd w:val="clear"/>
                <w:vertAlign w:val="superscript"/>
              </w:rPr>
              <w:t>3</w:t>
            </w:r>
            <w:r>
              <w:rPr>
                <w:rFonts w:hint="default"/>
                <w:color w:val="auto"/>
                <w:sz w:val="21"/>
                <w:szCs w:val="21"/>
                <w:highlight w:val="none"/>
                <w:shd w:val="clear"/>
              </w:rPr>
              <w:t>/d，回用水量为1</w:t>
            </w:r>
            <w:r>
              <w:rPr>
                <w:rFonts w:hint="default"/>
                <w:color w:val="auto"/>
                <w:sz w:val="21"/>
                <w:szCs w:val="21"/>
                <w:highlight w:val="none"/>
                <w:shd w:val="clear"/>
                <w:lang w:val="en-US" w:eastAsia="zh-CN"/>
              </w:rPr>
              <w:t>742.2</w:t>
            </w:r>
            <w:r>
              <w:rPr>
                <w:rFonts w:hint="default"/>
                <w:color w:val="auto"/>
                <w:sz w:val="21"/>
                <w:szCs w:val="21"/>
                <w:highlight w:val="none"/>
                <w:shd w:val="clear"/>
              </w:rPr>
              <w:t>m</w:t>
            </w:r>
            <w:r>
              <w:rPr>
                <w:rFonts w:hint="default"/>
                <w:color w:val="auto"/>
                <w:sz w:val="21"/>
                <w:szCs w:val="21"/>
                <w:highlight w:val="none"/>
                <w:shd w:val="clear"/>
                <w:vertAlign w:val="superscript"/>
              </w:rPr>
              <w:t>3</w:t>
            </w:r>
            <w:r>
              <w:rPr>
                <w:rFonts w:hint="default"/>
                <w:color w:val="auto"/>
                <w:sz w:val="21"/>
                <w:szCs w:val="21"/>
                <w:highlight w:val="none"/>
                <w:shd w:val="clear"/>
              </w:rPr>
              <w:t>/d，水重复利用率为</w:t>
            </w:r>
            <w:r>
              <w:rPr>
                <w:rFonts w:hint="eastAsia"/>
                <w:color w:val="auto"/>
                <w:sz w:val="21"/>
                <w:szCs w:val="21"/>
                <w:highlight w:val="none"/>
                <w:shd w:val="clear"/>
                <w:lang w:val="en-US" w:eastAsia="zh-CN"/>
              </w:rPr>
              <w:t>98.5</w:t>
            </w:r>
            <w:r>
              <w:rPr>
                <w:rFonts w:hint="default"/>
                <w:color w:val="auto"/>
                <w:sz w:val="21"/>
                <w:szCs w:val="21"/>
                <w:highlight w:val="none"/>
                <w:shd w:val="clear"/>
              </w:rPr>
              <w:t>%。</w:t>
            </w:r>
          </w:p>
          <w:p w14:paraId="0A0E6F18">
            <w:pPr>
              <w:keepNext w:val="0"/>
              <w:keepLines w:val="0"/>
              <w:pageBreakBefore w:val="0"/>
              <w:widowControl w:val="0"/>
              <w:kinsoku/>
              <w:wordWrap/>
              <w:overflowPunct/>
              <w:topLinePunct w:val="0"/>
              <w:bidi w:val="0"/>
              <w:adjustRightInd w:val="0"/>
              <w:snapToGrid w:val="0"/>
              <w:spacing w:line="360" w:lineRule="auto"/>
              <w:ind w:left="0" w:firstLine="420" w:firstLineChars="200"/>
              <w:jc w:val="both"/>
              <w:textAlignment w:val="baseline"/>
              <w:rPr>
                <w:rFonts w:hint="default"/>
                <w:color w:val="auto"/>
                <w:sz w:val="21"/>
                <w:szCs w:val="21"/>
                <w:highlight w:val="none"/>
              </w:rPr>
            </w:pPr>
            <w:r>
              <w:rPr>
                <w:rFonts w:hint="default"/>
                <w:color w:val="auto"/>
                <w:sz w:val="21"/>
                <w:szCs w:val="21"/>
                <w:highlight w:val="none"/>
                <w:lang w:val="en-US" w:eastAsia="zh-CN"/>
              </w:rPr>
              <w:t>排水：现有工程</w:t>
            </w:r>
            <w:r>
              <w:rPr>
                <w:rFonts w:hint="default"/>
                <w:color w:val="auto"/>
                <w:sz w:val="21"/>
                <w:szCs w:val="21"/>
                <w:highlight w:val="none"/>
              </w:rPr>
              <w:t>全厂排水为氨回收系统排水，乌洛托品排水、精制甘氨酸排水、螯合物车间排水、10000吨氨基乙酸排水、海</w:t>
            </w:r>
            <w:r>
              <w:rPr>
                <w:rFonts w:hint="eastAsia"/>
                <w:color w:val="auto"/>
                <w:sz w:val="21"/>
                <w:szCs w:val="21"/>
                <w:highlight w:val="none"/>
                <w:lang w:val="en-US" w:eastAsia="zh-CN"/>
              </w:rPr>
              <w:t>因</w:t>
            </w:r>
            <w:r>
              <w:rPr>
                <w:rFonts w:hint="default"/>
                <w:color w:val="auto"/>
                <w:sz w:val="21"/>
                <w:szCs w:val="21"/>
                <w:highlight w:val="none"/>
              </w:rPr>
              <w:t>车间排水、</w:t>
            </w:r>
            <w:r>
              <w:rPr>
                <w:rFonts w:hint="eastAsia"/>
                <w:color w:val="auto"/>
                <w:sz w:val="21"/>
                <w:szCs w:val="21"/>
                <w:highlight w:val="none"/>
                <w:lang w:val="en-US" w:eastAsia="zh-CN"/>
              </w:rPr>
              <w:t>甘氨酸深加工排水、</w:t>
            </w:r>
            <w:r>
              <w:rPr>
                <w:rFonts w:hint="default"/>
                <w:color w:val="auto"/>
                <w:sz w:val="21"/>
                <w:szCs w:val="21"/>
                <w:highlight w:val="none"/>
              </w:rPr>
              <w:t>循环冷却水系统排水、废气治理系统排水、设备及车间地面冲洗废水、化验室废水、生活废水等，总排水量为</w:t>
            </w:r>
            <w:r>
              <w:rPr>
                <w:rFonts w:hint="eastAsia"/>
                <w:color w:val="auto"/>
                <w:sz w:val="21"/>
                <w:szCs w:val="21"/>
                <w:highlight w:val="none"/>
                <w:lang w:val="en-US" w:eastAsia="zh-CN"/>
              </w:rPr>
              <w:t>924.32</w:t>
            </w:r>
            <w:r>
              <w:rPr>
                <w:rFonts w:hint="default"/>
                <w:color w:val="auto"/>
                <w:sz w:val="21"/>
                <w:szCs w:val="21"/>
                <w:highlight w:val="none"/>
              </w:rPr>
              <w:t>m</w:t>
            </w:r>
            <w:r>
              <w:rPr>
                <w:rFonts w:hint="default"/>
                <w:color w:val="auto"/>
                <w:sz w:val="21"/>
                <w:szCs w:val="21"/>
                <w:highlight w:val="none"/>
                <w:vertAlign w:val="superscript"/>
              </w:rPr>
              <w:t>3</w:t>
            </w:r>
            <w:r>
              <w:rPr>
                <w:rFonts w:hint="default"/>
                <w:color w:val="auto"/>
                <w:sz w:val="21"/>
                <w:szCs w:val="21"/>
                <w:highlight w:val="none"/>
              </w:rPr>
              <w:t>/d。废水经厂区污水处理站处理后通过园区污水管网最终排入</w:t>
            </w:r>
            <w:r>
              <w:rPr>
                <w:rFonts w:hint="eastAsia"/>
                <w:color w:val="auto"/>
                <w:sz w:val="21"/>
                <w:szCs w:val="21"/>
                <w:highlight w:val="none"/>
                <w:lang w:eastAsia="zh-CN"/>
              </w:rPr>
              <w:t>石家庄高新区循化环境水务有限公司（良村南污水处理厂）</w:t>
            </w:r>
            <w:r>
              <w:rPr>
                <w:rFonts w:hint="default"/>
                <w:color w:val="auto"/>
                <w:sz w:val="21"/>
                <w:szCs w:val="21"/>
                <w:highlight w:val="none"/>
              </w:rPr>
              <w:t>。</w:t>
            </w:r>
          </w:p>
          <w:p w14:paraId="127BA1B8">
            <w:pPr>
              <w:keepNext w:val="0"/>
              <w:keepLines w:val="0"/>
              <w:pageBreakBefore w:val="0"/>
              <w:widowControl w:val="0"/>
              <w:kinsoku/>
              <w:wordWrap/>
              <w:overflowPunct/>
              <w:topLinePunct w:val="0"/>
              <w:bidi w:val="0"/>
              <w:adjustRightInd w:val="0"/>
              <w:snapToGrid w:val="0"/>
              <w:spacing w:line="360" w:lineRule="auto"/>
              <w:ind w:left="0" w:firstLine="420" w:firstLineChars="200"/>
              <w:jc w:val="both"/>
              <w:textAlignment w:val="baseline"/>
              <w:rPr>
                <w:rFonts w:hint="default"/>
                <w:color w:val="auto"/>
                <w:sz w:val="21"/>
                <w:szCs w:val="21"/>
                <w:highlight w:val="none"/>
              </w:rPr>
            </w:pPr>
            <w:r>
              <w:rPr>
                <w:rFonts w:hint="default"/>
                <w:color w:val="auto"/>
                <w:sz w:val="21"/>
                <w:szCs w:val="21"/>
                <w:highlight w:val="none"/>
              </w:rPr>
              <w:t>厂</w:t>
            </w:r>
            <w:r>
              <w:rPr>
                <w:rFonts w:hint="default"/>
                <w:color w:val="auto"/>
                <w:sz w:val="21"/>
                <w:szCs w:val="21"/>
                <w:highlight w:val="none"/>
                <w:lang w:val="en-US" w:eastAsia="zh-CN"/>
              </w:rPr>
              <w:t>内</w:t>
            </w:r>
            <w:r>
              <w:rPr>
                <w:rFonts w:hint="default"/>
                <w:color w:val="auto"/>
                <w:sz w:val="21"/>
                <w:szCs w:val="21"/>
                <w:highlight w:val="none"/>
              </w:rPr>
              <w:t>综合污水站污水处理能力为1600</w:t>
            </w:r>
            <w:r>
              <w:rPr>
                <w:rFonts w:hint="default"/>
                <w:color w:val="auto"/>
                <w:sz w:val="21"/>
                <w:szCs w:val="21"/>
                <w:highlight w:val="none"/>
                <w:lang w:val="en-US" w:eastAsia="zh-CN"/>
              </w:rPr>
              <w:t>m³</w:t>
            </w:r>
            <w:r>
              <w:rPr>
                <w:rFonts w:hint="default"/>
                <w:color w:val="auto"/>
                <w:sz w:val="21"/>
                <w:szCs w:val="21"/>
                <w:highlight w:val="none"/>
              </w:rPr>
              <w:t>/d（为2套并联的污水处理能力为800</w:t>
            </w:r>
            <w:r>
              <w:rPr>
                <w:rFonts w:hint="default"/>
                <w:color w:val="auto"/>
                <w:sz w:val="21"/>
                <w:szCs w:val="21"/>
                <w:highlight w:val="none"/>
                <w:lang w:val="en-US" w:eastAsia="zh-CN"/>
              </w:rPr>
              <w:t>m³</w:t>
            </w:r>
            <w:r>
              <w:rPr>
                <w:rFonts w:hint="default"/>
                <w:color w:val="auto"/>
                <w:sz w:val="21"/>
                <w:szCs w:val="21"/>
                <w:highlight w:val="none"/>
              </w:rPr>
              <w:t>/d污水处理系统），现实际日处理废水量为</w:t>
            </w:r>
            <w:r>
              <w:rPr>
                <w:rFonts w:hint="eastAsia"/>
                <w:color w:val="auto"/>
                <w:sz w:val="21"/>
                <w:szCs w:val="21"/>
                <w:highlight w:val="none"/>
                <w:lang w:val="en-US" w:eastAsia="zh-CN"/>
              </w:rPr>
              <w:t>924.32</w:t>
            </w:r>
            <w:r>
              <w:rPr>
                <w:rFonts w:hint="default"/>
                <w:color w:val="auto"/>
                <w:sz w:val="21"/>
                <w:szCs w:val="21"/>
                <w:highlight w:val="none"/>
                <w:lang w:val="en-US" w:eastAsia="zh-CN"/>
              </w:rPr>
              <w:t>m³/d</w:t>
            </w:r>
            <w:r>
              <w:rPr>
                <w:rFonts w:hint="default"/>
                <w:color w:val="auto"/>
                <w:sz w:val="21"/>
                <w:szCs w:val="21"/>
                <w:highlight w:val="none"/>
              </w:rPr>
              <w:t>。污水处理站污水处理工艺为</w:t>
            </w:r>
            <w:r>
              <w:rPr>
                <w:rFonts w:hint="eastAsia"/>
                <w:color w:val="auto"/>
                <w:sz w:val="21"/>
                <w:szCs w:val="21"/>
                <w:highlight w:val="none"/>
                <w:lang w:eastAsia="zh-CN"/>
              </w:rPr>
              <w:t>“</w:t>
            </w:r>
            <w:r>
              <w:rPr>
                <w:rFonts w:hint="default"/>
                <w:color w:val="auto"/>
                <w:sz w:val="21"/>
                <w:szCs w:val="21"/>
                <w:highlight w:val="none"/>
              </w:rPr>
              <w:t>调节池＋初沉池+水解酸化池＋水解酸化池沉淀池+好氧池+</w:t>
            </w:r>
            <w:r>
              <w:rPr>
                <w:rFonts w:hint="eastAsia"/>
                <w:color w:val="auto"/>
                <w:sz w:val="21"/>
                <w:szCs w:val="21"/>
                <w:highlight w:val="none"/>
                <w:lang w:eastAsia="zh-CN"/>
              </w:rPr>
              <w:t>一级沉淀池</w:t>
            </w:r>
            <w:r>
              <w:rPr>
                <w:rFonts w:hint="default"/>
                <w:color w:val="auto"/>
                <w:sz w:val="21"/>
                <w:szCs w:val="21"/>
                <w:highlight w:val="none"/>
              </w:rPr>
              <w:t>+</w:t>
            </w:r>
            <w:r>
              <w:rPr>
                <w:rFonts w:hint="eastAsia"/>
                <w:color w:val="auto"/>
                <w:sz w:val="21"/>
                <w:szCs w:val="21"/>
                <w:highlight w:val="none"/>
                <w:lang w:eastAsia="zh-CN"/>
              </w:rPr>
              <w:t>二级</w:t>
            </w:r>
            <w:r>
              <w:rPr>
                <w:rFonts w:hint="default"/>
                <w:color w:val="auto"/>
                <w:sz w:val="21"/>
                <w:szCs w:val="21"/>
                <w:highlight w:val="none"/>
              </w:rPr>
              <w:t>水解酸化池+二级</w:t>
            </w:r>
            <w:r>
              <w:rPr>
                <w:rFonts w:hint="eastAsia"/>
                <w:color w:val="auto"/>
                <w:sz w:val="21"/>
                <w:szCs w:val="21"/>
                <w:highlight w:val="none"/>
                <w:lang w:eastAsia="zh-CN"/>
              </w:rPr>
              <w:t>接触氧化池</w:t>
            </w:r>
            <w:r>
              <w:rPr>
                <w:rFonts w:hint="default"/>
                <w:color w:val="auto"/>
                <w:sz w:val="21"/>
                <w:szCs w:val="21"/>
                <w:highlight w:val="none"/>
              </w:rPr>
              <w:t>+二</w:t>
            </w:r>
            <w:r>
              <w:rPr>
                <w:rFonts w:hint="eastAsia"/>
                <w:color w:val="auto"/>
                <w:sz w:val="21"/>
                <w:szCs w:val="21"/>
                <w:highlight w:val="none"/>
                <w:lang w:eastAsia="zh-CN"/>
              </w:rPr>
              <w:t>级沉淀</w:t>
            </w:r>
            <w:r>
              <w:rPr>
                <w:rFonts w:hint="default"/>
                <w:color w:val="auto"/>
                <w:sz w:val="21"/>
                <w:szCs w:val="21"/>
                <w:highlight w:val="none"/>
              </w:rPr>
              <w:t>池+混凝气浮</w:t>
            </w:r>
            <w:r>
              <w:rPr>
                <w:rFonts w:hint="eastAsia"/>
                <w:color w:val="auto"/>
                <w:sz w:val="21"/>
                <w:szCs w:val="21"/>
                <w:highlight w:val="none"/>
                <w:lang w:eastAsia="zh-CN"/>
              </w:rPr>
              <w:t>”</w:t>
            </w:r>
            <w:r>
              <w:rPr>
                <w:rFonts w:hint="default"/>
                <w:color w:val="auto"/>
                <w:sz w:val="21"/>
                <w:szCs w:val="21"/>
                <w:highlight w:val="none"/>
              </w:rPr>
              <w:t>。</w:t>
            </w:r>
          </w:p>
          <w:p w14:paraId="5F8CDC08">
            <w:pPr>
              <w:keepNext w:val="0"/>
              <w:keepLines w:val="0"/>
              <w:pageBreakBefore w:val="0"/>
              <w:widowControl w:val="0"/>
              <w:kinsoku/>
              <w:wordWrap/>
              <w:overflowPunct/>
              <w:topLinePunct w:val="0"/>
              <w:bidi w:val="0"/>
              <w:adjustRightInd w:val="0"/>
              <w:snapToGrid w:val="0"/>
              <w:spacing w:line="360" w:lineRule="auto"/>
              <w:ind w:left="0" w:firstLine="420" w:firstLineChars="200"/>
              <w:jc w:val="both"/>
              <w:textAlignment w:val="baseline"/>
              <w:rPr>
                <w:rFonts w:hint="default"/>
                <w:color w:val="auto"/>
                <w:sz w:val="21"/>
                <w:szCs w:val="21"/>
                <w:highlight w:val="none"/>
                <w:lang w:eastAsia="zh-CN"/>
              </w:rPr>
            </w:pPr>
            <w:r>
              <w:rPr>
                <w:rFonts w:hint="default"/>
                <w:color w:val="auto"/>
                <w:sz w:val="21"/>
                <w:szCs w:val="21"/>
                <w:highlight w:val="none"/>
                <w:lang w:val="en-US" w:eastAsia="zh-CN"/>
              </w:rPr>
              <w:t>现有工程</w:t>
            </w:r>
            <w:r>
              <w:rPr>
                <w:rFonts w:hint="default"/>
                <w:color w:val="auto"/>
                <w:sz w:val="21"/>
                <w:szCs w:val="21"/>
                <w:highlight w:val="none"/>
              </w:rPr>
              <w:t>全厂水平衡图表如下</w:t>
            </w:r>
            <w:r>
              <w:rPr>
                <w:rFonts w:hint="default"/>
                <w:color w:val="auto"/>
                <w:sz w:val="21"/>
                <w:szCs w:val="21"/>
                <w:highlight w:val="none"/>
                <w:lang w:eastAsia="zh-CN"/>
              </w:rPr>
              <w:t>：</w:t>
            </w:r>
          </w:p>
          <w:p w14:paraId="761074F3">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zh-CN" w:eastAsia="zh-CN"/>
              </w:rPr>
            </w:pPr>
            <w:r>
              <w:rPr>
                <w:rFonts w:hint="default" w:ascii="Times New Roman" w:hAnsi="Times New Roman" w:eastAsia="宋体" w:cs="Times New Roman"/>
                <w:b/>
                <w:bCs/>
                <w:color w:val="auto"/>
                <w:sz w:val="21"/>
                <w:szCs w:val="21"/>
                <w:highlight w:val="none"/>
                <w:lang w:val="en-US" w:eastAsia="zh-CN"/>
              </w:rPr>
              <w:t xml:space="preserve">表 </w:t>
            </w:r>
            <w:r>
              <w:rPr>
                <w:rFonts w:hint="eastAsia" w:ascii="Times New Roman" w:hAnsi="Times New Roman" w:eastAsia="宋体" w:cs="Times New Roman"/>
                <w:b/>
                <w:bCs/>
                <w:color w:val="auto"/>
                <w:sz w:val="21"/>
                <w:szCs w:val="21"/>
                <w:highlight w:val="none"/>
                <w:lang w:val="en-US" w:eastAsia="zh-CN"/>
              </w:rPr>
              <w:t>2-17</w:t>
            </w:r>
            <w:r>
              <w:rPr>
                <w:rFonts w:hint="default" w:ascii="Times New Roman" w:hAnsi="Times New Roman" w:eastAsia="宋体" w:cs="Times New Roman"/>
                <w:b/>
                <w:bCs/>
                <w:color w:val="auto"/>
                <w:sz w:val="21"/>
                <w:szCs w:val="21"/>
                <w:highlight w:val="none"/>
                <w:lang w:val="en-US" w:eastAsia="zh-CN"/>
              </w:rPr>
              <w:t xml:space="preserve"> 现有工程给排水平衡表   单位：m³/d</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9"/>
              <w:gridCol w:w="915"/>
              <w:gridCol w:w="745"/>
              <w:gridCol w:w="684"/>
              <w:gridCol w:w="684"/>
              <w:gridCol w:w="684"/>
              <w:gridCol w:w="684"/>
              <w:gridCol w:w="684"/>
              <w:gridCol w:w="770"/>
              <w:gridCol w:w="606"/>
            </w:tblGrid>
            <w:tr w14:paraId="576F7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vMerge w:val="restart"/>
                  <w:shd w:val="clear" w:color="auto" w:fill="auto"/>
                  <w:vAlign w:val="center"/>
                </w:tcPr>
                <w:p w14:paraId="1C9A2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用水单位</w:t>
                  </w:r>
                </w:p>
              </w:tc>
              <w:tc>
                <w:tcPr>
                  <w:tcW w:w="576" w:type="pct"/>
                  <w:vMerge w:val="restart"/>
                  <w:shd w:val="clear" w:color="auto" w:fill="auto"/>
                  <w:vAlign w:val="center"/>
                </w:tcPr>
                <w:p w14:paraId="7D61BC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总用水量</w:t>
                  </w:r>
                </w:p>
              </w:tc>
              <w:tc>
                <w:tcPr>
                  <w:tcW w:w="469" w:type="pct"/>
                  <w:vMerge w:val="restart"/>
                  <w:shd w:val="clear" w:color="auto" w:fill="auto"/>
                  <w:vAlign w:val="center"/>
                </w:tcPr>
                <w:p w14:paraId="622608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新鲜水</w:t>
                  </w:r>
                </w:p>
              </w:tc>
              <w:tc>
                <w:tcPr>
                  <w:tcW w:w="431" w:type="pct"/>
                  <w:vMerge w:val="restart"/>
                  <w:shd w:val="clear" w:color="auto" w:fill="auto"/>
                  <w:vAlign w:val="center"/>
                </w:tcPr>
                <w:p w14:paraId="1CEC9E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原料带入水量/反应生成</w:t>
                  </w:r>
                </w:p>
              </w:tc>
              <w:tc>
                <w:tcPr>
                  <w:tcW w:w="431" w:type="pct"/>
                  <w:vMerge w:val="restart"/>
                  <w:shd w:val="clear" w:color="auto" w:fill="auto"/>
                  <w:vAlign w:val="center"/>
                </w:tcPr>
                <w:p w14:paraId="2E15FD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循环水量</w:t>
                  </w:r>
                </w:p>
              </w:tc>
              <w:tc>
                <w:tcPr>
                  <w:tcW w:w="431" w:type="pct"/>
                  <w:vMerge w:val="restart"/>
                  <w:shd w:val="clear" w:color="auto" w:fill="auto"/>
                  <w:vAlign w:val="center"/>
                </w:tcPr>
                <w:p w14:paraId="45D2ED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损耗量</w:t>
                  </w:r>
                </w:p>
              </w:tc>
              <w:tc>
                <w:tcPr>
                  <w:tcW w:w="862" w:type="pct"/>
                  <w:gridSpan w:val="2"/>
                  <w:shd w:val="clear" w:color="auto" w:fill="auto"/>
                  <w:noWrap/>
                  <w:vAlign w:val="center"/>
                </w:tcPr>
                <w:p w14:paraId="1D8526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串级用水</w:t>
                  </w:r>
                </w:p>
              </w:tc>
              <w:tc>
                <w:tcPr>
                  <w:tcW w:w="485" w:type="pct"/>
                  <w:vMerge w:val="restart"/>
                  <w:shd w:val="clear" w:color="auto" w:fill="auto"/>
                  <w:vAlign w:val="center"/>
                </w:tcPr>
                <w:p w14:paraId="31DAE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进入产</w:t>
                  </w:r>
                  <w:r>
                    <w:rPr>
                      <w:rFonts w:hint="eastAsia"/>
                      <w:color w:val="auto"/>
                      <w:sz w:val="21"/>
                      <w:szCs w:val="21"/>
                      <w:highlight w:val="none"/>
                      <w:lang w:eastAsia="zh-CN"/>
                    </w:rPr>
                    <w:t>（</w:t>
                  </w:r>
                  <w:r>
                    <w:rPr>
                      <w:rFonts w:hint="default"/>
                      <w:color w:val="auto"/>
                      <w:sz w:val="21"/>
                      <w:szCs w:val="21"/>
                      <w:highlight w:val="none"/>
                    </w:rPr>
                    <w:t>副产</w:t>
                  </w:r>
                  <w:r>
                    <w:rPr>
                      <w:rFonts w:hint="eastAsia"/>
                      <w:color w:val="auto"/>
                      <w:sz w:val="21"/>
                      <w:szCs w:val="21"/>
                      <w:highlight w:val="none"/>
                      <w:lang w:eastAsia="zh-CN"/>
                    </w:rPr>
                    <w:t>）</w:t>
                  </w:r>
                  <w:r>
                    <w:rPr>
                      <w:rFonts w:hint="default"/>
                      <w:color w:val="auto"/>
                      <w:sz w:val="21"/>
                      <w:szCs w:val="21"/>
                      <w:highlight w:val="none"/>
                    </w:rPr>
                    <w:t>品水量</w:t>
                  </w:r>
                </w:p>
              </w:tc>
              <w:tc>
                <w:tcPr>
                  <w:tcW w:w="381" w:type="pct"/>
                  <w:vMerge w:val="restart"/>
                  <w:shd w:val="clear" w:color="auto" w:fill="auto"/>
                  <w:vAlign w:val="center"/>
                </w:tcPr>
                <w:p w14:paraId="1EB6B7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排水量</w:t>
                  </w:r>
                </w:p>
              </w:tc>
            </w:tr>
            <w:tr w14:paraId="2A39A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vMerge w:val="continue"/>
                  <w:shd w:val="clear" w:color="auto" w:fill="auto"/>
                  <w:vAlign w:val="center"/>
                </w:tcPr>
                <w:p w14:paraId="230F0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576" w:type="pct"/>
                  <w:vMerge w:val="continue"/>
                  <w:shd w:val="clear" w:color="auto" w:fill="auto"/>
                  <w:vAlign w:val="center"/>
                </w:tcPr>
                <w:p w14:paraId="1EB48F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469" w:type="pct"/>
                  <w:vMerge w:val="continue"/>
                  <w:shd w:val="clear" w:color="auto" w:fill="auto"/>
                  <w:vAlign w:val="center"/>
                </w:tcPr>
                <w:p w14:paraId="74F57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431" w:type="pct"/>
                  <w:vMerge w:val="continue"/>
                  <w:shd w:val="clear" w:color="auto" w:fill="auto"/>
                  <w:vAlign w:val="center"/>
                </w:tcPr>
                <w:p w14:paraId="76ED21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431" w:type="pct"/>
                  <w:vMerge w:val="continue"/>
                  <w:shd w:val="clear" w:color="auto" w:fill="auto"/>
                  <w:vAlign w:val="center"/>
                </w:tcPr>
                <w:p w14:paraId="685B76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431" w:type="pct"/>
                  <w:vMerge w:val="continue"/>
                  <w:shd w:val="clear" w:color="auto" w:fill="auto"/>
                  <w:vAlign w:val="center"/>
                </w:tcPr>
                <w:p w14:paraId="6A5250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431" w:type="pct"/>
                  <w:shd w:val="clear" w:color="auto" w:fill="auto"/>
                  <w:vAlign w:val="center"/>
                </w:tcPr>
                <w:p w14:paraId="4DFE74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回用水量</w:t>
                  </w:r>
                </w:p>
              </w:tc>
              <w:tc>
                <w:tcPr>
                  <w:tcW w:w="431" w:type="pct"/>
                  <w:shd w:val="clear" w:color="auto" w:fill="auto"/>
                  <w:vAlign w:val="center"/>
                </w:tcPr>
                <w:p w14:paraId="516A68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textAlignment w:val="center"/>
                    <w:rPr>
                      <w:rFonts w:hint="default"/>
                      <w:color w:val="auto"/>
                      <w:sz w:val="21"/>
                      <w:szCs w:val="21"/>
                      <w:highlight w:val="none"/>
                    </w:rPr>
                  </w:pPr>
                  <w:r>
                    <w:rPr>
                      <w:rFonts w:hint="default"/>
                      <w:color w:val="auto"/>
                      <w:sz w:val="21"/>
                      <w:szCs w:val="21"/>
                      <w:highlight w:val="none"/>
                    </w:rPr>
                    <w:t>回用于厂区</w:t>
                  </w:r>
                </w:p>
              </w:tc>
              <w:tc>
                <w:tcPr>
                  <w:tcW w:w="485" w:type="pct"/>
                  <w:vMerge w:val="continue"/>
                  <w:shd w:val="clear" w:color="auto" w:fill="auto"/>
                  <w:vAlign w:val="center"/>
                </w:tcPr>
                <w:p w14:paraId="6F069C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c>
                <w:tcPr>
                  <w:tcW w:w="381" w:type="pct"/>
                  <w:vMerge w:val="continue"/>
                  <w:shd w:val="clear" w:color="auto" w:fill="auto"/>
                  <w:vAlign w:val="center"/>
                </w:tcPr>
                <w:p w14:paraId="7E8BB7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firstLine="0" w:firstLineChars="0"/>
                    <w:jc w:val="center"/>
                    <w:rPr>
                      <w:rFonts w:hint="default"/>
                      <w:color w:val="auto"/>
                      <w:sz w:val="21"/>
                      <w:szCs w:val="21"/>
                      <w:highlight w:val="none"/>
                    </w:rPr>
                  </w:pPr>
                </w:p>
              </w:tc>
            </w:tr>
            <w:tr w14:paraId="3DBE7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1479" w:type="dxa"/>
                  <w:shd w:val="clear" w:color="auto" w:fill="auto"/>
                  <w:noWrap/>
                  <w:vAlign w:val="center"/>
                </w:tcPr>
                <w:p w14:paraId="5DD0E5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氯乙酸与氨基乙酸</w:t>
                  </w:r>
                </w:p>
              </w:tc>
              <w:tc>
                <w:tcPr>
                  <w:tcW w:w="915" w:type="dxa"/>
                  <w:shd w:val="clear" w:color="auto" w:fill="auto"/>
                  <w:noWrap/>
                  <w:vAlign w:val="center"/>
                </w:tcPr>
                <w:p w14:paraId="51DF7B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1200.81</w:t>
                  </w:r>
                </w:p>
              </w:tc>
              <w:tc>
                <w:tcPr>
                  <w:tcW w:w="745" w:type="dxa"/>
                  <w:shd w:val="clear" w:color="auto" w:fill="auto"/>
                  <w:noWrap/>
                  <w:vAlign w:val="center"/>
                </w:tcPr>
                <w:p w14:paraId="681F472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1200.81</w:t>
                  </w:r>
                </w:p>
              </w:tc>
              <w:tc>
                <w:tcPr>
                  <w:tcW w:w="684" w:type="dxa"/>
                  <w:shd w:val="clear" w:color="auto" w:fill="auto"/>
                  <w:noWrap/>
                  <w:vAlign w:val="center"/>
                </w:tcPr>
                <w:p w14:paraId="22354AE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27D21B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09E8C0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69</w:t>
                  </w:r>
                </w:p>
              </w:tc>
              <w:tc>
                <w:tcPr>
                  <w:tcW w:w="684" w:type="dxa"/>
                  <w:shd w:val="clear" w:color="auto" w:fill="auto"/>
                  <w:noWrap/>
                  <w:vAlign w:val="center"/>
                </w:tcPr>
                <w:p w14:paraId="0D82AB2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453F1B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750</w:t>
                  </w:r>
                </w:p>
              </w:tc>
              <w:tc>
                <w:tcPr>
                  <w:tcW w:w="770" w:type="dxa"/>
                  <w:shd w:val="clear" w:color="auto" w:fill="auto"/>
                  <w:noWrap/>
                  <w:vAlign w:val="center"/>
                </w:tcPr>
                <w:p w14:paraId="7B1915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381.81</w:t>
                  </w:r>
                </w:p>
              </w:tc>
              <w:tc>
                <w:tcPr>
                  <w:tcW w:w="606" w:type="dxa"/>
                  <w:shd w:val="clear" w:color="auto" w:fill="auto"/>
                  <w:noWrap/>
                  <w:vAlign w:val="center"/>
                </w:tcPr>
                <w:p w14:paraId="7F511A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r>
            <w:tr w14:paraId="11F74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410FAC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甲醇精馏车间</w:t>
                  </w:r>
                </w:p>
              </w:tc>
              <w:tc>
                <w:tcPr>
                  <w:tcW w:w="915" w:type="dxa"/>
                  <w:shd w:val="clear" w:color="auto" w:fill="auto"/>
                  <w:noWrap/>
                  <w:vAlign w:val="center"/>
                </w:tcPr>
                <w:p w14:paraId="23CA74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750</w:t>
                  </w:r>
                </w:p>
              </w:tc>
              <w:tc>
                <w:tcPr>
                  <w:tcW w:w="745" w:type="dxa"/>
                  <w:shd w:val="clear" w:color="auto" w:fill="auto"/>
                  <w:noWrap/>
                  <w:vAlign w:val="center"/>
                </w:tcPr>
                <w:p w14:paraId="638EDF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024569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55C1D7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49ECA4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62620FE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750</w:t>
                  </w:r>
                </w:p>
              </w:tc>
              <w:tc>
                <w:tcPr>
                  <w:tcW w:w="684" w:type="dxa"/>
                  <w:shd w:val="clear" w:color="auto" w:fill="auto"/>
                  <w:noWrap/>
                  <w:vAlign w:val="center"/>
                </w:tcPr>
                <w:p w14:paraId="472662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535</w:t>
                  </w:r>
                </w:p>
              </w:tc>
              <w:tc>
                <w:tcPr>
                  <w:tcW w:w="770" w:type="dxa"/>
                  <w:shd w:val="clear" w:color="auto" w:fill="auto"/>
                  <w:vAlign w:val="center"/>
                </w:tcPr>
                <w:p w14:paraId="280363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215</w:t>
                  </w:r>
                </w:p>
              </w:tc>
              <w:tc>
                <w:tcPr>
                  <w:tcW w:w="606" w:type="dxa"/>
                  <w:shd w:val="clear" w:color="auto" w:fill="auto"/>
                  <w:vAlign w:val="center"/>
                </w:tcPr>
                <w:p w14:paraId="2494CD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r>
            <w:tr w14:paraId="5A6B8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1CEB9E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氯化铵回收工序（双效蒸发器）</w:t>
                  </w:r>
                </w:p>
              </w:tc>
              <w:tc>
                <w:tcPr>
                  <w:tcW w:w="915" w:type="dxa"/>
                  <w:shd w:val="clear" w:color="auto" w:fill="auto"/>
                  <w:noWrap/>
                  <w:vAlign w:val="center"/>
                </w:tcPr>
                <w:p w14:paraId="50BF1C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537.4</w:t>
                  </w:r>
                </w:p>
              </w:tc>
              <w:tc>
                <w:tcPr>
                  <w:tcW w:w="745" w:type="dxa"/>
                  <w:shd w:val="clear" w:color="auto" w:fill="auto"/>
                  <w:vAlign w:val="center"/>
                </w:tcPr>
                <w:p w14:paraId="4ECB4F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2.4</w:t>
                  </w:r>
                </w:p>
              </w:tc>
              <w:tc>
                <w:tcPr>
                  <w:tcW w:w="684" w:type="dxa"/>
                  <w:shd w:val="clear" w:color="auto" w:fill="auto"/>
                  <w:vAlign w:val="center"/>
                </w:tcPr>
                <w:p w14:paraId="0509F9F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48F368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7B4B06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1AEF4C5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535</w:t>
                  </w:r>
                </w:p>
              </w:tc>
              <w:tc>
                <w:tcPr>
                  <w:tcW w:w="684" w:type="dxa"/>
                  <w:shd w:val="clear" w:color="auto" w:fill="auto"/>
                  <w:noWrap/>
                  <w:vAlign w:val="center"/>
                </w:tcPr>
                <w:p w14:paraId="044FD99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457.2</w:t>
                  </w:r>
                </w:p>
              </w:tc>
              <w:tc>
                <w:tcPr>
                  <w:tcW w:w="770" w:type="dxa"/>
                  <w:shd w:val="clear" w:color="auto" w:fill="auto"/>
                  <w:vAlign w:val="center"/>
                </w:tcPr>
                <w:p w14:paraId="729E8C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80.2</w:t>
                  </w:r>
                </w:p>
              </w:tc>
              <w:tc>
                <w:tcPr>
                  <w:tcW w:w="606" w:type="dxa"/>
                  <w:shd w:val="clear" w:color="auto" w:fill="auto"/>
                  <w:vAlign w:val="center"/>
                </w:tcPr>
                <w:p w14:paraId="18988C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r>
            <w:tr w14:paraId="5769B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3A52AAC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氨回收系统</w:t>
                  </w:r>
                </w:p>
              </w:tc>
              <w:tc>
                <w:tcPr>
                  <w:tcW w:w="915" w:type="dxa"/>
                  <w:shd w:val="clear" w:color="auto" w:fill="auto"/>
                  <w:noWrap/>
                  <w:vAlign w:val="center"/>
                </w:tcPr>
                <w:p w14:paraId="4CDE14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327.2</w:t>
                  </w:r>
                </w:p>
              </w:tc>
              <w:tc>
                <w:tcPr>
                  <w:tcW w:w="745" w:type="dxa"/>
                  <w:shd w:val="clear" w:color="auto" w:fill="auto"/>
                  <w:vAlign w:val="center"/>
                </w:tcPr>
                <w:p w14:paraId="22A6EAB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3B2F02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25</w:t>
                  </w:r>
                </w:p>
              </w:tc>
              <w:tc>
                <w:tcPr>
                  <w:tcW w:w="684" w:type="dxa"/>
                  <w:shd w:val="clear" w:color="auto" w:fill="auto"/>
                  <w:vAlign w:val="center"/>
                </w:tcPr>
                <w:p w14:paraId="0A57F0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24F8F1E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6482C9F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302.2</w:t>
                  </w:r>
                </w:p>
              </w:tc>
              <w:tc>
                <w:tcPr>
                  <w:tcW w:w="684" w:type="dxa"/>
                  <w:shd w:val="clear" w:color="auto" w:fill="auto"/>
                  <w:vAlign w:val="center"/>
                </w:tcPr>
                <w:p w14:paraId="7A206C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531C576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15</w:t>
                  </w:r>
                </w:p>
              </w:tc>
              <w:tc>
                <w:tcPr>
                  <w:tcW w:w="606" w:type="dxa"/>
                  <w:shd w:val="clear" w:color="auto" w:fill="auto"/>
                  <w:vAlign w:val="center"/>
                </w:tcPr>
                <w:p w14:paraId="201FD61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312.2</w:t>
                  </w:r>
                </w:p>
              </w:tc>
            </w:tr>
            <w:tr w14:paraId="5555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78221C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20%氨水生产线（吸氨器）</w:t>
                  </w:r>
                </w:p>
              </w:tc>
              <w:tc>
                <w:tcPr>
                  <w:tcW w:w="915" w:type="dxa"/>
                  <w:shd w:val="clear" w:color="auto" w:fill="auto"/>
                  <w:noWrap/>
                  <w:vAlign w:val="center"/>
                </w:tcPr>
                <w:p w14:paraId="6BD2768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160.1</w:t>
                  </w:r>
                </w:p>
              </w:tc>
              <w:tc>
                <w:tcPr>
                  <w:tcW w:w="745" w:type="dxa"/>
                  <w:shd w:val="clear" w:color="auto" w:fill="auto"/>
                  <w:vAlign w:val="center"/>
                </w:tcPr>
                <w:p w14:paraId="556C25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5.1</w:t>
                  </w:r>
                </w:p>
              </w:tc>
              <w:tc>
                <w:tcPr>
                  <w:tcW w:w="684" w:type="dxa"/>
                  <w:shd w:val="clear" w:color="auto" w:fill="auto"/>
                  <w:noWrap/>
                  <w:vAlign w:val="center"/>
                </w:tcPr>
                <w:p w14:paraId="34B3E9C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32FC1BA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0E6F62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0.1</w:t>
                  </w:r>
                </w:p>
              </w:tc>
              <w:tc>
                <w:tcPr>
                  <w:tcW w:w="684" w:type="dxa"/>
                  <w:shd w:val="clear" w:color="auto" w:fill="auto"/>
                  <w:noWrap/>
                  <w:vAlign w:val="center"/>
                </w:tcPr>
                <w:p w14:paraId="1517B4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155</w:t>
                  </w:r>
                </w:p>
              </w:tc>
              <w:tc>
                <w:tcPr>
                  <w:tcW w:w="684" w:type="dxa"/>
                  <w:shd w:val="clear" w:color="auto" w:fill="auto"/>
                  <w:vAlign w:val="center"/>
                </w:tcPr>
                <w:p w14:paraId="08BE78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6FB85F7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160</w:t>
                  </w:r>
                </w:p>
              </w:tc>
              <w:tc>
                <w:tcPr>
                  <w:tcW w:w="606" w:type="dxa"/>
                  <w:shd w:val="clear" w:color="auto" w:fill="auto"/>
                  <w:vAlign w:val="center"/>
                </w:tcPr>
                <w:p w14:paraId="4005EE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r>
            <w:tr w14:paraId="54E50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23656F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精制甘氨酸</w:t>
                  </w:r>
                </w:p>
              </w:tc>
              <w:tc>
                <w:tcPr>
                  <w:tcW w:w="915" w:type="dxa"/>
                  <w:shd w:val="clear" w:color="auto" w:fill="auto"/>
                  <w:noWrap/>
                  <w:vAlign w:val="center"/>
                </w:tcPr>
                <w:p w14:paraId="0481EB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21</w:t>
                  </w:r>
                </w:p>
              </w:tc>
              <w:tc>
                <w:tcPr>
                  <w:tcW w:w="745" w:type="dxa"/>
                  <w:shd w:val="clear" w:color="auto" w:fill="auto"/>
                  <w:vAlign w:val="center"/>
                </w:tcPr>
                <w:p w14:paraId="2DBFDB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21</w:t>
                  </w:r>
                </w:p>
              </w:tc>
              <w:tc>
                <w:tcPr>
                  <w:tcW w:w="684" w:type="dxa"/>
                  <w:shd w:val="clear" w:color="auto" w:fill="auto"/>
                  <w:noWrap/>
                  <w:vAlign w:val="center"/>
                </w:tcPr>
                <w:p w14:paraId="4301E11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588372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4857543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w:t>
                  </w:r>
                </w:p>
              </w:tc>
              <w:tc>
                <w:tcPr>
                  <w:tcW w:w="684" w:type="dxa"/>
                  <w:shd w:val="clear" w:color="auto" w:fill="auto"/>
                  <w:noWrap/>
                  <w:vAlign w:val="center"/>
                </w:tcPr>
                <w:p w14:paraId="4252B88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10BB9F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noWrap/>
                  <w:vAlign w:val="center"/>
                </w:tcPr>
                <w:p w14:paraId="52C9A95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noWrap/>
                  <w:vAlign w:val="center"/>
                </w:tcPr>
                <w:p w14:paraId="6E75BEC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20</w:t>
                  </w:r>
                </w:p>
              </w:tc>
            </w:tr>
            <w:tr w14:paraId="7C81A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01CEE6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螯合物车间</w:t>
                  </w:r>
                </w:p>
              </w:tc>
              <w:tc>
                <w:tcPr>
                  <w:tcW w:w="915" w:type="dxa"/>
                  <w:shd w:val="clear" w:color="auto" w:fill="auto"/>
                  <w:noWrap/>
                  <w:vAlign w:val="center"/>
                </w:tcPr>
                <w:p w14:paraId="0E89FCE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83.9</w:t>
                  </w:r>
                </w:p>
              </w:tc>
              <w:tc>
                <w:tcPr>
                  <w:tcW w:w="745" w:type="dxa"/>
                  <w:shd w:val="clear" w:color="auto" w:fill="auto"/>
                  <w:vAlign w:val="center"/>
                </w:tcPr>
                <w:p w14:paraId="164E80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62</w:t>
                  </w:r>
                </w:p>
              </w:tc>
              <w:tc>
                <w:tcPr>
                  <w:tcW w:w="684" w:type="dxa"/>
                  <w:shd w:val="clear" w:color="auto" w:fill="auto"/>
                  <w:noWrap/>
                  <w:vAlign w:val="center"/>
                </w:tcPr>
                <w:p w14:paraId="211941B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21.9</w:t>
                  </w:r>
                </w:p>
              </w:tc>
              <w:tc>
                <w:tcPr>
                  <w:tcW w:w="684" w:type="dxa"/>
                  <w:shd w:val="clear" w:color="auto" w:fill="auto"/>
                  <w:noWrap/>
                  <w:vAlign w:val="center"/>
                </w:tcPr>
                <w:p w14:paraId="6278A30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6107161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34.5</w:t>
                  </w:r>
                </w:p>
              </w:tc>
              <w:tc>
                <w:tcPr>
                  <w:tcW w:w="684" w:type="dxa"/>
                  <w:shd w:val="clear" w:color="auto" w:fill="auto"/>
                  <w:noWrap/>
                  <w:vAlign w:val="center"/>
                </w:tcPr>
                <w:p w14:paraId="41536B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43EFF6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noWrap/>
                  <w:vAlign w:val="center"/>
                </w:tcPr>
                <w:p w14:paraId="0F9CF7F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5.1</w:t>
                  </w:r>
                </w:p>
              </w:tc>
              <w:tc>
                <w:tcPr>
                  <w:tcW w:w="606" w:type="dxa"/>
                  <w:shd w:val="clear" w:color="auto" w:fill="auto"/>
                  <w:noWrap/>
                  <w:vAlign w:val="center"/>
                </w:tcPr>
                <w:p w14:paraId="073FBB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44.3</w:t>
                  </w:r>
                </w:p>
              </w:tc>
            </w:tr>
            <w:tr w14:paraId="62530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3E7B9C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10000吨氨基乙酸</w:t>
                  </w:r>
                </w:p>
              </w:tc>
              <w:tc>
                <w:tcPr>
                  <w:tcW w:w="915" w:type="dxa"/>
                  <w:shd w:val="clear" w:color="auto" w:fill="auto"/>
                  <w:noWrap/>
                  <w:vAlign w:val="center"/>
                </w:tcPr>
                <w:p w14:paraId="5F41E73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27.1</w:t>
                  </w:r>
                </w:p>
              </w:tc>
              <w:tc>
                <w:tcPr>
                  <w:tcW w:w="745" w:type="dxa"/>
                  <w:shd w:val="clear" w:color="auto" w:fill="auto"/>
                  <w:vAlign w:val="center"/>
                </w:tcPr>
                <w:p w14:paraId="1BE4C5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27.1</w:t>
                  </w:r>
                </w:p>
              </w:tc>
              <w:tc>
                <w:tcPr>
                  <w:tcW w:w="684" w:type="dxa"/>
                  <w:shd w:val="clear" w:color="auto" w:fill="auto"/>
                  <w:noWrap/>
                  <w:vAlign w:val="center"/>
                </w:tcPr>
                <w:p w14:paraId="3ED97D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6E20DC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5BBA4E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9.7</w:t>
                  </w:r>
                </w:p>
              </w:tc>
              <w:tc>
                <w:tcPr>
                  <w:tcW w:w="684" w:type="dxa"/>
                  <w:shd w:val="clear" w:color="auto" w:fill="auto"/>
                  <w:noWrap/>
                  <w:vAlign w:val="center"/>
                </w:tcPr>
                <w:p w14:paraId="177F3D3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4F8664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7F7C1BA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vAlign w:val="center"/>
                </w:tcPr>
                <w:p w14:paraId="399029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17.4</w:t>
                  </w:r>
                </w:p>
              </w:tc>
            </w:tr>
            <w:tr w14:paraId="313F0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7D0F362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海因车间</w:t>
                  </w:r>
                </w:p>
              </w:tc>
              <w:tc>
                <w:tcPr>
                  <w:tcW w:w="915" w:type="dxa"/>
                  <w:shd w:val="clear" w:color="auto" w:fill="auto"/>
                  <w:noWrap/>
                  <w:vAlign w:val="center"/>
                </w:tcPr>
                <w:p w14:paraId="5470C5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15.7</w:t>
                  </w:r>
                </w:p>
              </w:tc>
              <w:tc>
                <w:tcPr>
                  <w:tcW w:w="745" w:type="dxa"/>
                  <w:shd w:val="clear" w:color="auto" w:fill="auto"/>
                  <w:vAlign w:val="center"/>
                </w:tcPr>
                <w:p w14:paraId="4DCCB2C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15.7</w:t>
                  </w:r>
                </w:p>
              </w:tc>
              <w:tc>
                <w:tcPr>
                  <w:tcW w:w="684" w:type="dxa"/>
                  <w:shd w:val="clear" w:color="auto" w:fill="auto"/>
                  <w:noWrap/>
                  <w:vAlign w:val="center"/>
                </w:tcPr>
                <w:p w14:paraId="1A7C88A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3C26D2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4B9AC5F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1.7</w:t>
                  </w:r>
                </w:p>
              </w:tc>
              <w:tc>
                <w:tcPr>
                  <w:tcW w:w="684" w:type="dxa"/>
                  <w:shd w:val="clear" w:color="auto" w:fill="auto"/>
                  <w:noWrap/>
                  <w:vAlign w:val="center"/>
                </w:tcPr>
                <w:p w14:paraId="17307FF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2F332EE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noWrap/>
                  <w:vAlign w:val="center"/>
                </w:tcPr>
                <w:p w14:paraId="3D609EF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noWrap/>
                  <w:vAlign w:val="center"/>
                </w:tcPr>
                <w:p w14:paraId="4D0904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14</w:t>
                  </w:r>
                </w:p>
              </w:tc>
            </w:tr>
            <w:tr w14:paraId="246EF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03DF7D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甘氨酸深加工</w:t>
                  </w:r>
                </w:p>
              </w:tc>
              <w:tc>
                <w:tcPr>
                  <w:tcW w:w="915" w:type="dxa"/>
                  <w:shd w:val="clear" w:color="auto" w:fill="auto"/>
                  <w:noWrap/>
                  <w:vAlign w:val="center"/>
                </w:tcPr>
                <w:p w14:paraId="39CC18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6.85</w:t>
                  </w:r>
                </w:p>
              </w:tc>
              <w:tc>
                <w:tcPr>
                  <w:tcW w:w="745" w:type="dxa"/>
                  <w:shd w:val="clear" w:color="auto" w:fill="auto"/>
                  <w:vAlign w:val="center"/>
                </w:tcPr>
                <w:p w14:paraId="46CE8F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6.25</w:t>
                  </w:r>
                </w:p>
              </w:tc>
              <w:tc>
                <w:tcPr>
                  <w:tcW w:w="684" w:type="dxa"/>
                  <w:shd w:val="clear" w:color="auto" w:fill="auto"/>
                  <w:noWrap/>
                  <w:vAlign w:val="center"/>
                </w:tcPr>
                <w:p w14:paraId="4A635D8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0.6</w:t>
                  </w:r>
                </w:p>
              </w:tc>
              <w:tc>
                <w:tcPr>
                  <w:tcW w:w="684" w:type="dxa"/>
                  <w:shd w:val="clear" w:color="auto" w:fill="auto"/>
                  <w:vAlign w:val="center"/>
                </w:tcPr>
                <w:p w14:paraId="433975A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32E5070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0.1</w:t>
                  </w:r>
                </w:p>
              </w:tc>
              <w:tc>
                <w:tcPr>
                  <w:tcW w:w="684" w:type="dxa"/>
                  <w:shd w:val="clear" w:color="auto" w:fill="auto"/>
                  <w:noWrap/>
                  <w:vAlign w:val="center"/>
                </w:tcPr>
                <w:p w14:paraId="5A3E6E2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70D05EF1">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kern w:val="0"/>
                      <w:sz w:val="20"/>
                      <w:szCs w:val="20"/>
                      <w:highlight w:val="none"/>
                      <w:u w:val="none"/>
                      <w:lang w:val="en-US" w:eastAsia="zh-CN" w:bidi="ar"/>
                    </w:rPr>
                  </w:pPr>
                </w:p>
              </w:tc>
              <w:tc>
                <w:tcPr>
                  <w:tcW w:w="770" w:type="dxa"/>
                  <w:shd w:val="clear" w:color="auto" w:fill="auto"/>
                  <w:noWrap/>
                  <w:vAlign w:val="center"/>
                </w:tcPr>
                <w:p w14:paraId="61E259DA">
                  <w:pPr>
                    <w:keepNext w:val="0"/>
                    <w:keepLines w:val="0"/>
                    <w:pageBreakBefore w:val="0"/>
                    <w:widowControl/>
                    <w:kinsoku/>
                    <w:wordWrap/>
                    <w:overflowPunct/>
                    <w:topLinePunct w:val="0"/>
                    <w:autoSpaceDE/>
                    <w:autoSpaceDN/>
                    <w:bidi w:val="0"/>
                    <w:adjustRightInd/>
                    <w:snapToGrid/>
                    <w:spacing w:line="240" w:lineRule="auto"/>
                    <w:jc w:val="center"/>
                    <w:rPr>
                      <w:rFonts w:hint="default" w:ascii="Times New Roman" w:hAnsi="Times New Roman" w:eastAsia="宋体" w:cs="Times New Roman"/>
                      <w:i w:val="0"/>
                      <w:iCs w:val="0"/>
                      <w:color w:val="auto"/>
                      <w:kern w:val="0"/>
                      <w:sz w:val="20"/>
                      <w:szCs w:val="20"/>
                      <w:highlight w:val="none"/>
                      <w:u w:val="none"/>
                      <w:lang w:val="en-US" w:eastAsia="zh-CN" w:bidi="ar"/>
                    </w:rPr>
                  </w:pPr>
                </w:p>
              </w:tc>
              <w:tc>
                <w:tcPr>
                  <w:tcW w:w="606" w:type="dxa"/>
                  <w:shd w:val="clear" w:color="auto" w:fill="auto"/>
                  <w:noWrap/>
                  <w:vAlign w:val="center"/>
                </w:tcPr>
                <w:p w14:paraId="2549AE2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0"/>
                      <w:szCs w:val="20"/>
                      <w:highlight w:val="none"/>
                      <w:u w:val="none"/>
                      <w:lang w:val="en-US" w:eastAsia="zh-CN" w:bidi="ar"/>
                    </w:rPr>
                    <w:t>6.75</w:t>
                  </w:r>
                </w:p>
              </w:tc>
            </w:tr>
            <w:tr w14:paraId="0F5AE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3425F39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循环冷却水系统</w:t>
                  </w:r>
                </w:p>
              </w:tc>
              <w:tc>
                <w:tcPr>
                  <w:tcW w:w="915" w:type="dxa"/>
                  <w:shd w:val="clear" w:color="auto" w:fill="auto"/>
                  <w:noWrap/>
                  <w:vAlign w:val="center"/>
                </w:tcPr>
                <w:p w14:paraId="5D5817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121304.4</w:t>
                  </w:r>
                </w:p>
              </w:tc>
              <w:tc>
                <w:tcPr>
                  <w:tcW w:w="745" w:type="dxa"/>
                  <w:shd w:val="clear" w:color="auto" w:fill="auto"/>
                  <w:vAlign w:val="center"/>
                </w:tcPr>
                <w:p w14:paraId="1B6AAC4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344.4</w:t>
                  </w:r>
                </w:p>
              </w:tc>
              <w:tc>
                <w:tcPr>
                  <w:tcW w:w="684" w:type="dxa"/>
                  <w:shd w:val="clear" w:color="auto" w:fill="auto"/>
                  <w:noWrap/>
                  <w:vAlign w:val="center"/>
                </w:tcPr>
                <w:p w14:paraId="41CCBDA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1DD186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120960</w:t>
                  </w:r>
                </w:p>
              </w:tc>
              <w:tc>
                <w:tcPr>
                  <w:tcW w:w="684" w:type="dxa"/>
                  <w:shd w:val="clear" w:color="auto" w:fill="auto"/>
                  <w:vAlign w:val="center"/>
                </w:tcPr>
                <w:p w14:paraId="18F257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173.6</w:t>
                  </w:r>
                </w:p>
              </w:tc>
              <w:tc>
                <w:tcPr>
                  <w:tcW w:w="684" w:type="dxa"/>
                  <w:shd w:val="clear" w:color="auto" w:fill="auto"/>
                  <w:noWrap/>
                  <w:vAlign w:val="center"/>
                </w:tcPr>
                <w:p w14:paraId="61F9B1C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71525B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noWrap/>
                  <w:vAlign w:val="center"/>
                </w:tcPr>
                <w:p w14:paraId="4AA16B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noWrap/>
                  <w:vAlign w:val="center"/>
                </w:tcPr>
                <w:p w14:paraId="15E46A4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170.8</w:t>
                  </w:r>
                </w:p>
              </w:tc>
            </w:tr>
            <w:tr w14:paraId="185B0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029EE7E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废气治理系统</w:t>
                  </w:r>
                </w:p>
              </w:tc>
              <w:tc>
                <w:tcPr>
                  <w:tcW w:w="915" w:type="dxa"/>
                  <w:shd w:val="clear" w:color="auto" w:fill="auto"/>
                  <w:noWrap/>
                  <w:vAlign w:val="center"/>
                </w:tcPr>
                <w:p w14:paraId="6D6A9B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14678.63</w:t>
                  </w:r>
                </w:p>
              </w:tc>
              <w:tc>
                <w:tcPr>
                  <w:tcW w:w="745" w:type="dxa"/>
                  <w:shd w:val="clear" w:color="auto" w:fill="auto"/>
                  <w:vAlign w:val="center"/>
                </w:tcPr>
                <w:p w14:paraId="262472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55.83</w:t>
                  </w:r>
                </w:p>
              </w:tc>
              <w:tc>
                <w:tcPr>
                  <w:tcW w:w="684" w:type="dxa"/>
                  <w:shd w:val="clear" w:color="auto" w:fill="auto"/>
                  <w:noWrap/>
                  <w:vAlign w:val="center"/>
                </w:tcPr>
                <w:p w14:paraId="0D029E5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22.8</w:t>
                  </w:r>
                </w:p>
              </w:tc>
              <w:tc>
                <w:tcPr>
                  <w:tcW w:w="684" w:type="dxa"/>
                  <w:shd w:val="clear" w:color="auto" w:fill="auto"/>
                  <w:vAlign w:val="center"/>
                </w:tcPr>
                <w:p w14:paraId="193B69E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14600</w:t>
                  </w:r>
                </w:p>
              </w:tc>
              <w:tc>
                <w:tcPr>
                  <w:tcW w:w="684" w:type="dxa"/>
                  <w:shd w:val="clear" w:color="auto" w:fill="auto"/>
                  <w:vAlign w:val="center"/>
                </w:tcPr>
                <w:p w14:paraId="26450A8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37.86</w:t>
                  </w:r>
                </w:p>
              </w:tc>
              <w:tc>
                <w:tcPr>
                  <w:tcW w:w="684" w:type="dxa"/>
                  <w:shd w:val="clear" w:color="auto" w:fill="auto"/>
                  <w:noWrap/>
                  <w:vAlign w:val="center"/>
                </w:tcPr>
                <w:p w14:paraId="6C85E4C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noWrap/>
                  <w:vAlign w:val="center"/>
                </w:tcPr>
                <w:p w14:paraId="65E9FA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259A98F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vAlign w:val="center"/>
                </w:tcPr>
                <w:p w14:paraId="4F71243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40.77</w:t>
                  </w:r>
                </w:p>
              </w:tc>
            </w:tr>
            <w:tr w14:paraId="5AC34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14DE1B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设备及车间地面冲洗水</w:t>
                  </w:r>
                </w:p>
              </w:tc>
              <w:tc>
                <w:tcPr>
                  <w:tcW w:w="915" w:type="dxa"/>
                  <w:shd w:val="clear" w:color="auto" w:fill="auto"/>
                  <w:noWrap/>
                  <w:vAlign w:val="center"/>
                </w:tcPr>
                <w:p w14:paraId="3162EFA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25</w:t>
                  </w:r>
                </w:p>
              </w:tc>
              <w:tc>
                <w:tcPr>
                  <w:tcW w:w="745" w:type="dxa"/>
                  <w:shd w:val="clear" w:color="auto" w:fill="auto"/>
                  <w:vAlign w:val="center"/>
                </w:tcPr>
                <w:p w14:paraId="46C8002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25</w:t>
                  </w:r>
                </w:p>
              </w:tc>
              <w:tc>
                <w:tcPr>
                  <w:tcW w:w="684" w:type="dxa"/>
                  <w:shd w:val="clear" w:color="auto" w:fill="auto"/>
                  <w:noWrap/>
                  <w:vAlign w:val="center"/>
                </w:tcPr>
                <w:p w14:paraId="4F08BF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4EC003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12B921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2.9</w:t>
                  </w:r>
                </w:p>
              </w:tc>
              <w:tc>
                <w:tcPr>
                  <w:tcW w:w="684" w:type="dxa"/>
                  <w:shd w:val="clear" w:color="auto" w:fill="auto"/>
                  <w:noWrap/>
                  <w:vAlign w:val="center"/>
                </w:tcPr>
                <w:p w14:paraId="7F2D0B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5DE5706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6940AF4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vAlign w:val="center"/>
                </w:tcPr>
                <w:p w14:paraId="06EF02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22.1</w:t>
                  </w:r>
                </w:p>
              </w:tc>
            </w:tr>
            <w:tr w14:paraId="464F9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49B58B1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化验室</w:t>
                  </w:r>
                </w:p>
              </w:tc>
              <w:tc>
                <w:tcPr>
                  <w:tcW w:w="915" w:type="dxa"/>
                  <w:shd w:val="clear" w:color="auto" w:fill="auto"/>
                  <w:noWrap/>
                  <w:vAlign w:val="center"/>
                </w:tcPr>
                <w:p w14:paraId="4030A03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w:t>
                  </w:r>
                </w:p>
              </w:tc>
              <w:tc>
                <w:tcPr>
                  <w:tcW w:w="745" w:type="dxa"/>
                  <w:shd w:val="clear" w:color="auto" w:fill="auto"/>
                  <w:vAlign w:val="center"/>
                </w:tcPr>
                <w:p w14:paraId="2A57078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w:t>
                  </w:r>
                </w:p>
              </w:tc>
              <w:tc>
                <w:tcPr>
                  <w:tcW w:w="684" w:type="dxa"/>
                  <w:shd w:val="clear" w:color="auto" w:fill="auto"/>
                  <w:vAlign w:val="center"/>
                </w:tcPr>
                <w:p w14:paraId="0962D1C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506A5AD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104B3DF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36B3C88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35B295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413F07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vAlign w:val="center"/>
                </w:tcPr>
                <w:p w14:paraId="31A13D3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w:t>
                  </w:r>
                </w:p>
              </w:tc>
            </w:tr>
            <w:tr w14:paraId="65519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4BB9BCA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生活用水</w:t>
                  </w:r>
                </w:p>
              </w:tc>
              <w:tc>
                <w:tcPr>
                  <w:tcW w:w="915" w:type="dxa"/>
                  <w:shd w:val="clear" w:color="auto" w:fill="auto"/>
                  <w:noWrap/>
                  <w:vAlign w:val="center"/>
                </w:tcPr>
                <w:p w14:paraId="02B0649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310</w:t>
                  </w:r>
                </w:p>
              </w:tc>
              <w:tc>
                <w:tcPr>
                  <w:tcW w:w="745" w:type="dxa"/>
                  <w:shd w:val="clear" w:color="auto" w:fill="auto"/>
                  <w:vAlign w:val="center"/>
                </w:tcPr>
                <w:p w14:paraId="6A95358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310</w:t>
                  </w:r>
                </w:p>
              </w:tc>
              <w:tc>
                <w:tcPr>
                  <w:tcW w:w="684" w:type="dxa"/>
                  <w:shd w:val="clear" w:color="auto" w:fill="auto"/>
                  <w:vAlign w:val="center"/>
                </w:tcPr>
                <w:p w14:paraId="60ED83B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07E4DF2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4887CFE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35</w:t>
                  </w:r>
                </w:p>
              </w:tc>
              <w:tc>
                <w:tcPr>
                  <w:tcW w:w="684" w:type="dxa"/>
                  <w:shd w:val="clear" w:color="auto" w:fill="auto"/>
                  <w:vAlign w:val="center"/>
                </w:tcPr>
                <w:p w14:paraId="62B5B5F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7F79A9A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0D23295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vAlign w:val="center"/>
                </w:tcPr>
                <w:p w14:paraId="2C583F0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275</w:t>
                  </w:r>
                </w:p>
              </w:tc>
            </w:tr>
            <w:tr w14:paraId="4BB24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vAlign w:val="center"/>
                </w:tcPr>
                <w:p w14:paraId="402F82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绿化喷淋</w:t>
                  </w:r>
                </w:p>
              </w:tc>
              <w:tc>
                <w:tcPr>
                  <w:tcW w:w="915" w:type="dxa"/>
                  <w:shd w:val="clear" w:color="auto" w:fill="auto"/>
                  <w:noWrap/>
                  <w:vAlign w:val="center"/>
                </w:tcPr>
                <w:p w14:paraId="206AD58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bottom"/>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20</w:t>
                  </w:r>
                </w:p>
              </w:tc>
              <w:tc>
                <w:tcPr>
                  <w:tcW w:w="745" w:type="dxa"/>
                  <w:shd w:val="clear" w:color="auto" w:fill="auto"/>
                  <w:vAlign w:val="center"/>
                </w:tcPr>
                <w:p w14:paraId="37205AF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20</w:t>
                  </w:r>
                </w:p>
              </w:tc>
              <w:tc>
                <w:tcPr>
                  <w:tcW w:w="684" w:type="dxa"/>
                  <w:shd w:val="clear" w:color="auto" w:fill="auto"/>
                  <w:vAlign w:val="center"/>
                </w:tcPr>
                <w:p w14:paraId="02FE141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6A18766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1D1DB9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20</w:t>
                  </w:r>
                </w:p>
              </w:tc>
              <w:tc>
                <w:tcPr>
                  <w:tcW w:w="684" w:type="dxa"/>
                  <w:shd w:val="clear" w:color="auto" w:fill="auto"/>
                  <w:vAlign w:val="center"/>
                </w:tcPr>
                <w:p w14:paraId="1D8823B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84" w:type="dxa"/>
                  <w:shd w:val="clear" w:color="auto" w:fill="auto"/>
                  <w:vAlign w:val="center"/>
                </w:tcPr>
                <w:p w14:paraId="6C0BC89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770" w:type="dxa"/>
                  <w:shd w:val="clear" w:color="auto" w:fill="auto"/>
                  <w:vAlign w:val="center"/>
                </w:tcPr>
                <w:p w14:paraId="12F3DD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c>
                <w:tcPr>
                  <w:tcW w:w="606" w:type="dxa"/>
                  <w:shd w:val="clear" w:color="auto" w:fill="auto"/>
                  <w:vAlign w:val="center"/>
                </w:tcPr>
                <w:p w14:paraId="5619CC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0</w:t>
                  </w:r>
                </w:p>
              </w:tc>
            </w:tr>
            <w:tr w14:paraId="3CA60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479" w:type="dxa"/>
                  <w:shd w:val="clear" w:color="auto" w:fill="auto"/>
                  <w:noWrap/>
                  <w:vAlign w:val="center"/>
                </w:tcPr>
                <w:p w14:paraId="3E74181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合计</w:t>
                  </w:r>
                </w:p>
              </w:tc>
              <w:tc>
                <w:tcPr>
                  <w:tcW w:w="915" w:type="dxa"/>
                  <w:shd w:val="clear" w:color="auto" w:fill="auto"/>
                  <w:noWrap/>
                  <w:vAlign w:val="center"/>
                </w:tcPr>
                <w:p w14:paraId="5CC1C10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i w:val="0"/>
                      <w:iCs w:val="0"/>
                      <w:color w:val="auto"/>
                      <w:kern w:val="0"/>
                      <w:sz w:val="20"/>
                      <w:szCs w:val="20"/>
                      <w:highlight w:val="none"/>
                      <w:u w:val="none"/>
                      <w:lang w:val="en-US" w:eastAsia="zh-CN" w:bidi="ar"/>
                    </w:rPr>
                    <w:t>139469.09</w:t>
                  </w:r>
                </w:p>
              </w:tc>
              <w:tc>
                <w:tcPr>
                  <w:tcW w:w="745" w:type="dxa"/>
                  <w:shd w:val="clear" w:color="auto" w:fill="auto"/>
                  <w:noWrap/>
                  <w:vAlign w:val="center"/>
                </w:tcPr>
                <w:p w14:paraId="614AA9A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2096.59</w:t>
                  </w:r>
                </w:p>
              </w:tc>
              <w:tc>
                <w:tcPr>
                  <w:tcW w:w="684" w:type="dxa"/>
                  <w:shd w:val="clear" w:color="auto" w:fill="auto"/>
                  <w:noWrap/>
                  <w:vAlign w:val="center"/>
                </w:tcPr>
                <w:p w14:paraId="3FEBC72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70.3</w:t>
                  </w:r>
                </w:p>
              </w:tc>
              <w:tc>
                <w:tcPr>
                  <w:tcW w:w="684" w:type="dxa"/>
                  <w:shd w:val="clear" w:color="auto" w:fill="auto"/>
                  <w:noWrap/>
                  <w:vAlign w:val="center"/>
                </w:tcPr>
                <w:p w14:paraId="6C9BD0B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135560</w:t>
                  </w:r>
                </w:p>
              </w:tc>
              <w:tc>
                <w:tcPr>
                  <w:tcW w:w="684" w:type="dxa"/>
                  <w:shd w:val="clear" w:color="auto" w:fill="auto"/>
                  <w:noWrap/>
                  <w:vAlign w:val="center"/>
                </w:tcPr>
                <w:p w14:paraId="6C0662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385.46</w:t>
                  </w:r>
                </w:p>
              </w:tc>
              <w:tc>
                <w:tcPr>
                  <w:tcW w:w="684" w:type="dxa"/>
                  <w:shd w:val="clear" w:color="auto" w:fill="auto"/>
                  <w:noWrap/>
                  <w:vAlign w:val="center"/>
                </w:tcPr>
                <w:p w14:paraId="53547AA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1742.2</w:t>
                  </w:r>
                </w:p>
              </w:tc>
              <w:tc>
                <w:tcPr>
                  <w:tcW w:w="684" w:type="dxa"/>
                  <w:shd w:val="clear" w:color="auto" w:fill="auto"/>
                  <w:noWrap/>
                  <w:vAlign w:val="center"/>
                </w:tcPr>
                <w:p w14:paraId="4EF754D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i w:val="0"/>
                      <w:iCs w:val="0"/>
                      <w:color w:val="auto"/>
                      <w:kern w:val="0"/>
                      <w:sz w:val="20"/>
                      <w:szCs w:val="20"/>
                      <w:highlight w:val="none"/>
                      <w:u w:val="none"/>
                      <w:lang w:val="en-US" w:eastAsia="zh-CN" w:bidi="ar"/>
                    </w:rPr>
                    <w:t>1742.2</w:t>
                  </w:r>
                </w:p>
              </w:tc>
              <w:tc>
                <w:tcPr>
                  <w:tcW w:w="770" w:type="dxa"/>
                  <w:shd w:val="clear" w:color="auto" w:fill="auto"/>
                  <w:noWrap/>
                  <w:vAlign w:val="center"/>
                </w:tcPr>
                <w:p w14:paraId="1CF6B2F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857.11</w:t>
                  </w:r>
                </w:p>
              </w:tc>
              <w:tc>
                <w:tcPr>
                  <w:tcW w:w="606" w:type="dxa"/>
                  <w:shd w:val="clear" w:color="auto" w:fill="auto"/>
                  <w:noWrap/>
                  <w:vAlign w:val="center"/>
                </w:tcPr>
                <w:p w14:paraId="18AFE4E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z w:val="20"/>
                      <w:szCs w:val="20"/>
                      <w:highlight w:val="none"/>
                      <w:lang w:val="en-US"/>
                    </w:rPr>
                  </w:pPr>
                  <w:r>
                    <w:rPr>
                      <w:rFonts w:hint="default" w:ascii="Times New Roman" w:hAnsi="Times New Roman" w:eastAsia="宋体" w:cs="Times New Roman"/>
                      <w:i w:val="0"/>
                      <w:iCs w:val="0"/>
                      <w:color w:val="auto"/>
                      <w:kern w:val="0"/>
                      <w:sz w:val="20"/>
                      <w:szCs w:val="20"/>
                      <w:highlight w:val="none"/>
                      <w:u w:val="none"/>
                      <w:lang w:val="en-US" w:eastAsia="zh-CN" w:bidi="ar"/>
                    </w:rPr>
                    <w:t>924.32</w:t>
                  </w:r>
                </w:p>
              </w:tc>
            </w:tr>
          </w:tbl>
          <w:p w14:paraId="34912A5C">
            <w:pPr>
              <w:keepNext w:val="0"/>
              <w:keepLines w:val="0"/>
              <w:pageBreakBefore w:val="0"/>
              <w:widowControl w:val="0"/>
              <w:kinsoku/>
              <w:wordWrap/>
              <w:overflowPunct/>
              <w:topLinePunct w:val="0"/>
              <w:autoSpaceDE/>
              <w:autoSpaceDN/>
              <w:bidi w:val="0"/>
              <w:ind w:firstLine="420" w:firstLineChars="200"/>
              <w:jc w:val="both"/>
              <w:rPr>
                <w:rFonts w:hint="default"/>
                <w:color w:val="auto"/>
                <w:sz w:val="21"/>
                <w:szCs w:val="21"/>
                <w:highlight w:val="none"/>
                <w:lang w:val="en-US" w:eastAsia="zh-CN"/>
              </w:rPr>
            </w:pPr>
          </w:p>
          <w:p w14:paraId="4A44D65D">
            <w:pPr>
              <w:pStyle w:val="10"/>
              <w:keepNext w:val="0"/>
              <w:keepLines w:val="0"/>
              <w:pageBreakBefore w:val="0"/>
              <w:widowControl w:val="0"/>
              <w:kinsoku/>
              <w:wordWrap/>
              <w:overflowPunct/>
              <w:topLinePunct w:val="0"/>
              <w:autoSpaceDE/>
              <w:autoSpaceDN/>
              <w:bidi w:val="0"/>
              <w:ind w:firstLine="420" w:firstLineChars="200"/>
              <w:jc w:val="both"/>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现有工程全厂水平衡图见下图。</w:t>
            </w:r>
          </w:p>
          <w:p w14:paraId="5FD2D26D">
            <w:pPr>
              <w:pStyle w:val="2"/>
              <w:rPr>
                <w:rFonts w:hint="default"/>
                <w:color w:val="auto"/>
                <w:highlight w:val="none"/>
                <w:lang w:val="en-US" w:eastAsia="zh-CN"/>
              </w:rPr>
            </w:pPr>
          </w:p>
          <w:p w14:paraId="03D17D02">
            <w:pPr>
              <w:pStyle w:val="2"/>
              <w:rPr>
                <w:rFonts w:hint="default"/>
                <w:color w:val="auto"/>
                <w:highlight w:val="none"/>
                <w:lang w:val="en-US" w:eastAsia="zh-CN"/>
              </w:rPr>
            </w:pPr>
          </w:p>
          <w:p w14:paraId="31E763A4">
            <w:pPr>
              <w:pStyle w:val="2"/>
              <w:rPr>
                <w:rFonts w:hint="default"/>
                <w:color w:val="auto"/>
                <w:highlight w:val="none"/>
                <w:lang w:val="en-US" w:eastAsia="zh-CN"/>
              </w:rPr>
            </w:pPr>
          </w:p>
          <w:p w14:paraId="301C1A4F">
            <w:pPr>
              <w:pStyle w:val="2"/>
              <w:rPr>
                <w:rFonts w:hint="default"/>
                <w:color w:val="auto"/>
                <w:highlight w:val="none"/>
                <w:lang w:val="en-US" w:eastAsia="zh-CN"/>
              </w:rPr>
            </w:pPr>
          </w:p>
          <w:p w14:paraId="16137D71">
            <w:pPr>
              <w:pStyle w:val="2"/>
              <w:rPr>
                <w:rFonts w:hint="default"/>
                <w:color w:val="auto"/>
                <w:highlight w:val="none"/>
                <w:lang w:val="en-US" w:eastAsia="zh-CN"/>
              </w:rPr>
            </w:pPr>
          </w:p>
          <w:p w14:paraId="1CC35F18">
            <w:pPr>
              <w:pStyle w:val="2"/>
              <w:rPr>
                <w:rFonts w:hint="default"/>
                <w:color w:val="auto"/>
                <w:highlight w:val="none"/>
                <w:lang w:val="en-US" w:eastAsia="zh-CN"/>
              </w:rPr>
            </w:pPr>
          </w:p>
          <w:p w14:paraId="10753781">
            <w:pPr>
              <w:pStyle w:val="2"/>
              <w:rPr>
                <w:rFonts w:hint="default"/>
                <w:color w:val="auto"/>
                <w:highlight w:val="none"/>
                <w:lang w:val="en-US" w:eastAsia="zh-CN"/>
              </w:rPr>
            </w:pPr>
          </w:p>
          <w:p w14:paraId="62E343ED">
            <w:pPr>
              <w:pStyle w:val="2"/>
              <w:rPr>
                <w:rFonts w:hint="default"/>
                <w:color w:val="auto"/>
                <w:highlight w:val="none"/>
                <w:lang w:val="en-US" w:eastAsia="zh-CN"/>
              </w:rPr>
            </w:pPr>
          </w:p>
          <w:p w14:paraId="2A859B38">
            <w:pPr>
              <w:pStyle w:val="2"/>
              <w:rPr>
                <w:rFonts w:hint="default"/>
                <w:color w:val="auto"/>
                <w:highlight w:val="none"/>
                <w:lang w:val="en-US" w:eastAsia="zh-CN"/>
              </w:rPr>
            </w:pPr>
          </w:p>
          <w:p w14:paraId="05675BBF">
            <w:pPr>
              <w:pStyle w:val="2"/>
              <w:rPr>
                <w:rFonts w:hint="default"/>
                <w:color w:val="auto"/>
                <w:highlight w:val="none"/>
                <w:lang w:val="en-US" w:eastAsia="zh-CN"/>
              </w:rPr>
            </w:pPr>
          </w:p>
          <w:p w14:paraId="09093743">
            <w:pPr>
              <w:pStyle w:val="2"/>
              <w:rPr>
                <w:rFonts w:hint="default"/>
                <w:color w:val="auto"/>
                <w:highlight w:val="none"/>
                <w:lang w:val="en-US" w:eastAsia="zh-CN"/>
              </w:rPr>
            </w:pPr>
          </w:p>
          <w:p w14:paraId="34BCC3D9">
            <w:pPr>
              <w:pStyle w:val="2"/>
              <w:rPr>
                <w:rFonts w:hint="default"/>
                <w:color w:val="auto"/>
                <w:highlight w:val="none"/>
                <w:lang w:val="en-US" w:eastAsia="zh-CN"/>
              </w:rPr>
            </w:pPr>
          </w:p>
          <w:p w14:paraId="38A554AC">
            <w:pPr>
              <w:pStyle w:val="2"/>
              <w:rPr>
                <w:rFonts w:hint="default"/>
                <w:color w:val="auto"/>
                <w:highlight w:val="none"/>
                <w:lang w:val="en-US" w:eastAsia="zh-CN"/>
              </w:rPr>
            </w:pPr>
          </w:p>
          <w:p w14:paraId="501A6578">
            <w:pPr>
              <w:pStyle w:val="2"/>
              <w:rPr>
                <w:rFonts w:hint="default"/>
                <w:color w:val="auto"/>
                <w:highlight w:val="none"/>
                <w:lang w:val="en-US" w:eastAsia="zh-CN"/>
              </w:rPr>
            </w:pPr>
          </w:p>
          <w:p w14:paraId="2B11A99B">
            <w:pPr>
              <w:pStyle w:val="2"/>
              <w:rPr>
                <w:rFonts w:hint="default"/>
                <w:color w:val="auto"/>
                <w:highlight w:val="none"/>
                <w:lang w:val="en-US" w:eastAsia="zh-CN"/>
              </w:rPr>
            </w:pPr>
          </w:p>
          <w:p w14:paraId="5E040013">
            <w:pPr>
              <w:pStyle w:val="2"/>
              <w:rPr>
                <w:rFonts w:hint="default"/>
                <w:color w:val="auto"/>
                <w:highlight w:val="none"/>
                <w:lang w:val="en-US" w:eastAsia="zh-CN"/>
              </w:rPr>
            </w:pPr>
            <w:r>
              <w:rPr>
                <w:color w:val="auto"/>
                <w:sz w:val="24"/>
                <w:highlight w:val="none"/>
              </w:rPr>
              <mc:AlternateContent>
                <mc:Choice Requires="wpg">
                  <w:drawing>
                    <wp:anchor distT="0" distB="0" distL="114300" distR="114300" simplePos="0" relativeHeight="251666432" behindDoc="0" locked="0" layoutInCell="1" allowOverlap="1">
                      <wp:simplePos x="0" y="0"/>
                      <wp:positionH relativeFrom="column">
                        <wp:posOffset>33655</wp:posOffset>
                      </wp:positionH>
                      <wp:positionV relativeFrom="paragraph">
                        <wp:posOffset>179705</wp:posOffset>
                      </wp:positionV>
                      <wp:extent cx="4912360" cy="7764780"/>
                      <wp:effectExtent l="0" t="0" r="0" b="0"/>
                      <wp:wrapNone/>
                      <wp:docPr id="69" name="组合 69"/>
                      <wp:cNvGraphicFramePr/>
                      <a:graphic xmlns:a="http://schemas.openxmlformats.org/drawingml/2006/main">
                        <a:graphicData uri="http://schemas.microsoft.com/office/word/2010/wordprocessingGroup">
                          <wpg:wgp>
                            <wpg:cNvGrpSpPr/>
                            <wpg:grpSpPr>
                              <a:xfrm>
                                <a:off x="0" y="0"/>
                                <a:ext cx="4912174" cy="7764746"/>
                                <a:chOff x="3084" y="945442"/>
                                <a:chExt cx="7736" cy="12228"/>
                              </a:xfrm>
                            </wpg:grpSpPr>
                            <wpg:grpSp>
                              <wpg:cNvPr id="64" name="组合 64"/>
                              <wpg:cNvGrpSpPr/>
                              <wpg:grpSpPr>
                                <a:xfrm>
                                  <a:off x="3084" y="945442"/>
                                  <a:ext cx="7736" cy="12228"/>
                                  <a:chOff x="2536" y="944470"/>
                                  <a:chExt cx="8186" cy="12921"/>
                                </a:xfrm>
                              </wpg:grpSpPr>
                              <wps:wsp>
                                <wps:cNvPr id="2" name="直接连接符 1"/>
                                <wps:cNvCnPr/>
                                <wps:spPr>
                                  <a:xfrm>
                                    <a:off x="8299" y="944999"/>
                                    <a:ext cx="611" cy="0"/>
                                  </a:xfrm>
                                  <a:prstGeom prst="line">
                                    <a:avLst/>
                                  </a:prstGeom>
                                  <a:ln w="9525" cap="flat" cmpd="sng">
                                    <a:solidFill>
                                      <a:srgbClr val="000000"/>
                                    </a:solidFill>
                                    <a:prstDash val="solid"/>
                                    <a:round/>
                                    <a:headEnd type="none" w="med" len="med"/>
                                    <a:tailEnd type="triangle" w="med" len="med"/>
                                  </a:ln>
                                  <a:effectLst/>
                                </wps:spPr>
                                <wps:bodyPr/>
                              </wps:wsp>
                              <wpg:grpSp>
                                <wpg:cNvPr id="23" name="组合 23"/>
                                <wpg:cNvGrpSpPr/>
                                <wpg:grpSpPr>
                                  <a:xfrm rot="0">
                                    <a:off x="2536" y="944470"/>
                                    <a:ext cx="8186" cy="12921"/>
                                    <a:chOff x="2191" y="3395748"/>
                                    <a:chExt cx="9097" cy="13731"/>
                                  </a:xfrm>
                                </wpg:grpSpPr>
                                <wps:wsp>
                                  <wps:cNvPr id="28" name="直接连接符 90"/>
                                  <wps:cNvCnPr/>
                                  <wps:spPr>
                                    <a:xfrm>
                                      <a:off x="3746" y="3396080"/>
                                      <a:ext cx="1" cy="12359"/>
                                    </a:xfrm>
                                    <a:prstGeom prst="line">
                                      <a:avLst/>
                                    </a:prstGeom>
                                    <a:ln w="9525" cap="flat" cmpd="sng">
                                      <a:solidFill>
                                        <a:srgbClr val="000000"/>
                                      </a:solidFill>
                                      <a:prstDash val="solid"/>
                                      <a:round/>
                                      <a:headEnd type="none" w="med" len="med"/>
                                      <a:tailEnd type="none" w="med" len="med"/>
                                    </a:ln>
                                    <a:effectLst/>
                                  </wps:spPr>
                                  <wps:bodyPr/>
                                </wps:wsp>
                                <wpg:grpSp>
                                  <wpg:cNvPr id="29" name="组合 1090"/>
                                  <wpg:cNvGrpSpPr/>
                                  <wpg:grpSpPr>
                                    <a:xfrm>
                                      <a:off x="3754" y="3395748"/>
                                      <a:ext cx="7396" cy="4858"/>
                                      <a:chOff x="3791" y="1888"/>
                                      <a:chExt cx="7396" cy="4858"/>
                                    </a:xfrm>
                                  </wpg:grpSpPr>
                                  <wps:wsp>
                                    <wps:cNvPr id="6" name="矩形 402"/>
                                    <wps:cNvSpPr/>
                                    <wps:spPr>
                                      <a:xfrm>
                                        <a:off x="9275" y="1888"/>
                                        <a:ext cx="1912" cy="958"/>
                                      </a:xfrm>
                                      <a:prstGeom prst="rect">
                                        <a:avLst/>
                                      </a:prstGeom>
                                      <a:noFill/>
                                      <a:ln w="9525" cap="flat" cmpd="sng">
                                        <a:noFill/>
                                        <a:prstDash val="solid"/>
                                        <a:miter/>
                                        <a:headEnd type="none" w="med" len="med"/>
                                        <a:tailEnd type="none" w="med" len="med"/>
                                      </a:ln>
                                      <a:effectLst/>
                                    </wps:spPr>
                                    <wps:txbx>
                                      <w:txbxContent>
                                        <w:p w14:paraId="0A349545">
                                          <w:pPr>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Fonts w:hint="default" w:ascii="宋体" w:hAnsi="宋体" w:eastAsia="宋体" w:cs="宋体"/>
                                              <w:color w:val="auto"/>
                                              <w:kern w:val="0"/>
                                              <w:sz w:val="18"/>
                                              <w:szCs w:val="18"/>
                                              <w:lang w:val="en-US" w:eastAsia="zh-CN"/>
                                            </w:rPr>
                                          </w:pPr>
                                          <w:r>
                                            <w:rPr>
                                              <w:rFonts w:hint="eastAsia" w:ascii="宋体" w:hAnsi="宋体" w:eastAsia="宋体" w:cs="宋体"/>
                                              <w:kern w:val="0"/>
                                              <w:sz w:val="18"/>
                                              <w:szCs w:val="18"/>
                                            </w:rPr>
                                            <w:t>进</w:t>
                                          </w:r>
                                          <w:r>
                                            <w:rPr>
                                              <w:rFonts w:hint="eastAsia" w:ascii="宋体" w:hAnsi="宋体" w:eastAsia="宋体" w:cs="宋体"/>
                                              <w:color w:val="auto"/>
                                              <w:kern w:val="0"/>
                                              <w:sz w:val="18"/>
                                              <w:szCs w:val="18"/>
                                            </w:rPr>
                                            <w:t>入</w:t>
                                          </w:r>
                                          <w:r>
                                            <w:rPr>
                                              <w:rFonts w:hint="eastAsia" w:ascii="宋体" w:hAnsi="宋体" w:eastAsia="宋体" w:cs="宋体"/>
                                              <w:color w:val="auto"/>
                                              <w:kern w:val="0"/>
                                              <w:sz w:val="18"/>
                                              <w:szCs w:val="18"/>
                                              <w:lang w:val="en-US" w:eastAsia="zh-CN"/>
                                            </w:rPr>
                                            <w:t>氨基乙酸</w:t>
                                          </w:r>
                                          <w:r>
                                            <w:rPr>
                                              <w:rFonts w:hint="eastAsia" w:ascii="宋体" w:hAnsi="宋体" w:cs="宋体"/>
                                              <w:color w:val="auto"/>
                                              <w:kern w:val="0"/>
                                              <w:sz w:val="18"/>
                                              <w:szCs w:val="18"/>
                                              <w:lang w:val="en-US" w:eastAsia="zh-CN"/>
                                            </w:rPr>
                                            <w:t>产品及盐酸副产品</w:t>
                                          </w:r>
                                        </w:p>
                                        <w:p w14:paraId="694B791E">
                                          <w:pPr>
                                            <w:pStyle w:val="2"/>
                                            <w:keepNext w:val="0"/>
                                            <w:keepLines w:val="0"/>
                                            <w:pageBreakBefore w:val="0"/>
                                            <w:kinsoku/>
                                            <w:wordWrap/>
                                            <w:overflowPunct/>
                                            <w:topLinePunct w:val="0"/>
                                            <w:autoSpaceDE/>
                                            <w:autoSpaceDN/>
                                            <w:bidi w:val="0"/>
                                            <w:adjustRightInd/>
                                            <w:snapToGrid/>
                                            <w:spacing w:line="240" w:lineRule="auto"/>
                                            <w:textAlignment w:val="auto"/>
                                            <w:rPr>
                                              <w:rFonts w:hint="default" w:ascii="Times New Roman" w:hAnsi="Times New Roman" w:cs="Times New Roman"/>
                                              <w:kern w:val="0"/>
                                              <w:sz w:val="21"/>
                                              <w:szCs w:val="21"/>
                                              <w:lang w:val="en-US" w:eastAsia="zh-CN"/>
                                            </w:rPr>
                                          </w:pPr>
                                          <w:r>
                                            <w:rPr>
                                              <w:rFonts w:hint="eastAsia" w:cs="Times New Roman"/>
                                              <w:color w:val="auto"/>
                                              <w:kern w:val="0"/>
                                              <w:sz w:val="18"/>
                                              <w:szCs w:val="18"/>
                                              <w:lang w:val="en-US" w:eastAsia="zh-CN"/>
                                            </w:rPr>
                                            <w:t>382.81</w:t>
                                          </w:r>
                                        </w:p>
                                      </w:txbxContent>
                                    </wps:txbx>
                                    <wps:bodyPr upright="1"/>
                                  </wps:wsp>
                                  <wps:wsp>
                                    <wps:cNvPr id="397" name="矩形 6"/>
                                    <wps:cNvSpPr/>
                                    <wps:spPr>
                                      <a:xfrm>
                                        <a:off x="3945" y="1889"/>
                                        <a:ext cx="1190" cy="559"/>
                                      </a:xfrm>
                                      <a:prstGeom prst="rect">
                                        <a:avLst/>
                                      </a:prstGeom>
                                      <a:noFill/>
                                      <a:ln>
                                        <a:noFill/>
                                      </a:ln>
                                      <a:effectLst/>
                                    </wps:spPr>
                                    <wps:txbx>
                                      <w:txbxContent>
                                        <w:p w14:paraId="2AE8D74A">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1200.81</w:t>
                                          </w:r>
                                        </w:p>
                                      </w:txbxContent>
                                    </wps:txbx>
                                    <wps:bodyPr upright="1"/>
                                  </wps:wsp>
                                  <wps:wsp>
                                    <wps:cNvPr id="398" name="矩形 4"/>
                                    <wps:cNvSpPr/>
                                    <wps:spPr>
                                      <a:xfrm>
                                        <a:off x="5183" y="2038"/>
                                        <a:ext cx="3414" cy="4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945772">
                                          <w:pPr>
                                            <w:widowControl/>
                                            <w:spacing w:line="260" w:lineRule="exact"/>
                                            <w:ind w:firstLine="0" w:firstLineChars="0"/>
                                            <w:jc w:val="center"/>
                                            <w:rPr>
                                              <w:rFonts w:ascii="宋体" w:hAnsi="宋体" w:eastAsia="宋体" w:cs="宋体"/>
                                              <w:kern w:val="0"/>
                                              <w:sz w:val="20"/>
                                              <w:szCs w:val="20"/>
                                            </w:rPr>
                                          </w:pPr>
                                          <w:r>
                                            <w:rPr>
                                              <w:rFonts w:hint="eastAsia" w:ascii="宋体" w:hAnsi="宋体" w:eastAsia="宋体" w:cs="宋体"/>
                                              <w:kern w:val="0"/>
                                              <w:sz w:val="20"/>
                                              <w:szCs w:val="20"/>
                                            </w:rPr>
                                            <w:t>氨基乙酸与氯乙酸用水</w:t>
                                          </w:r>
                                          <w:r>
                                            <w:rPr>
                                              <w:rFonts w:hint="default" w:ascii="Times New Roman" w:hAnsi="Times New Roman" w:eastAsia="宋体" w:cs="Times New Roman"/>
                                              <w:kern w:val="0"/>
                                              <w:sz w:val="20"/>
                                              <w:szCs w:val="20"/>
                                            </w:rPr>
                                            <w:t>（-</w:t>
                                          </w:r>
                                          <w:r>
                                            <w:rPr>
                                              <w:rFonts w:hint="default" w:ascii="Times New Roman" w:hAnsi="Times New Roman" w:cs="Times New Roman"/>
                                              <w:kern w:val="0"/>
                                              <w:sz w:val="20"/>
                                              <w:szCs w:val="20"/>
                                              <w:lang w:val="en-US" w:eastAsia="zh-CN"/>
                                            </w:rPr>
                                            <w:t>69</w:t>
                                          </w:r>
                                          <w:r>
                                            <w:rPr>
                                              <w:rFonts w:hint="default" w:ascii="Times New Roman" w:hAnsi="Times New Roman" w:eastAsia="宋体" w:cs="Times New Roman"/>
                                              <w:kern w:val="0"/>
                                              <w:sz w:val="20"/>
                                              <w:szCs w:val="20"/>
                                            </w:rPr>
                                            <w:t>）</w:t>
                                          </w:r>
                                        </w:p>
                                      </w:txbxContent>
                                    </wps:txbx>
                                    <wps:bodyPr upright="1"/>
                                  </wps:wsp>
                                  <wps:wsp>
                                    <wps:cNvPr id="30" name="矩形 34"/>
                                    <wps:cNvSpPr/>
                                    <wps:spPr>
                                      <a:xfrm>
                                        <a:off x="6173" y="2544"/>
                                        <a:ext cx="1198" cy="395"/>
                                      </a:xfrm>
                                      <a:prstGeom prst="rect">
                                        <a:avLst/>
                                      </a:prstGeom>
                                      <a:noFill/>
                                      <a:ln>
                                        <a:noFill/>
                                      </a:ln>
                                      <a:effectLst/>
                                    </wps:spPr>
                                    <wps:txbx>
                                      <w:txbxContent>
                                        <w:p w14:paraId="2CFCDE2E">
                                          <w:pPr>
                                            <w:widowControl w:val="0"/>
                                            <w:autoSpaceDE w:val="0"/>
                                            <w:autoSpaceDN w:val="0"/>
                                            <w:spacing w:line="240" w:lineRule="exact"/>
                                            <w:ind w:left="-120" w:leftChars="-50" w:right="-120" w:rightChars="-50" w:firstLine="0" w:firstLineChars="0"/>
                                            <w:jc w:val="center"/>
                                            <w:rPr>
                                              <w:rFonts w:ascii="宋体" w:hAnsi="宋体" w:eastAsia="宋体" w:cs="宋体"/>
                                              <w:kern w:val="0"/>
                                            </w:rPr>
                                          </w:pPr>
                                          <w:r>
                                            <w:rPr>
                                              <w:rFonts w:hint="eastAsia" w:ascii="Times New Roman" w:hAnsi="Times New Roman" w:eastAsia="宋体" w:cs="Times New Roman"/>
                                              <w:kern w:val="0"/>
                                              <w:sz w:val="21"/>
                                              <w:szCs w:val="21"/>
                                            </w:rPr>
                                            <w:t>750</w:t>
                                          </w:r>
                                        </w:p>
                                      </w:txbxContent>
                                    </wps:txbx>
                                    <wps:bodyPr upright="1"/>
                                  </wps:wsp>
                                  <wps:wsp>
                                    <wps:cNvPr id="49" name="直接连接符 44"/>
                                    <wps:cNvCnPr/>
                                    <wps:spPr>
                                      <a:xfrm flipH="1">
                                        <a:off x="6444" y="2483"/>
                                        <a:ext cx="1" cy="510"/>
                                      </a:xfrm>
                                      <a:prstGeom prst="line">
                                        <a:avLst/>
                                      </a:prstGeom>
                                      <a:ln w="9525" cap="flat" cmpd="sng">
                                        <a:solidFill>
                                          <a:srgbClr val="000000"/>
                                        </a:solidFill>
                                        <a:prstDash val="solid"/>
                                        <a:round/>
                                        <a:headEnd type="none" w="med" len="med"/>
                                        <a:tailEnd type="triangle" w="med" len="med"/>
                                      </a:ln>
                                      <a:effectLst/>
                                    </wps:spPr>
                                    <wps:bodyPr/>
                                  </wps:wsp>
                                  <wps:wsp>
                                    <wps:cNvPr id="106" name="直接连接符 5"/>
                                    <wps:cNvCnPr/>
                                    <wps:spPr>
                                      <a:xfrm>
                                        <a:off x="3791" y="2265"/>
                                        <a:ext cx="1417" cy="1"/>
                                      </a:xfrm>
                                      <a:prstGeom prst="line">
                                        <a:avLst/>
                                      </a:prstGeom>
                                      <a:ln w="9525" cap="flat" cmpd="sng">
                                        <a:solidFill>
                                          <a:srgbClr val="000000"/>
                                        </a:solidFill>
                                        <a:prstDash val="solid"/>
                                        <a:round/>
                                        <a:headEnd type="none" w="med" len="med"/>
                                        <a:tailEnd type="triangle" w="med" len="med"/>
                                      </a:ln>
                                      <a:effectLst/>
                                    </wps:spPr>
                                    <wps:bodyPr/>
                                  </wps:wsp>
                                  <wps:wsp>
                                    <wps:cNvPr id="403" name="直接连接符 1"/>
                                    <wps:cNvCnPr/>
                                    <wps:spPr>
                                      <a:xfrm>
                                        <a:off x="8620" y="2252"/>
                                        <a:ext cx="679" cy="0"/>
                                      </a:xfrm>
                                      <a:prstGeom prst="line">
                                        <a:avLst/>
                                      </a:prstGeom>
                                      <a:ln w="9525" cap="flat" cmpd="sng">
                                        <a:solidFill>
                                          <a:srgbClr val="000000"/>
                                        </a:solidFill>
                                        <a:prstDash val="solid"/>
                                        <a:round/>
                                        <a:headEnd type="none" w="med" len="med"/>
                                        <a:tailEnd type="triangle" w="med" len="med"/>
                                      </a:ln>
                                      <a:effectLst/>
                                    </wps:spPr>
                                    <wps:bodyPr/>
                                  </wps:wsp>
                                  <wps:wsp>
                                    <wps:cNvPr id="110" name="矩形 43"/>
                                    <wps:cNvSpPr/>
                                    <wps:spPr>
                                      <a:xfrm>
                                        <a:off x="5317" y="3001"/>
                                        <a:ext cx="2474" cy="43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8783D02">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甲醇精馏车间</w:t>
                                          </w:r>
                                        </w:p>
                                      </w:txbxContent>
                                    </wps:txbx>
                                    <wps:bodyPr upright="1"/>
                                  </wps:wsp>
                                  <wpg:grpSp>
                                    <wpg:cNvPr id="38" name="组合 170"/>
                                    <wpg:cNvGrpSpPr/>
                                    <wpg:grpSpPr>
                                      <a:xfrm>
                                        <a:off x="7583" y="3381"/>
                                        <a:ext cx="2809" cy="500"/>
                                        <a:chOff x="10031" y="8490"/>
                                        <a:chExt cx="2809" cy="500"/>
                                      </a:xfrm>
                                    </wpg:grpSpPr>
                                    <wps:wsp>
                                      <wps:cNvPr id="408" name="矩形 81"/>
                                      <wps:cNvSpPr/>
                                      <wps:spPr>
                                        <a:xfrm>
                                          <a:off x="10702" y="8490"/>
                                          <a:ext cx="2138" cy="492"/>
                                        </a:xfrm>
                                        <a:prstGeom prst="rect">
                                          <a:avLst/>
                                        </a:prstGeom>
                                        <a:noFill/>
                                        <a:ln w="9525" cap="flat" cmpd="sng">
                                          <a:noFill/>
                                          <a:prstDash val="solid"/>
                                          <a:miter/>
                                          <a:headEnd type="none" w="med" len="med"/>
                                          <a:tailEnd type="none" w="med" len="med"/>
                                        </a:ln>
                                        <a:effectLst/>
                                      </wps:spPr>
                                      <wps:txbx>
                                        <w:txbxContent>
                                          <w:p w14:paraId="1D475E9F">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进入</w:t>
                                            </w:r>
                                            <w:r>
                                              <w:rPr>
                                                <w:rFonts w:hint="eastAsia" w:ascii="宋体" w:hAnsi="宋体" w:eastAsia="宋体" w:cs="宋体"/>
                                                <w:kern w:val="0"/>
                                                <w:sz w:val="21"/>
                                                <w:szCs w:val="21"/>
                                                <w:lang w:val="en-US" w:eastAsia="zh-CN"/>
                                              </w:rPr>
                                              <w:t>氯化铵</w:t>
                                            </w:r>
                                            <w:r>
                                              <w:rPr>
                                                <w:rFonts w:hint="default" w:ascii="Times New Roman" w:hAnsi="Times New Roman" w:eastAsia="宋体" w:cs="Times New Roman"/>
                                                <w:kern w:val="0"/>
                                                <w:sz w:val="21"/>
                                                <w:szCs w:val="21"/>
                                              </w:rPr>
                                              <w:t>33</w:t>
                                            </w:r>
                                          </w:p>
                                        </w:txbxContent>
                                      </wps:txbx>
                                      <wps:bodyPr upright="1"/>
                                    </wps:wsp>
                                    <wps:wsp>
                                      <wps:cNvPr id="112" name="直接连接符 82"/>
                                      <wps:cNvCnPr/>
                                      <wps:spPr>
                                        <a:xfrm>
                                          <a:off x="10050" y="8720"/>
                                          <a:ext cx="850" cy="11"/>
                                        </a:xfrm>
                                        <a:prstGeom prst="line">
                                          <a:avLst/>
                                        </a:prstGeom>
                                        <a:ln w="9525" cap="flat" cmpd="sng">
                                          <a:solidFill>
                                            <a:srgbClr val="000000"/>
                                          </a:solidFill>
                                          <a:prstDash val="solid"/>
                                          <a:round/>
                                          <a:headEnd type="none" w="med" len="med"/>
                                          <a:tailEnd type="triangle" w="med" len="med"/>
                                        </a:ln>
                                        <a:effectLst/>
                                      </wps:spPr>
                                      <wps:bodyPr/>
                                    </wps:wsp>
                                    <wps:wsp>
                                      <wps:cNvPr id="113" name="直接连接符 82"/>
                                      <wps:cNvCnPr/>
                                      <wps:spPr>
                                        <a:xfrm flipV="1">
                                          <a:off x="10031" y="8707"/>
                                          <a:ext cx="1" cy="283"/>
                                        </a:xfrm>
                                        <a:prstGeom prst="line">
                                          <a:avLst/>
                                        </a:prstGeom>
                                        <a:ln w="9525" cap="flat" cmpd="sng">
                                          <a:solidFill>
                                            <a:srgbClr val="000000"/>
                                          </a:solidFill>
                                          <a:prstDash val="solid"/>
                                          <a:round/>
                                          <a:headEnd type="none" w="med" len="med"/>
                                          <a:tailEnd type="none" w="med" len="med"/>
                                        </a:ln>
                                        <a:effectLst/>
                                      </wps:spPr>
                                      <wps:bodyPr/>
                                    </wps:wsp>
                                  </wpg:grpSp>
                                  <wps:wsp>
                                    <wps:cNvPr id="115" name="直接连接符 44"/>
                                    <wps:cNvCnPr/>
                                    <wps:spPr>
                                      <a:xfrm flipH="1">
                                        <a:off x="6438" y="3405"/>
                                        <a:ext cx="1" cy="510"/>
                                      </a:xfrm>
                                      <a:prstGeom prst="line">
                                        <a:avLst/>
                                      </a:prstGeom>
                                      <a:ln w="9525" cap="flat" cmpd="sng">
                                        <a:solidFill>
                                          <a:srgbClr val="000000"/>
                                        </a:solidFill>
                                        <a:prstDash val="solid"/>
                                        <a:round/>
                                        <a:headEnd type="none" w="med" len="med"/>
                                        <a:tailEnd type="triangle" w="med" len="med"/>
                                      </a:ln>
                                      <a:effectLst/>
                                    </wps:spPr>
                                    <wps:bodyPr/>
                                  </wps:wsp>
                                  <wps:wsp>
                                    <wps:cNvPr id="412" name="矩形 34"/>
                                    <wps:cNvSpPr/>
                                    <wps:spPr>
                                      <a:xfrm>
                                        <a:off x="6231" y="3459"/>
                                        <a:ext cx="978" cy="395"/>
                                      </a:xfrm>
                                      <a:prstGeom prst="rect">
                                        <a:avLst/>
                                      </a:prstGeom>
                                      <a:noFill/>
                                      <a:ln>
                                        <a:noFill/>
                                      </a:ln>
                                      <a:effectLst/>
                                    </wps:spPr>
                                    <wps:txbx>
                                      <w:txbxContent>
                                        <w:p w14:paraId="28D26054">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535</w:t>
                                          </w:r>
                                        </w:p>
                                      </w:txbxContent>
                                    </wps:txbx>
                                    <wps:bodyPr upright="1"/>
                                  </wps:wsp>
                                  <wps:wsp>
                                    <wps:cNvPr id="117" name="矩形 21"/>
                                    <wps:cNvSpPr/>
                                    <wps:spPr>
                                      <a:xfrm>
                                        <a:off x="8565" y="3846"/>
                                        <a:ext cx="2341" cy="463"/>
                                      </a:xfrm>
                                      <a:prstGeom prst="rect">
                                        <a:avLst/>
                                      </a:prstGeom>
                                      <a:noFill/>
                                      <a:ln w="9525" cap="flat" cmpd="sng">
                                        <a:noFill/>
                                        <a:prstDash val="solid"/>
                                        <a:miter/>
                                        <a:headEnd type="none" w="med" len="med"/>
                                        <a:tailEnd type="none" w="med" len="med"/>
                                      </a:ln>
                                      <a:effectLst/>
                                    </wps:spPr>
                                    <wps:txbx>
                                      <w:txbxContent>
                                        <w:p w14:paraId="14BEF7E2">
                                          <w:pPr>
                                            <w:widowControl/>
                                            <w:spacing w:line="240" w:lineRule="auto"/>
                                            <w:ind w:firstLine="0" w:firstLineChars="0"/>
                                            <w:jc w:val="center"/>
                                            <w:rPr>
                                              <w:rFonts w:hint="default" w:ascii="Times New Roman" w:hAnsi="Times New Roman" w:eastAsia="宋体" w:cs="Times New Roman"/>
                                              <w:kern w:val="0"/>
                                              <w:sz w:val="21"/>
                                              <w:szCs w:val="21"/>
                                            </w:rPr>
                                          </w:pPr>
                                          <w:r>
                                            <w:rPr>
                                              <w:rFonts w:hint="eastAsia" w:ascii="宋体" w:hAnsi="宋体" w:eastAsia="宋体" w:cs="宋体"/>
                                              <w:kern w:val="0"/>
                                              <w:sz w:val="21"/>
                                              <w:szCs w:val="21"/>
                                            </w:rPr>
                                            <w:t>进入水溶</w:t>
                                          </w:r>
                                          <w:r>
                                            <w:rPr>
                                              <w:rFonts w:hint="default" w:ascii="Times New Roman" w:hAnsi="Times New Roman" w:eastAsia="宋体" w:cs="Times New Roman"/>
                                              <w:kern w:val="0"/>
                                              <w:sz w:val="21"/>
                                              <w:szCs w:val="21"/>
                                            </w:rPr>
                                            <w:t>肥47.2</w:t>
                                          </w:r>
                                        </w:p>
                                      </w:txbxContent>
                                    </wps:txbx>
                                    <wps:bodyPr upright="1"/>
                                  </wps:wsp>
                                  <wps:wsp>
                                    <wps:cNvPr id="414" name="直接连接符 153"/>
                                    <wps:cNvCnPr/>
                                    <wps:spPr>
                                      <a:xfrm>
                                        <a:off x="7975" y="4109"/>
                                        <a:ext cx="794" cy="1"/>
                                      </a:xfrm>
                                      <a:prstGeom prst="line">
                                        <a:avLst/>
                                      </a:prstGeom>
                                      <a:ln w="9525" cap="flat" cmpd="sng">
                                        <a:solidFill>
                                          <a:srgbClr val="000000"/>
                                        </a:solidFill>
                                        <a:prstDash val="solid"/>
                                        <a:round/>
                                        <a:headEnd type="none" w="med" len="med"/>
                                        <a:tailEnd type="triangle" w="med" len="med"/>
                                      </a:ln>
                                      <a:effectLst/>
                                    </wps:spPr>
                                    <wps:bodyPr/>
                                  </wps:wsp>
                                  <wps:wsp>
                                    <wps:cNvPr id="118" name="直接连接符 154"/>
                                    <wps:cNvCnPr/>
                                    <wps:spPr>
                                      <a:xfrm>
                                        <a:off x="3801" y="4109"/>
                                        <a:ext cx="931" cy="4"/>
                                      </a:xfrm>
                                      <a:prstGeom prst="line">
                                        <a:avLst/>
                                      </a:prstGeom>
                                      <a:ln w="9525" cap="flat" cmpd="sng">
                                        <a:solidFill>
                                          <a:srgbClr val="000000"/>
                                        </a:solidFill>
                                        <a:prstDash val="solid"/>
                                        <a:round/>
                                        <a:headEnd type="none" w="med" len="med"/>
                                        <a:tailEnd type="triangle" w="med" len="med"/>
                                      </a:ln>
                                      <a:effectLst/>
                                    </wps:spPr>
                                    <wps:bodyPr/>
                                  </wps:wsp>
                                  <wps:wsp>
                                    <wps:cNvPr id="416" name="矩形 142"/>
                                    <wps:cNvSpPr/>
                                    <wps:spPr>
                                      <a:xfrm>
                                        <a:off x="4716" y="3901"/>
                                        <a:ext cx="3587" cy="44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7189A4">
                                          <w:pPr>
                                            <w:widowControl/>
                                            <w:spacing w:line="240" w:lineRule="auto"/>
                                            <w:ind w:firstLine="0" w:firstLineChars="0"/>
                                            <w:jc w:val="center"/>
                                            <w:rPr>
                                              <w:rFonts w:hint="default" w:ascii="宋体" w:hAnsi="宋体" w:eastAsia="宋体" w:cs="宋体"/>
                                              <w:color w:val="auto"/>
                                              <w:kern w:val="0"/>
                                              <w:sz w:val="21"/>
                                              <w:szCs w:val="21"/>
                                              <w:lang w:val="en-US" w:eastAsia="zh-CN"/>
                                            </w:rPr>
                                          </w:pPr>
                                          <w:r>
                                            <w:rPr>
                                              <w:rFonts w:hint="eastAsia" w:ascii="宋体" w:hAnsi="宋体" w:eastAsia="宋体" w:cs="宋体"/>
                                              <w:color w:val="auto"/>
                                              <w:kern w:val="0"/>
                                              <w:sz w:val="21"/>
                                              <w:szCs w:val="21"/>
                                            </w:rPr>
                                            <w:t>氯化铵回收工序</w:t>
                                          </w:r>
                                          <w:r>
                                            <w:rPr>
                                              <w:rFonts w:hint="eastAsia" w:ascii="宋体" w:hAnsi="宋体" w:eastAsia="宋体" w:cs="宋体"/>
                                              <w:color w:val="auto"/>
                                              <w:kern w:val="0"/>
                                              <w:sz w:val="21"/>
                                              <w:szCs w:val="21"/>
                                              <w:lang w:eastAsia="zh-CN"/>
                                            </w:rPr>
                                            <w:t>（</w:t>
                                          </w:r>
                                          <w:r>
                                            <w:rPr>
                                              <w:rFonts w:hint="eastAsia" w:ascii="宋体" w:hAnsi="宋体" w:eastAsia="宋体" w:cs="宋体"/>
                                              <w:color w:val="auto"/>
                                              <w:kern w:val="0"/>
                                              <w:sz w:val="21"/>
                                              <w:szCs w:val="21"/>
                                              <w:lang w:val="en-US" w:eastAsia="zh-CN"/>
                                            </w:rPr>
                                            <w:t>双效蒸发器</w:t>
                                          </w:r>
                                          <w:r>
                                            <w:rPr>
                                              <w:rFonts w:hint="eastAsia" w:ascii="宋体" w:hAnsi="宋体" w:eastAsia="宋体" w:cs="宋体"/>
                                              <w:color w:val="auto"/>
                                              <w:kern w:val="0"/>
                                              <w:sz w:val="21"/>
                                              <w:szCs w:val="21"/>
                                              <w:lang w:eastAsia="zh-CN"/>
                                            </w:rPr>
                                            <w:t>）</w:t>
                                          </w:r>
                                        </w:p>
                                      </w:txbxContent>
                                    </wps:txbx>
                                    <wps:bodyPr upright="1"/>
                                  </wps:wsp>
                                  <wps:wsp>
                                    <wps:cNvPr id="417" name="矩形 152"/>
                                    <wps:cNvSpPr/>
                                    <wps:spPr>
                                      <a:xfrm>
                                        <a:off x="6381" y="4342"/>
                                        <a:ext cx="1151" cy="601"/>
                                      </a:xfrm>
                                      <a:prstGeom prst="rect">
                                        <a:avLst/>
                                      </a:prstGeom>
                                      <a:noFill/>
                                      <a:ln>
                                        <a:noFill/>
                                      </a:ln>
                                      <a:effectLst/>
                                    </wps:spPr>
                                    <wps:txbx>
                                      <w:txbxContent>
                                        <w:p w14:paraId="6D3E7805">
                                          <w:pPr>
                                            <w:widowControl/>
                                            <w:spacing w:line="240" w:lineRule="auto"/>
                                            <w:ind w:firstLine="0" w:firstLineChars="0"/>
                                            <w:jc w:val="left"/>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457.2</w:t>
                                          </w:r>
                                        </w:p>
                                      </w:txbxContent>
                                    </wps:txbx>
                                    <wps:bodyPr upright="1"/>
                                  </wps:wsp>
                                  <wpg:grpSp>
                                    <wpg:cNvPr id="39" name="组合 171"/>
                                    <wpg:cNvGrpSpPr/>
                                    <wpg:grpSpPr>
                                      <a:xfrm>
                                        <a:off x="7033" y="5051"/>
                                        <a:ext cx="3783" cy="1186"/>
                                        <a:chOff x="9721" y="9155"/>
                                        <a:chExt cx="3783" cy="1186"/>
                                      </a:xfrm>
                                    </wpg:grpSpPr>
                                    <wps:wsp>
                                      <wps:cNvPr id="420" name="矩形 81"/>
                                      <wps:cNvSpPr/>
                                      <wps:spPr>
                                        <a:xfrm>
                                          <a:off x="9945" y="9801"/>
                                          <a:ext cx="2267" cy="530"/>
                                        </a:xfrm>
                                        <a:prstGeom prst="rect">
                                          <a:avLst/>
                                        </a:prstGeom>
                                        <a:noFill/>
                                        <a:ln w="9525" cap="flat" cmpd="sng">
                                          <a:noFill/>
                                          <a:prstDash val="solid"/>
                                          <a:miter/>
                                          <a:headEnd type="none" w="med" len="med"/>
                                          <a:tailEnd type="none" w="med" len="med"/>
                                        </a:ln>
                                        <a:effectLst/>
                                      </wps:spPr>
                                      <wps:txbx>
                                        <w:txbxContent>
                                          <w:p w14:paraId="11FE411C">
                                            <w:pPr>
                                              <w:widowControl/>
                                              <w:spacing w:line="240" w:lineRule="auto"/>
                                              <w:ind w:firstLine="0" w:firstLineChars="0"/>
                                              <w:jc w:val="center"/>
                                              <w:rPr>
                                                <w:rFonts w:hint="default" w:ascii="宋体" w:hAnsi="宋体" w:eastAsia="宋体" w:cs="宋体"/>
                                                <w:color w:val="auto"/>
                                                <w:kern w:val="0"/>
                                                <w:sz w:val="21"/>
                                                <w:szCs w:val="21"/>
                                                <w:lang w:val="en-US" w:eastAsia="zh-CN"/>
                                              </w:rPr>
                                            </w:pPr>
                                            <w:r>
                                              <w:rPr>
                                                <w:rFonts w:hint="eastAsia" w:ascii="宋体" w:hAnsi="宋体" w:eastAsia="宋体" w:cs="宋体"/>
                                                <w:color w:val="auto"/>
                                                <w:kern w:val="0"/>
                                                <w:sz w:val="21"/>
                                                <w:szCs w:val="21"/>
                                              </w:rPr>
                                              <w:t>进入</w:t>
                                            </w:r>
                                            <w:r>
                                              <w:rPr>
                                                <w:rFonts w:hint="eastAsia" w:ascii="宋体" w:hAnsi="宋体" w:eastAsia="宋体" w:cs="宋体"/>
                                                <w:color w:val="auto"/>
                                                <w:kern w:val="0"/>
                                                <w:sz w:val="21"/>
                                                <w:szCs w:val="21"/>
                                                <w:lang w:val="en-US" w:eastAsia="zh-CN"/>
                                              </w:rPr>
                                              <w:t>氨水</w:t>
                                            </w:r>
                                            <w:r>
                                              <w:rPr>
                                                <w:rFonts w:hint="default" w:ascii="Times New Roman" w:hAnsi="Times New Roman" w:eastAsia="宋体" w:cs="Times New Roman"/>
                                                <w:color w:val="auto"/>
                                                <w:kern w:val="0"/>
                                                <w:sz w:val="21"/>
                                                <w:szCs w:val="21"/>
                                                <w:lang w:val="en-US" w:eastAsia="zh-CN"/>
                                              </w:rPr>
                                              <w:t>15</w:t>
                                            </w:r>
                                          </w:p>
                                        </w:txbxContent>
                                      </wps:txbx>
                                      <wps:bodyPr upright="1"/>
                                    </wps:wsp>
                                    <wps:wsp>
                                      <wps:cNvPr id="121" name="直接连接符 82"/>
                                      <wps:cNvCnPr/>
                                      <wps:spPr>
                                        <a:xfrm>
                                          <a:off x="9721" y="10054"/>
                                          <a:ext cx="745" cy="14"/>
                                        </a:xfrm>
                                        <a:prstGeom prst="line">
                                          <a:avLst/>
                                        </a:prstGeom>
                                        <a:ln w="9525" cap="flat" cmpd="sng">
                                          <a:solidFill>
                                            <a:srgbClr val="000000"/>
                                          </a:solidFill>
                                          <a:prstDash val="solid"/>
                                          <a:round/>
                                          <a:headEnd type="none" w="med" len="med"/>
                                          <a:tailEnd type="triangle" w="med" len="med"/>
                                        </a:ln>
                                        <a:effectLst/>
                                      </wps:spPr>
                                      <wps:bodyPr/>
                                    </wps:wsp>
                                    <wps:wsp>
                                      <wps:cNvPr id="122" name="直接连接符 82"/>
                                      <wps:cNvCnPr/>
                                      <wps:spPr>
                                        <a:xfrm flipV="1">
                                          <a:off x="9737" y="10054"/>
                                          <a:ext cx="1" cy="287"/>
                                        </a:xfrm>
                                        <a:prstGeom prst="line">
                                          <a:avLst/>
                                        </a:prstGeom>
                                        <a:ln w="9525" cap="flat" cmpd="sng">
                                          <a:solidFill>
                                            <a:srgbClr val="000000"/>
                                          </a:solidFill>
                                          <a:prstDash val="solid"/>
                                          <a:round/>
                                          <a:headEnd type="none" w="med" len="med"/>
                                          <a:tailEnd type="none" w="med" len="med"/>
                                        </a:ln>
                                        <a:effectLst/>
                                      </wps:spPr>
                                      <wps:bodyPr/>
                                    </wps:wsp>
                                    <wps:wsp>
                                      <wps:cNvPr id="622" name="直接连接符 82"/>
                                      <wps:cNvCnPr/>
                                      <wps:spPr>
                                        <a:xfrm>
                                          <a:off x="10844" y="9402"/>
                                          <a:ext cx="745" cy="15"/>
                                        </a:xfrm>
                                        <a:prstGeom prst="line">
                                          <a:avLst/>
                                        </a:prstGeom>
                                        <a:ln w="9525" cap="flat" cmpd="sng">
                                          <a:solidFill>
                                            <a:srgbClr val="000000"/>
                                          </a:solidFill>
                                          <a:prstDash val="solid"/>
                                          <a:round/>
                                          <a:headEnd type="none" w="med" len="med"/>
                                          <a:tailEnd type="triangle" w="med" len="med"/>
                                        </a:ln>
                                        <a:effectLst/>
                                      </wps:spPr>
                                      <wps:bodyPr/>
                                    </wps:wsp>
                                    <wps:wsp>
                                      <wps:cNvPr id="623" name="矩形 81"/>
                                      <wps:cNvSpPr/>
                                      <wps:spPr>
                                        <a:xfrm>
                                          <a:off x="11125" y="9155"/>
                                          <a:ext cx="2379" cy="528"/>
                                        </a:xfrm>
                                        <a:prstGeom prst="rect">
                                          <a:avLst/>
                                        </a:prstGeom>
                                        <a:noFill/>
                                        <a:ln w="9525" cap="flat" cmpd="sng">
                                          <a:noFill/>
                                          <a:prstDash val="solid"/>
                                          <a:miter/>
                                          <a:headEnd type="none" w="med" len="med"/>
                                          <a:tailEnd type="none" w="med" len="med"/>
                                        </a:ln>
                                        <a:effectLst/>
                                      </wps:spPr>
                                      <wps:txbx>
                                        <w:txbxContent>
                                          <w:p w14:paraId="76024652">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宋体" w:hAnsi="宋体" w:eastAsia="宋体" w:cs="宋体"/>
                                                <w:color w:val="auto"/>
                                                <w:kern w:val="0"/>
                                                <w:sz w:val="21"/>
                                                <w:szCs w:val="21"/>
                                              </w:rPr>
                                              <w:t>进入</w:t>
                                            </w:r>
                                            <w:r>
                                              <w:rPr>
                                                <w:rFonts w:hint="eastAsia" w:ascii="宋体" w:hAnsi="宋体" w:eastAsia="宋体" w:cs="宋体"/>
                                                <w:color w:val="auto"/>
                                                <w:kern w:val="0"/>
                                                <w:sz w:val="21"/>
                                                <w:szCs w:val="21"/>
                                                <w:lang w:val="en-US" w:eastAsia="zh-CN"/>
                                              </w:rPr>
                                              <w:t>氨水</w:t>
                                            </w:r>
                                            <w:r>
                                              <w:rPr>
                                                <w:rFonts w:hint="eastAsia" w:cs="Times New Roman"/>
                                                <w:color w:val="auto"/>
                                                <w:kern w:val="0"/>
                                                <w:sz w:val="21"/>
                                                <w:szCs w:val="21"/>
                                                <w:lang w:val="en-US" w:eastAsia="zh-CN"/>
                                              </w:rPr>
                                              <w:t>160</w:t>
                                            </w:r>
                                          </w:p>
                                        </w:txbxContent>
                                      </wps:txbx>
                                      <wps:bodyPr upright="1"/>
                                    </wps:wsp>
                                  </wpg:grpSp>
                                  <wps:wsp>
                                    <wps:cNvPr id="423" name="直接连接符 336"/>
                                    <wps:cNvCnPr/>
                                    <wps:spPr>
                                      <a:xfrm>
                                        <a:off x="6428" y="4416"/>
                                        <a:ext cx="1" cy="1887"/>
                                      </a:xfrm>
                                      <a:prstGeom prst="line">
                                        <a:avLst/>
                                      </a:prstGeom>
                                      <a:ln w="9525" cap="flat" cmpd="sng">
                                        <a:solidFill>
                                          <a:srgbClr val="000000"/>
                                        </a:solidFill>
                                        <a:prstDash val="solid"/>
                                        <a:round/>
                                        <a:headEnd type="none" w="med" len="med"/>
                                        <a:tailEnd type="triangle" w="med" len="med"/>
                                      </a:ln>
                                      <a:effectLst/>
                                    </wps:spPr>
                                    <wps:bodyPr/>
                                  </wps:wsp>
                                  <wps:wsp>
                                    <wps:cNvPr id="125" name="矩形 142"/>
                                    <wps:cNvSpPr/>
                                    <wps:spPr>
                                      <a:xfrm>
                                        <a:off x="5262" y="6300"/>
                                        <a:ext cx="2688" cy="44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FEE2EF">
                                          <w:pPr>
                                            <w:widowControl/>
                                            <w:spacing w:line="240" w:lineRule="auto"/>
                                            <w:ind w:firstLine="0" w:firstLineChars="0"/>
                                            <w:jc w:val="center"/>
                                            <w:rPr>
                                              <w:rFonts w:ascii="宋体" w:hAnsi="宋体" w:eastAsia="宋体" w:cs="宋体"/>
                                              <w:color w:val="auto"/>
                                              <w:kern w:val="0"/>
                                              <w:sz w:val="21"/>
                                              <w:szCs w:val="21"/>
                                            </w:rPr>
                                          </w:pPr>
                                          <w:r>
                                            <w:rPr>
                                              <w:rFonts w:hint="eastAsia" w:ascii="宋体" w:hAnsi="宋体" w:eastAsia="宋体" w:cs="宋体"/>
                                              <w:color w:val="auto"/>
                                              <w:kern w:val="0"/>
                                              <w:sz w:val="21"/>
                                              <w:szCs w:val="21"/>
                                            </w:rPr>
                                            <w:t>氨回收系统</w:t>
                                          </w:r>
                                        </w:p>
                                      </w:txbxContent>
                                    </wps:txbx>
                                    <wps:bodyPr upright="1"/>
                                  </wps:wsp>
                                  <wps:wsp>
                                    <wps:cNvPr id="425" name="矩形 312"/>
                                    <wps:cNvSpPr/>
                                    <wps:spPr>
                                      <a:xfrm>
                                        <a:off x="8399" y="6178"/>
                                        <a:ext cx="1083" cy="502"/>
                                      </a:xfrm>
                                      <a:prstGeom prst="rect">
                                        <a:avLst/>
                                      </a:prstGeom>
                                      <a:noFill/>
                                      <a:ln>
                                        <a:noFill/>
                                      </a:ln>
                                      <a:effectLst/>
                                    </wps:spPr>
                                    <wps:txbx>
                                      <w:txbxContent>
                                        <w:p w14:paraId="0941E306">
                                          <w:pPr>
                                            <w:widowControl/>
                                            <w:spacing w:line="240" w:lineRule="auto"/>
                                            <w:ind w:firstLine="0" w:firstLineChars="0"/>
                                            <w:jc w:val="left"/>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val="en-US" w:eastAsia="zh-CN"/>
                                            </w:rPr>
                                            <w:t>312</w:t>
                                          </w:r>
                                          <w:r>
                                            <w:rPr>
                                              <w:rFonts w:hint="default" w:ascii="Times New Roman" w:hAnsi="Times New Roman" w:eastAsia="宋体" w:cs="Times New Roman"/>
                                              <w:color w:val="auto"/>
                                              <w:kern w:val="0"/>
                                              <w:sz w:val="21"/>
                                              <w:szCs w:val="21"/>
                                            </w:rPr>
                                            <w:t>.2</w:t>
                                          </w:r>
                                        </w:p>
                                      </w:txbxContent>
                                    </wps:txbx>
                                    <wps:bodyPr upright="1"/>
                                  </wps:wsp>
                                  <wps:wsp>
                                    <wps:cNvPr id="126" name="直接连接符 153"/>
                                    <wps:cNvCnPr/>
                                    <wps:spPr>
                                      <a:xfrm>
                                        <a:off x="8004" y="6535"/>
                                        <a:ext cx="1797" cy="0"/>
                                      </a:xfrm>
                                      <a:prstGeom prst="line">
                                        <a:avLst/>
                                      </a:prstGeom>
                                      <a:ln w="9525" cap="flat" cmpd="sng">
                                        <a:solidFill>
                                          <a:srgbClr val="000000"/>
                                        </a:solidFill>
                                        <a:prstDash val="solid"/>
                                        <a:round/>
                                        <a:headEnd type="none" w="med" len="med"/>
                                        <a:tailEnd type="triangle" w="med" len="med"/>
                                      </a:ln>
                                      <a:effectLst/>
                                    </wps:spPr>
                                    <wps:bodyPr/>
                                  </wps:wsp>
                                  <wps:wsp>
                                    <wps:cNvPr id="612" name="矩形 43"/>
                                    <wps:cNvSpPr/>
                                    <wps:spPr>
                                      <a:xfrm>
                                        <a:off x="4484" y="5073"/>
                                        <a:ext cx="1836" cy="71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6281BE">
                                          <w:pPr>
                                            <w:keepNext w:val="0"/>
                                            <w:keepLines w:val="0"/>
                                            <w:pageBreakBefore w:val="0"/>
                                            <w:widowControl/>
                                            <w:kinsoku/>
                                            <w:wordWrap/>
                                            <w:overflowPunct/>
                                            <w:topLinePunct w:val="0"/>
                                            <w:bidi w:val="0"/>
                                            <w:adjustRightInd/>
                                            <w:snapToGrid/>
                                            <w:spacing w:line="240" w:lineRule="exact"/>
                                            <w:ind w:left="0" w:leftChars="0" w:firstLine="0" w:firstLineChars="0"/>
                                            <w:jc w:val="center"/>
                                            <w:textAlignment w:val="auto"/>
                                            <w:rPr>
                                              <w:rFonts w:hint="eastAsia"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氨水废气治理</w:t>
                                          </w:r>
                                        </w:p>
                                        <w:p w14:paraId="7A98C5B4">
                                          <w:pPr>
                                            <w:pStyle w:val="24"/>
                                            <w:keepNext w:val="0"/>
                                            <w:keepLines w:val="0"/>
                                            <w:pageBreakBefore w:val="0"/>
                                            <w:kinsoku/>
                                            <w:wordWrap/>
                                            <w:overflowPunct/>
                                            <w:topLinePunct w:val="0"/>
                                            <w:bidi w:val="0"/>
                                            <w:adjustRightInd/>
                                            <w:snapToGrid/>
                                            <w:spacing w:after="0" w:line="240" w:lineRule="exact"/>
                                            <w:ind w:left="0" w:leftChars="0" w:firstLine="0" w:firstLineChars="0"/>
                                            <w:jc w:val="center"/>
                                            <w:textAlignment w:val="auto"/>
                                            <w:rPr>
                                              <w:rFonts w:hint="default" w:ascii="Times New Roman" w:hAnsi="Times New Roman" w:cs="Times New Roman"/>
                                              <w:sz w:val="20"/>
                                              <w:szCs w:val="20"/>
                                              <w:lang w:val="en-US" w:eastAsia="zh-CN"/>
                                            </w:rPr>
                                          </w:pPr>
                                          <w:r>
                                            <w:rPr>
                                              <w:rFonts w:hint="default" w:ascii="Times New Roman" w:hAnsi="Times New Roman" w:eastAsia="宋体" w:cs="Times New Roman"/>
                                              <w:kern w:val="0"/>
                                              <w:sz w:val="20"/>
                                              <w:szCs w:val="20"/>
                                              <w:lang w:val="en-US" w:eastAsia="zh-CN"/>
                                            </w:rPr>
                                            <w:t>（-0.1）</w:t>
                                          </w:r>
                                        </w:p>
                                      </w:txbxContent>
                                    </wps:txbx>
                                    <wps:bodyPr upright="1"/>
                                  </wps:wsp>
                                  <wps:wsp>
                                    <wps:cNvPr id="613" name="直接连接符 5"/>
                                    <wps:cNvCnPr/>
                                    <wps:spPr>
                                      <a:xfrm flipV="1">
                                        <a:off x="3807" y="5275"/>
                                        <a:ext cx="667" cy="5"/>
                                      </a:xfrm>
                                      <a:prstGeom prst="line">
                                        <a:avLst/>
                                      </a:prstGeom>
                                      <a:ln w="9525" cap="flat" cmpd="sng">
                                        <a:solidFill>
                                          <a:srgbClr val="000000"/>
                                        </a:solidFill>
                                        <a:prstDash val="solid"/>
                                        <a:round/>
                                        <a:headEnd type="none" w="med" len="med"/>
                                        <a:tailEnd type="triangle" w="med" len="med"/>
                                      </a:ln>
                                      <a:effectLst/>
                                    </wps:spPr>
                                    <wps:bodyPr/>
                                  </wps:wsp>
                                  <wps:wsp>
                                    <wps:cNvPr id="615" name="矩形 43"/>
                                    <wps:cNvSpPr/>
                                    <wps:spPr>
                                      <a:xfrm>
                                        <a:off x="7045" y="5102"/>
                                        <a:ext cx="1111" cy="43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B05EEF">
                                          <w:pPr>
                                            <w:widowControl/>
                                            <w:spacing w:line="240" w:lineRule="auto"/>
                                            <w:ind w:firstLine="0" w:firstLineChars="0"/>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吸氨器</w:t>
                                          </w:r>
                                        </w:p>
                                      </w:txbxContent>
                                    </wps:txbx>
                                    <wps:bodyPr upright="1"/>
                                  </wps:wsp>
                                  <wps:wsp>
                                    <wps:cNvPr id="616" name="直接连接符 5"/>
                                    <wps:cNvCnPr/>
                                    <wps:spPr>
                                      <a:xfrm flipV="1">
                                        <a:off x="6429" y="5289"/>
                                        <a:ext cx="606" cy="5"/>
                                      </a:xfrm>
                                      <a:prstGeom prst="line">
                                        <a:avLst/>
                                      </a:prstGeom>
                                      <a:ln w="9525" cap="flat" cmpd="sng">
                                        <a:solidFill>
                                          <a:srgbClr val="000000"/>
                                        </a:solidFill>
                                        <a:prstDash val="solid"/>
                                        <a:round/>
                                        <a:headEnd type="none" w="med" len="med"/>
                                        <a:tailEnd type="triangle" w="med" len="med"/>
                                      </a:ln>
                                      <a:effectLst/>
                                    </wps:spPr>
                                    <wps:bodyPr/>
                                  </wps:wsp>
                                  <wps:wsp>
                                    <wps:cNvPr id="624" name="矩形 152"/>
                                    <wps:cNvSpPr/>
                                    <wps:spPr>
                                      <a:xfrm>
                                        <a:off x="6272" y="5763"/>
                                        <a:ext cx="1150" cy="601"/>
                                      </a:xfrm>
                                      <a:prstGeom prst="rect">
                                        <a:avLst/>
                                      </a:prstGeom>
                                      <a:noFill/>
                                      <a:ln>
                                        <a:noFill/>
                                      </a:ln>
                                      <a:effectLst/>
                                    </wps:spPr>
                                    <wps:txbx>
                                      <w:txbxContent>
                                        <w:p w14:paraId="79CE58FD">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302.2</w:t>
                                          </w:r>
                                        </w:p>
                                      </w:txbxContent>
                                    </wps:txbx>
                                    <wps:bodyPr upright="1"/>
                                  </wps:wsp>
                                </wpg:grpSp>
                                <wps:wsp>
                                  <wps:cNvPr id="127" name="矩形 1146"/>
                                  <wps:cNvSpPr/>
                                  <wps:spPr>
                                    <a:xfrm>
                                      <a:off x="8439" y="3396782"/>
                                      <a:ext cx="2031" cy="477"/>
                                    </a:xfrm>
                                    <a:prstGeom prst="rect">
                                      <a:avLst/>
                                    </a:prstGeom>
                                    <a:noFill/>
                                    <a:ln w="9525" cap="flat" cmpd="sng">
                                      <a:noFill/>
                                      <a:prstDash val="solid"/>
                                      <a:miter/>
                                      <a:headEnd type="none" w="med" len="med"/>
                                      <a:tailEnd type="none" w="med" len="med"/>
                                    </a:ln>
                                    <a:effectLst/>
                                  </wps:spPr>
                                  <wps:txbx>
                                    <w:txbxContent>
                                      <w:p w14:paraId="72BC0348">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甲醇带走</w:t>
                                        </w:r>
                                        <w:r>
                                          <w:rPr>
                                            <w:rFonts w:hint="default" w:ascii="Times New Roman" w:hAnsi="Times New Roman" w:eastAsia="宋体" w:cs="Times New Roman"/>
                                            <w:kern w:val="0"/>
                                            <w:sz w:val="21"/>
                                            <w:szCs w:val="21"/>
                                          </w:rPr>
                                          <w:t>215</w:t>
                                        </w:r>
                                      </w:p>
                                    </w:txbxContent>
                                  </wps:txbx>
                                  <wps:bodyPr upright="1"/>
                                </wps:wsp>
                                <wps:wsp>
                                  <wps:cNvPr id="128" name="直接连接符 1"/>
                                  <wps:cNvCnPr/>
                                  <wps:spPr>
                                    <a:xfrm>
                                      <a:off x="7777" y="3397061"/>
                                      <a:ext cx="680" cy="0"/>
                                    </a:xfrm>
                                    <a:prstGeom prst="line">
                                      <a:avLst/>
                                    </a:prstGeom>
                                    <a:ln w="9525" cap="flat" cmpd="sng">
                                      <a:solidFill>
                                        <a:srgbClr val="000000"/>
                                      </a:solidFill>
                                      <a:prstDash val="solid"/>
                                      <a:round/>
                                      <a:headEnd type="none" w="med" len="med"/>
                                      <a:tailEnd type="triangle" w="med" len="med"/>
                                    </a:ln>
                                    <a:effectLst/>
                                  </wps:spPr>
                                  <wps:bodyPr/>
                                </wps:wsp>
                                <wps:wsp>
                                  <wps:cNvPr id="131" name="矩形 34"/>
                                  <wps:cNvSpPr/>
                                  <wps:spPr>
                                    <a:xfrm>
                                      <a:off x="3707" y="3397614"/>
                                      <a:ext cx="979" cy="392"/>
                                    </a:xfrm>
                                    <a:prstGeom prst="rect">
                                      <a:avLst/>
                                    </a:prstGeom>
                                    <a:noFill/>
                                    <a:ln>
                                      <a:noFill/>
                                    </a:ln>
                                    <a:effectLst/>
                                  </wps:spPr>
                                  <wps:txbx>
                                    <w:txbxContent>
                                      <w:p w14:paraId="5C6C2706">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2.4</w:t>
                                        </w:r>
                                      </w:p>
                                    </w:txbxContent>
                                  </wps:txbx>
                                  <wps:bodyPr upright="1"/>
                                </wps:wsp>
                                <wpg:grpSp>
                                  <wpg:cNvPr id="40" name="组合 1149"/>
                                  <wpg:cNvGrpSpPr/>
                                  <wpg:grpSpPr>
                                    <a:xfrm>
                                      <a:off x="3765" y="3398656"/>
                                      <a:ext cx="3540" cy="1494"/>
                                      <a:chOff x="3931" y="11081"/>
                                      <a:chExt cx="3540" cy="1494"/>
                                    </a:xfrm>
                                  </wpg:grpSpPr>
                                  <wps:wsp>
                                    <wps:cNvPr id="133" name="矩形 60"/>
                                    <wps:cNvSpPr/>
                                    <wps:spPr>
                                      <a:xfrm>
                                        <a:off x="3931" y="12043"/>
                                        <a:ext cx="1770" cy="410"/>
                                      </a:xfrm>
                                      <a:prstGeom prst="rect">
                                        <a:avLst/>
                                      </a:prstGeom>
                                      <a:noFill/>
                                      <a:ln>
                                        <a:noFill/>
                                      </a:ln>
                                      <a:effectLst/>
                                    </wps:spPr>
                                    <wps:txbx>
                                      <w:txbxContent>
                                        <w:p w14:paraId="3A252954">
                                          <w:pPr>
                                            <w:widowControl w:val="0"/>
                                            <w:autoSpaceDE w:val="0"/>
                                            <w:autoSpaceDN w:val="0"/>
                                            <w:spacing w:line="240" w:lineRule="exact"/>
                                            <w:ind w:left="-120" w:leftChars="-50" w:right="-120" w:rightChars="-50" w:firstLine="0" w:firstLineChars="0"/>
                                            <w:jc w:val="center"/>
                                            <w:rPr>
                                              <w:rFonts w:hint="default" w:ascii="宋体" w:hAnsi="宋体" w:eastAsia="宋体" w:cs="宋体"/>
                                              <w:color w:val="auto"/>
                                              <w:kern w:val="0"/>
                                              <w:lang w:val="en-US" w:eastAsia="zh-CN"/>
                                            </w:rPr>
                                          </w:pPr>
                                          <w:r>
                                            <w:rPr>
                                              <w:rFonts w:hint="eastAsia" w:ascii="Times New Roman" w:hAnsi="Times New Roman" w:eastAsia="宋体" w:cs="Times New Roman"/>
                                              <w:color w:val="auto"/>
                                              <w:kern w:val="0"/>
                                              <w:sz w:val="21"/>
                                              <w:szCs w:val="21"/>
                                            </w:rPr>
                                            <w:t>蒸汽带</w:t>
                                          </w:r>
                                          <w:r>
                                            <w:rPr>
                                              <w:rFonts w:hint="default" w:ascii="Times New Roman" w:hAnsi="Times New Roman" w:eastAsia="宋体" w:cs="Times New Roman"/>
                                              <w:color w:val="auto"/>
                                              <w:kern w:val="0"/>
                                              <w:sz w:val="21"/>
                                              <w:szCs w:val="21"/>
                                            </w:rPr>
                                            <w:t>入</w:t>
                                          </w:r>
                                          <w:r>
                                            <w:rPr>
                                              <w:rFonts w:hint="default" w:ascii="Times New Roman" w:hAnsi="Times New Roman" w:eastAsia="宋体" w:cs="Times New Roman"/>
                                              <w:color w:val="auto"/>
                                              <w:kern w:val="0"/>
                                              <w:sz w:val="21"/>
                                              <w:szCs w:val="21"/>
                                              <w:lang w:val="en-US" w:eastAsia="zh-CN"/>
                                            </w:rPr>
                                            <w:t>25</w:t>
                                          </w:r>
                                        </w:p>
                                      </w:txbxContent>
                                    </wps:txbx>
                                    <wps:bodyPr upright="1"/>
                                  </wps:wsp>
                                  <wps:wsp>
                                    <wps:cNvPr id="134" name="直接连接符 65"/>
                                    <wps:cNvCnPr/>
                                    <wps:spPr>
                                      <a:xfrm flipH="1">
                                        <a:off x="6087" y="12256"/>
                                        <a:ext cx="0" cy="319"/>
                                      </a:xfrm>
                                      <a:prstGeom prst="line">
                                        <a:avLst/>
                                      </a:prstGeom>
                                      <a:ln w="9525" cap="flat" cmpd="sng">
                                        <a:solidFill>
                                          <a:srgbClr val="000000"/>
                                        </a:solidFill>
                                        <a:prstDash val="solid"/>
                                        <a:round/>
                                        <a:headEnd type="none" w="med" len="med"/>
                                        <a:tailEnd type="triangle" w="med" len="med"/>
                                      </a:ln>
                                      <a:effectLst/>
                                    </wps:spPr>
                                    <wps:bodyPr/>
                                  </wps:wsp>
                                  <wps:wsp>
                                    <wps:cNvPr id="135" name="直接连接符 66"/>
                                    <wps:cNvCnPr/>
                                    <wps:spPr>
                                      <a:xfrm flipV="1">
                                        <a:off x="5594" y="12254"/>
                                        <a:ext cx="508" cy="1"/>
                                      </a:xfrm>
                                      <a:prstGeom prst="line">
                                        <a:avLst/>
                                      </a:prstGeom>
                                      <a:ln w="9525" cap="flat" cmpd="sng">
                                        <a:solidFill>
                                          <a:srgbClr val="000000"/>
                                        </a:solidFill>
                                        <a:prstDash val="solid"/>
                                        <a:round/>
                                        <a:headEnd type="none" w="med" len="med"/>
                                        <a:tailEnd type="none" w="med" len="med"/>
                                      </a:ln>
                                      <a:effectLst/>
                                    </wps:spPr>
                                    <wps:bodyPr/>
                                  </wps:wsp>
                                  <wps:wsp>
                                    <wps:cNvPr id="620" name="直接连接符 65"/>
                                    <wps:cNvCnPr/>
                                    <wps:spPr>
                                      <a:xfrm flipH="1">
                                        <a:off x="7471" y="11081"/>
                                        <a:ext cx="0" cy="319"/>
                                      </a:xfrm>
                                      <a:prstGeom prst="line">
                                        <a:avLst/>
                                      </a:prstGeom>
                                      <a:ln w="6350" cap="flat" cmpd="sng" algn="ctr">
                                        <a:solidFill>
                                          <a:schemeClr val="tx1"/>
                                        </a:solidFill>
                                        <a:prstDash val="dash"/>
                                        <a:miter lim="800000"/>
                                        <a:headEnd type="none" w="med" len="med"/>
                                        <a:tailEnd type="triangle" w="med" len="med"/>
                                      </a:ln>
                                    </wps:spPr>
                                    <wps:style>
                                      <a:lnRef idx="0">
                                        <a:schemeClr val="accent1"/>
                                      </a:lnRef>
                                      <a:fillRef idx="0">
                                        <a:srgbClr val="FFFFFF"/>
                                      </a:fillRef>
                                      <a:effectRef idx="0">
                                        <a:srgbClr val="FFFFFF"/>
                                      </a:effectRef>
                                      <a:fontRef idx="minor">
                                        <a:schemeClr val="tx1"/>
                                      </a:fontRef>
                                    </wps:style>
                                    <wps:bodyPr/>
                                  </wps:wsp>
                                </wpg:grpSp>
                                <wps:wsp>
                                  <wps:cNvPr id="143" name="直接连接符 125"/>
                                  <wps:cNvCnPr/>
                                  <wps:spPr>
                                    <a:xfrm flipV="1">
                                      <a:off x="9743" y="3400387"/>
                                      <a:ext cx="28" cy="7624"/>
                                    </a:xfrm>
                                    <a:prstGeom prst="line">
                                      <a:avLst/>
                                    </a:prstGeom>
                                    <a:ln w="9525" cap="flat" cmpd="sng">
                                      <a:solidFill>
                                        <a:srgbClr val="000000"/>
                                      </a:solidFill>
                                      <a:prstDash val="solid"/>
                                      <a:round/>
                                      <a:headEnd type="triangle" w="med" len="med"/>
                                      <a:tailEnd type="none" w="med" len="med"/>
                                    </a:ln>
                                    <a:effectLst/>
                                  </wps:spPr>
                                  <wps:bodyPr/>
                                </wps:wsp>
                                <wpg:grpSp>
                                  <wpg:cNvPr id="41" name="组合 1157"/>
                                  <wpg:cNvGrpSpPr/>
                                  <wpg:grpSpPr>
                                    <a:xfrm>
                                      <a:off x="3686" y="3400762"/>
                                      <a:ext cx="6016" cy="598"/>
                                      <a:chOff x="3837" y="5432"/>
                                      <a:chExt cx="6016" cy="598"/>
                                    </a:xfrm>
                                  </wpg:grpSpPr>
                                  <wps:wsp>
                                    <wps:cNvPr id="445" name="矩形 42"/>
                                    <wps:cNvSpPr/>
                                    <wps:spPr>
                                      <a:xfrm>
                                        <a:off x="3837" y="5434"/>
                                        <a:ext cx="978" cy="433"/>
                                      </a:xfrm>
                                      <a:prstGeom prst="rect">
                                        <a:avLst/>
                                      </a:prstGeom>
                                      <a:noFill/>
                                      <a:ln>
                                        <a:noFill/>
                                      </a:ln>
                                      <a:effectLst/>
                                    </wps:spPr>
                                    <wps:txbx>
                                      <w:txbxContent>
                                        <w:p w14:paraId="27840192">
                                          <w:pPr>
                                            <w:widowControl w:val="0"/>
                                            <w:autoSpaceDE w:val="0"/>
                                            <w:autoSpaceDN w:val="0"/>
                                            <w:spacing w:line="240" w:lineRule="exact"/>
                                            <w:ind w:left="-120" w:leftChars="-50" w:right="-120" w:rightChars="-5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21</w:t>
                                          </w:r>
                                        </w:p>
                                      </w:txbxContent>
                                    </wps:txbx>
                                    <wps:bodyPr upright="1"/>
                                  </wps:wsp>
                                  <wpg:grpSp>
                                    <wpg:cNvPr id="42" name="组合 44"/>
                                    <wpg:cNvGrpSpPr/>
                                    <wpg:grpSpPr>
                                      <a:xfrm>
                                        <a:off x="3897" y="5432"/>
                                        <a:ext cx="5956" cy="598"/>
                                        <a:chOff x="3897" y="5432"/>
                                        <a:chExt cx="5956" cy="598"/>
                                      </a:xfrm>
                                    </wpg:grpSpPr>
                                    <wps:wsp>
                                      <wps:cNvPr id="447" name="矩形 102"/>
                                      <wps:cNvSpPr/>
                                      <wps:spPr>
                                        <a:xfrm>
                                          <a:off x="7754" y="5432"/>
                                          <a:ext cx="1831" cy="493"/>
                                        </a:xfrm>
                                        <a:prstGeom prst="rect">
                                          <a:avLst/>
                                        </a:prstGeom>
                                        <a:noFill/>
                                        <a:ln w="9525" cap="flat" cmpd="sng">
                                          <a:noFill/>
                                          <a:prstDash val="solid"/>
                                          <a:miter/>
                                          <a:headEnd type="none" w="med" len="med"/>
                                          <a:tailEnd type="none" w="med" len="med"/>
                                        </a:ln>
                                        <a:effectLst/>
                                      </wps:spPr>
                                      <wps:txbx>
                                        <w:txbxContent>
                                          <w:p w14:paraId="0012A14F">
                                            <w:pPr>
                                              <w:widowControl/>
                                              <w:spacing w:line="240" w:lineRule="auto"/>
                                              <w:ind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20</w:t>
                                            </w:r>
                                          </w:p>
                                        </w:txbxContent>
                                      </wps:txbx>
                                      <wps:bodyPr upright="1"/>
                                    </wps:wsp>
                                    <wps:wsp>
                                      <wps:cNvPr id="448" name="矩形 43"/>
                                      <wps:cNvSpPr/>
                                      <wps:spPr>
                                        <a:xfrm>
                                          <a:off x="4740" y="5559"/>
                                          <a:ext cx="2652" cy="471"/>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F8744C">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精制甘氨酸用水</w:t>
                                            </w:r>
                                            <w:r>
                                              <w:rPr>
                                                <w:rFonts w:hint="default" w:ascii="Times New Roman" w:hAnsi="Times New Roman" w:eastAsia="宋体" w:cs="Times New Roman"/>
                                                <w:kern w:val="0"/>
                                                <w:sz w:val="21"/>
                                                <w:szCs w:val="21"/>
                                              </w:rPr>
                                              <w:t>（-1）</w:t>
                                            </w:r>
                                          </w:p>
                                        </w:txbxContent>
                                      </wps:txbx>
                                      <wps:bodyPr upright="1"/>
                                    </wps:wsp>
                                    <wps:wsp>
                                      <wps:cNvPr id="449" name="直接连接符 44"/>
                                      <wps:cNvCnPr/>
                                      <wps:spPr>
                                        <a:xfrm flipV="1">
                                          <a:off x="3897" y="5774"/>
                                          <a:ext cx="850" cy="1"/>
                                        </a:xfrm>
                                        <a:prstGeom prst="line">
                                          <a:avLst/>
                                        </a:prstGeom>
                                        <a:ln w="9525" cap="flat" cmpd="sng">
                                          <a:solidFill>
                                            <a:srgbClr val="000000"/>
                                          </a:solidFill>
                                          <a:prstDash val="solid"/>
                                          <a:round/>
                                          <a:headEnd type="none" w="med" len="med"/>
                                          <a:tailEnd type="triangle" w="med" len="med"/>
                                        </a:ln>
                                        <a:effectLst/>
                                      </wps:spPr>
                                      <wps:bodyPr/>
                                    </wps:wsp>
                                    <wps:wsp>
                                      <wps:cNvPr id="450" name="直接连接符 45"/>
                                      <wps:cNvCnPr/>
                                      <wps:spPr>
                                        <a:xfrm flipV="1">
                                          <a:off x="7218" y="5807"/>
                                          <a:ext cx="2635" cy="10"/>
                                        </a:xfrm>
                                        <a:prstGeom prst="line">
                                          <a:avLst/>
                                        </a:prstGeom>
                                        <a:ln w="9525" cap="flat" cmpd="sng">
                                          <a:solidFill>
                                            <a:srgbClr val="000000"/>
                                          </a:solidFill>
                                          <a:prstDash val="solid"/>
                                          <a:round/>
                                          <a:headEnd type="none" w="med" len="med"/>
                                          <a:tailEnd type="triangle" w="med" len="med"/>
                                        </a:ln>
                                        <a:effectLst/>
                                      </wps:spPr>
                                      <wps:bodyPr/>
                                    </wps:wsp>
                                  </wpg:grpSp>
                                </wpg:grpSp>
                                <wpg:grpSp>
                                  <wpg:cNvPr id="43" name="组合 1162"/>
                                  <wpg:cNvGrpSpPr/>
                                  <wpg:grpSpPr>
                                    <a:xfrm>
                                      <a:off x="3765" y="3401303"/>
                                      <a:ext cx="6017" cy="2905"/>
                                      <a:chOff x="3181" y="9287"/>
                                      <a:chExt cx="6017" cy="2905"/>
                                    </a:xfrm>
                                  </wpg:grpSpPr>
                                  <wpg:grpSp>
                                    <wpg:cNvPr id="45" name="组合 56"/>
                                    <wpg:cNvGrpSpPr/>
                                    <wpg:grpSpPr>
                                      <a:xfrm>
                                        <a:off x="5842" y="9744"/>
                                        <a:ext cx="880" cy="344"/>
                                        <a:chOff x="5854" y="14117"/>
                                        <a:chExt cx="880" cy="344"/>
                                      </a:xfrm>
                                    </wpg:grpSpPr>
                                    <wps:wsp>
                                      <wps:cNvPr id="453" name="直接连接符 82"/>
                                      <wps:cNvCnPr/>
                                      <wps:spPr>
                                        <a:xfrm>
                                          <a:off x="5884" y="14117"/>
                                          <a:ext cx="850" cy="11"/>
                                        </a:xfrm>
                                        <a:prstGeom prst="line">
                                          <a:avLst/>
                                        </a:prstGeom>
                                        <a:ln w="9525" cap="flat" cmpd="sng">
                                          <a:solidFill>
                                            <a:srgbClr val="000000"/>
                                          </a:solidFill>
                                          <a:prstDash val="solid"/>
                                          <a:round/>
                                          <a:headEnd type="none" w="med" len="med"/>
                                          <a:tailEnd type="triangle" w="med" len="med"/>
                                        </a:ln>
                                        <a:effectLst/>
                                      </wps:spPr>
                                      <wps:bodyPr/>
                                    </wps:wsp>
                                    <wps:wsp>
                                      <wps:cNvPr id="454" name="直接连接符 82"/>
                                      <wps:cNvCnPr/>
                                      <wps:spPr>
                                        <a:xfrm flipV="1">
                                          <a:off x="5854" y="14122"/>
                                          <a:ext cx="10" cy="339"/>
                                        </a:xfrm>
                                        <a:prstGeom prst="line">
                                          <a:avLst/>
                                        </a:prstGeom>
                                        <a:ln w="9525" cap="flat" cmpd="sng">
                                          <a:solidFill>
                                            <a:srgbClr val="000000"/>
                                          </a:solidFill>
                                          <a:prstDash val="solid"/>
                                          <a:round/>
                                          <a:headEnd type="none" w="med" len="med"/>
                                          <a:tailEnd type="none" w="med" len="med"/>
                                        </a:ln>
                                        <a:effectLst/>
                                      </wps:spPr>
                                      <wps:bodyPr/>
                                    </wps:wsp>
                                  </wpg:grpSp>
                                  <wpg:grpSp>
                                    <wpg:cNvPr id="46" name="组合 59"/>
                                    <wpg:cNvGrpSpPr/>
                                    <wpg:grpSpPr>
                                      <a:xfrm>
                                        <a:off x="3181" y="9287"/>
                                        <a:ext cx="6017" cy="2905"/>
                                        <a:chOff x="3215" y="8975"/>
                                        <a:chExt cx="6017" cy="2905"/>
                                      </a:xfrm>
                                    </wpg:grpSpPr>
                                    <wpg:grpSp>
                                      <wpg:cNvPr id="47" name="组合 31"/>
                                      <wpg:cNvGrpSpPr/>
                                      <wpg:grpSpPr>
                                        <a:xfrm>
                                          <a:off x="3215" y="8975"/>
                                          <a:ext cx="6017" cy="2905"/>
                                          <a:chOff x="3170" y="7426"/>
                                          <a:chExt cx="6017" cy="2584"/>
                                        </a:xfrm>
                                        <a:effectLst/>
                                      </wpg:grpSpPr>
                                      <wps:wsp>
                                        <wps:cNvPr id="457" name="矩形 59"/>
                                        <wps:cNvSpPr/>
                                        <wps:spPr>
                                          <a:xfrm>
                                            <a:off x="4114" y="8138"/>
                                            <a:ext cx="2679" cy="38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4930A23">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螯合物车间</w:t>
                                              </w:r>
                                              <w:r>
                                                <w:rPr>
                                                  <w:rFonts w:hint="default" w:ascii="Times New Roman" w:hAnsi="Times New Roman" w:eastAsia="宋体" w:cs="Times New Roman"/>
                                                  <w:color w:val="auto"/>
                                                  <w:kern w:val="0"/>
                                                  <w:sz w:val="21"/>
                                                  <w:szCs w:val="21"/>
                                                </w:rPr>
                                                <w:t>（-</w:t>
                                              </w:r>
                                              <w:r>
                                                <w:rPr>
                                                  <w:rFonts w:hint="eastAsia" w:cs="Times New Roman"/>
                                                  <w:color w:val="auto"/>
                                                  <w:kern w:val="0"/>
                                                  <w:sz w:val="21"/>
                                                  <w:szCs w:val="21"/>
                                                  <w:lang w:val="en-US" w:eastAsia="zh-CN"/>
                                                </w:rPr>
                                                <w:t>34.5</w:t>
                                              </w:r>
                                              <w:r>
                                                <w:rPr>
                                                  <w:rFonts w:hint="default" w:ascii="Times New Roman" w:hAnsi="Times New Roman" w:eastAsia="宋体" w:cs="Times New Roman"/>
                                                  <w:color w:val="auto"/>
                                                  <w:kern w:val="0"/>
                                                  <w:sz w:val="21"/>
                                                  <w:szCs w:val="21"/>
                                                </w:rPr>
                                                <w:t>）</w:t>
                                              </w:r>
                                            </w:p>
                                          </w:txbxContent>
                                        </wps:txbx>
                                        <wps:bodyPr upright="1"/>
                                      </wps:wsp>
                                      <wps:wsp>
                                        <wps:cNvPr id="458" name="矩形 60"/>
                                        <wps:cNvSpPr/>
                                        <wps:spPr>
                                          <a:xfrm>
                                            <a:off x="3308" y="7426"/>
                                            <a:ext cx="1648" cy="613"/>
                                          </a:xfrm>
                                          <a:prstGeom prst="rect">
                                            <a:avLst/>
                                          </a:prstGeom>
                                          <a:noFill/>
                                          <a:ln>
                                            <a:noFill/>
                                          </a:ln>
                                          <a:effectLst/>
                                        </wps:spPr>
                                        <wps:txbx>
                                          <w:txbxContent>
                                            <w:p w14:paraId="5087D6C2">
                                              <w:pPr>
                                                <w:widowControl w:val="0"/>
                                                <w:autoSpaceDE w:val="0"/>
                                                <w:autoSpaceDN w:val="0"/>
                                                <w:spacing w:line="240" w:lineRule="exact"/>
                                                <w:ind w:left="-120" w:leftChars="-50" w:right="-120" w:rightChars="-50" w:firstLine="0" w:firstLineChars="0"/>
                                                <w:jc w:val="center"/>
                                                <w:rPr>
                                                  <w:rFonts w:hint="default" w:ascii="宋体" w:hAnsi="宋体" w:eastAsia="宋体" w:cs="宋体"/>
                                                  <w:kern w:val="0"/>
                                                  <w:lang w:val="en-US" w:eastAsia="zh-CN"/>
                                                </w:rPr>
                                              </w:pPr>
                                              <w:r>
                                                <w:rPr>
                                                  <w:rFonts w:ascii="Times New Roman" w:hAnsi="Times New Roman" w:eastAsia="宋体" w:cs="Times New Roman"/>
                                                  <w:kern w:val="0"/>
                                                  <w:sz w:val="21"/>
                                                  <w:szCs w:val="21"/>
                                                </w:rPr>
                                                <w:t>原料带入</w:t>
                                              </w:r>
                                              <w:r>
                                                <w:rPr>
                                                  <w:rFonts w:hint="eastAsia" w:cs="Times New Roman"/>
                                                  <w:kern w:val="0"/>
                                                  <w:sz w:val="21"/>
                                                  <w:szCs w:val="21"/>
                                                  <w:lang w:val="en-US" w:eastAsia="zh-CN"/>
                                                </w:rPr>
                                                <w:t>及反应生成</w:t>
                                              </w:r>
                                              <w:r>
                                                <w:rPr>
                                                  <w:rFonts w:hint="eastAsia" w:cs="Times New Roman"/>
                                                  <w:color w:val="auto"/>
                                                  <w:kern w:val="0"/>
                                                  <w:sz w:val="21"/>
                                                  <w:szCs w:val="21"/>
                                                  <w:lang w:val="en-US" w:eastAsia="zh-CN"/>
                                                </w:rPr>
                                                <w:t>21.9</w:t>
                                              </w:r>
                                            </w:p>
                                          </w:txbxContent>
                                        </wps:txbx>
                                        <wps:bodyPr upright="1"/>
                                      </wps:wsp>
                                      <wps:wsp>
                                        <wps:cNvPr id="150" name="矩形 61"/>
                                        <wps:cNvSpPr/>
                                        <wps:spPr>
                                          <a:xfrm>
                                            <a:off x="7890" y="7964"/>
                                            <a:ext cx="1052" cy="549"/>
                                          </a:xfrm>
                                          <a:prstGeom prst="rect">
                                            <a:avLst/>
                                          </a:prstGeom>
                                          <a:noFill/>
                                          <a:ln>
                                            <a:noFill/>
                                          </a:ln>
                                          <a:effectLst/>
                                        </wps:spPr>
                                        <wps:txbx>
                                          <w:txbxContent>
                                            <w:p w14:paraId="32C2D9E5">
                                              <w:pPr>
                                                <w:widowControl/>
                                                <w:spacing w:line="240" w:lineRule="auto"/>
                                                <w:ind w:firstLine="0" w:firstLineChars="0"/>
                                                <w:jc w:val="left"/>
                                                <w:rPr>
                                                  <w:rFonts w:hint="default" w:ascii="Times New Roman" w:hAnsi="Times New Roman" w:eastAsia="宋体" w:cs="Times New Roman"/>
                                                  <w:color w:val="auto"/>
                                                  <w:kern w:val="0"/>
                                                  <w:sz w:val="21"/>
                                                  <w:szCs w:val="21"/>
                                                  <w:lang w:val="en-US"/>
                                                </w:rPr>
                                              </w:pPr>
                                              <w:r>
                                                <w:rPr>
                                                  <w:rFonts w:hint="eastAsia" w:cs="Times New Roman"/>
                                                  <w:color w:val="auto"/>
                                                  <w:kern w:val="0"/>
                                                  <w:sz w:val="21"/>
                                                  <w:szCs w:val="21"/>
                                                  <w:lang w:val="en-US" w:eastAsia="zh-CN"/>
                                                </w:rPr>
                                                <w:t>44.3</w:t>
                                              </w:r>
                                            </w:p>
                                          </w:txbxContent>
                                        </wps:txbx>
                                        <wps:bodyPr upright="1"/>
                                      </wps:wsp>
                                      <wps:wsp>
                                        <wps:cNvPr id="460" name="矩形 62"/>
                                        <wps:cNvSpPr/>
                                        <wps:spPr>
                                          <a:xfrm>
                                            <a:off x="3264" y="7977"/>
                                            <a:ext cx="997" cy="421"/>
                                          </a:xfrm>
                                          <a:prstGeom prst="rect">
                                            <a:avLst/>
                                          </a:prstGeom>
                                          <a:noFill/>
                                          <a:ln>
                                            <a:noFill/>
                                          </a:ln>
                                          <a:effectLst/>
                                        </wps:spPr>
                                        <wps:txbx>
                                          <w:txbxContent>
                                            <w:p w14:paraId="1CB9EE9D">
                                              <w:pPr>
                                                <w:widowControl/>
                                                <w:spacing w:line="240" w:lineRule="auto"/>
                                                <w:ind w:firstLine="0" w:firstLineChars="0"/>
                                                <w:jc w:val="left"/>
                                                <w:rPr>
                                                  <w:rFonts w:hint="default" w:ascii="Times New Roman" w:hAnsi="Times New Roman" w:eastAsia="宋体" w:cs="Times New Roman"/>
                                                  <w:color w:val="FF0000"/>
                                                  <w:kern w:val="0"/>
                                                  <w:sz w:val="21"/>
                                                  <w:szCs w:val="21"/>
                                                  <w:lang w:val="en-US" w:eastAsia="zh-CN"/>
                                                </w:rPr>
                                              </w:pPr>
                                              <w:r>
                                                <w:rPr>
                                                  <w:rFonts w:hint="eastAsia" w:cs="Times New Roman"/>
                                                  <w:color w:val="auto"/>
                                                  <w:kern w:val="0"/>
                                                  <w:sz w:val="21"/>
                                                  <w:szCs w:val="21"/>
                                                  <w:lang w:val="en-US" w:eastAsia="zh-CN"/>
                                                </w:rPr>
                                                <w:t>62</w:t>
                                              </w:r>
                                            </w:p>
                                          </w:txbxContent>
                                        </wps:txbx>
                                        <wps:bodyPr upright="1"/>
                                      </wps:wsp>
                                      <wps:wsp>
                                        <wps:cNvPr id="461" name="直接连接符 63"/>
                                        <wps:cNvCnPr/>
                                        <wps:spPr>
                                          <a:xfrm flipV="1">
                                            <a:off x="6806" y="8327"/>
                                            <a:ext cx="2381" cy="0"/>
                                          </a:xfrm>
                                          <a:prstGeom prst="line">
                                            <a:avLst/>
                                          </a:prstGeom>
                                          <a:ln w="9525" cap="flat" cmpd="sng">
                                            <a:solidFill>
                                              <a:srgbClr val="000000"/>
                                            </a:solidFill>
                                            <a:prstDash val="solid"/>
                                            <a:round/>
                                            <a:headEnd type="none" w="med" len="med"/>
                                            <a:tailEnd type="triangle" w="med" len="med"/>
                                          </a:ln>
                                          <a:effectLst/>
                                        </wps:spPr>
                                        <wps:bodyPr/>
                                      </wps:wsp>
                                      <wps:wsp>
                                        <wps:cNvPr id="462" name="直接连接符 64"/>
                                        <wps:cNvCnPr/>
                                        <wps:spPr>
                                          <a:xfrm>
                                            <a:off x="3170" y="8310"/>
                                            <a:ext cx="963" cy="1"/>
                                          </a:xfrm>
                                          <a:prstGeom prst="line">
                                            <a:avLst/>
                                          </a:prstGeom>
                                          <a:ln w="9525" cap="flat" cmpd="sng">
                                            <a:solidFill>
                                              <a:srgbClr val="000000"/>
                                            </a:solidFill>
                                            <a:prstDash val="solid"/>
                                            <a:round/>
                                            <a:headEnd type="none" w="med" len="med"/>
                                            <a:tailEnd type="triangle" w="med" len="med"/>
                                          </a:ln>
                                          <a:effectLst/>
                                        </wps:spPr>
                                        <wps:bodyPr/>
                                      </wps:wsp>
                                      <wpg:grpSp>
                                        <wpg:cNvPr id="50" name="组合 67"/>
                                        <wpg:cNvGrpSpPr/>
                                        <wpg:grpSpPr>
                                          <a:xfrm>
                                            <a:off x="4880" y="7829"/>
                                            <a:ext cx="508" cy="2181"/>
                                            <a:chOff x="2786" y="7829"/>
                                            <a:chExt cx="1725" cy="2181"/>
                                          </a:xfrm>
                                          <a:effectLst/>
                                        </wpg:grpSpPr>
                                        <wps:wsp>
                                          <wps:cNvPr id="464" name="直接连接符 65"/>
                                          <wps:cNvCnPr/>
                                          <wps:spPr>
                                            <a:xfrm flipH="1">
                                              <a:off x="4511" y="7829"/>
                                              <a:ext cx="0" cy="283"/>
                                            </a:xfrm>
                                            <a:prstGeom prst="line">
                                              <a:avLst/>
                                            </a:prstGeom>
                                            <a:ln w="9525" cap="flat" cmpd="sng">
                                              <a:solidFill>
                                                <a:srgbClr val="000000"/>
                                              </a:solidFill>
                                              <a:prstDash val="solid"/>
                                              <a:round/>
                                              <a:headEnd type="none" w="med" len="med"/>
                                              <a:tailEnd type="triangle" w="med" len="med"/>
                                            </a:ln>
                                            <a:effectLst/>
                                          </wps:spPr>
                                          <wps:bodyPr/>
                                        </wps:wsp>
                                        <wps:wsp>
                                          <wps:cNvPr id="465" name="直接连接符 66"/>
                                          <wps:cNvCnPr/>
                                          <wps:spPr>
                                            <a:xfrm flipV="1">
                                              <a:off x="2786" y="10010"/>
                                              <a:ext cx="1725" cy="0"/>
                                            </a:xfrm>
                                            <a:prstGeom prst="line">
                                              <a:avLst/>
                                            </a:prstGeom>
                                            <a:ln w="9525" cap="flat" cmpd="sng">
                                              <a:solidFill>
                                                <a:srgbClr val="000000"/>
                                              </a:solidFill>
                                              <a:prstDash val="solid"/>
                                              <a:round/>
                                              <a:headEnd type="none" w="med" len="med"/>
                                              <a:tailEnd type="none" w="med" len="med"/>
                                            </a:ln>
                                            <a:effectLst/>
                                          </wps:spPr>
                                          <wps:bodyPr/>
                                        </wps:wsp>
                                      </wpg:grpSp>
                                    </wpg:grpSp>
                                    <wps:wsp>
                                      <wps:cNvPr id="466" name="矩形 81"/>
                                      <wps:cNvSpPr/>
                                      <wps:spPr>
                                        <a:xfrm>
                                          <a:off x="6494" y="9189"/>
                                          <a:ext cx="2549" cy="459"/>
                                        </a:xfrm>
                                        <a:prstGeom prst="rect">
                                          <a:avLst/>
                                        </a:prstGeom>
                                        <a:noFill/>
                                        <a:ln w="9525" cap="flat" cmpd="sng">
                                          <a:noFill/>
                                          <a:prstDash val="solid"/>
                                          <a:miter/>
                                          <a:headEnd type="none" w="med" len="med"/>
                                          <a:tailEnd type="none" w="med" len="med"/>
                                        </a:ln>
                                        <a:effectLst/>
                                      </wps:spPr>
                                      <wps:txbx>
                                        <w:txbxContent>
                                          <w:p w14:paraId="6771019B">
                                            <w:pPr>
                                              <w:widowControl/>
                                              <w:spacing w:line="240" w:lineRule="auto"/>
                                              <w:ind w:firstLine="0" w:firstLineChars="0"/>
                                              <w:jc w:val="center"/>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rPr>
                                              <w:t>甘氨酸螯合物</w:t>
                                            </w:r>
                                            <w:r>
                                              <w:rPr>
                                                <w:rFonts w:hint="default" w:ascii="Times New Roman" w:hAnsi="Times New Roman" w:eastAsia="宋体" w:cs="Times New Roman"/>
                                                <w:kern w:val="0"/>
                                                <w:sz w:val="21"/>
                                                <w:szCs w:val="21"/>
                                              </w:rPr>
                                              <w:t>5.1</w:t>
                                            </w:r>
                                          </w:p>
                                        </w:txbxContent>
                                      </wps:txbx>
                                      <wps:bodyPr upright="1"/>
                                    </wps:wsp>
                                  </wpg:grpSp>
                                </wpg:grpSp>
                                <wps:wsp>
                                  <wps:cNvPr id="467" name="矩形 280"/>
                                  <wps:cNvSpPr/>
                                  <wps:spPr>
                                    <a:xfrm>
                                      <a:off x="2416" y="3401527"/>
                                      <a:ext cx="1256" cy="905"/>
                                    </a:xfrm>
                                    <a:prstGeom prst="rect">
                                      <a:avLst/>
                                    </a:prstGeom>
                                    <a:noFill/>
                                    <a:ln>
                                      <a:noFill/>
                                    </a:ln>
                                    <a:effectLst/>
                                  </wps:spPr>
                                  <wps:txbx>
                                    <w:txbxContent>
                                      <w:p w14:paraId="69C51F58">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rPr>
                                          <w:t>新鲜水</w:t>
                                        </w:r>
                                        <w:r>
                                          <w:rPr>
                                            <w:rFonts w:hint="eastAsia" w:cs="Times New Roman"/>
                                            <w:color w:val="auto"/>
                                            <w:kern w:val="0"/>
                                            <w:sz w:val="21"/>
                                            <w:szCs w:val="21"/>
                                            <w:lang w:val="en-US" w:eastAsia="zh-CN"/>
                                          </w:rPr>
                                          <w:t>2096.59</w:t>
                                        </w:r>
                                      </w:p>
                                      <w:p w14:paraId="44178DED">
                                        <w:pPr>
                                          <w:widowControl w:val="0"/>
                                          <w:autoSpaceDE w:val="0"/>
                                          <w:autoSpaceDN w:val="0"/>
                                          <w:adjustRightInd w:val="0"/>
                                          <w:rPr>
                                            <w:rFonts w:hint="default" w:ascii="Times New Roman" w:hAnsi="Times New Roman" w:eastAsia="宋体" w:cs="Times New Roman"/>
                                            <w:color w:val="000000"/>
                                            <w:kern w:val="2"/>
                                            <w:sz w:val="24"/>
                                            <w:szCs w:val="24"/>
                                            <w:lang w:val="en-US" w:eastAsia="zh-CN" w:bidi="ar-SA"/>
                                          </w:rPr>
                                        </w:pPr>
                                      </w:p>
                                    </w:txbxContent>
                                  </wps:txbx>
                                  <wps:bodyPr upright="1"/>
                                </wps:wsp>
                                <wps:wsp>
                                  <wps:cNvPr id="468" name="直接连接符 125"/>
                                  <wps:cNvCnPr/>
                                  <wps:spPr>
                                    <a:xfrm flipV="1">
                                      <a:off x="2191" y="3401924"/>
                                      <a:ext cx="1531" cy="1"/>
                                    </a:xfrm>
                                    <a:prstGeom prst="line">
                                      <a:avLst/>
                                    </a:prstGeom>
                                    <a:ln w="9525" cap="flat" cmpd="sng">
                                      <a:solidFill>
                                        <a:srgbClr val="000000"/>
                                      </a:solidFill>
                                      <a:prstDash val="solid"/>
                                      <a:round/>
                                      <a:headEnd type="none" w="med" len="med"/>
                                      <a:tailEnd type="triangle" w="med" len="med"/>
                                    </a:ln>
                                    <a:effectLst/>
                                  </wps:spPr>
                                  <wps:bodyPr/>
                                </wps:wsp>
                                <wpg:grpSp>
                                  <wpg:cNvPr id="59" name="组合 1178"/>
                                  <wpg:cNvGrpSpPr/>
                                  <wpg:grpSpPr>
                                    <a:xfrm>
                                      <a:off x="3694" y="3402491"/>
                                      <a:ext cx="6051" cy="623"/>
                                      <a:chOff x="4134" y="4333"/>
                                      <a:chExt cx="6051" cy="623"/>
                                    </a:xfrm>
                                  </wpg:grpSpPr>
                                  <wpg:grpSp>
                                    <wpg:cNvPr id="60" name="组合 10"/>
                                    <wpg:cNvGrpSpPr/>
                                    <wpg:grpSpPr>
                                      <a:xfrm>
                                        <a:off x="4134" y="4395"/>
                                        <a:ext cx="4199" cy="561"/>
                                        <a:chOff x="3165" y="3172"/>
                                        <a:chExt cx="4199" cy="561"/>
                                      </a:xfrm>
                                    </wpg:grpSpPr>
                                    <wps:wsp>
                                      <wps:cNvPr id="471" name="矩形 43"/>
                                      <wps:cNvSpPr/>
                                      <wps:spPr>
                                        <a:xfrm>
                                          <a:off x="4107" y="3311"/>
                                          <a:ext cx="3257" cy="42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3A13098">
                                            <w:pPr>
                                              <w:widowControl/>
                                              <w:spacing w:line="260" w:lineRule="exact"/>
                                              <w:ind w:firstLine="0" w:firstLineChars="0"/>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10000氨基乙酸（-9.7）</w:t>
                                            </w:r>
                                          </w:p>
                                        </w:txbxContent>
                                      </wps:txbx>
                                      <wps:bodyPr upright="1"/>
                                    </wps:wsp>
                                    <wps:wsp>
                                      <wps:cNvPr id="472" name="直接连接符 44"/>
                                      <wps:cNvCnPr/>
                                      <wps:spPr>
                                        <a:xfrm flipV="1">
                                          <a:off x="3236" y="3521"/>
                                          <a:ext cx="907" cy="1"/>
                                        </a:xfrm>
                                        <a:prstGeom prst="line">
                                          <a:avLst/>
                                        </a:prstGeom>
                                        <a:ln w="9525" cap="flat" cmpd="sng">
                                          <a:solidFill>
                                            <a:srgbClr val="000000"/>
                                          </a:solidFill>
                                          <a:prstDash val="solid"/>
                                          <a:round/>
                                          <a:headEnd type="none" w="med" len="med"/>
                                          <a:tailEnd type="triangle" w="med" len="med"/>
                                        </a:ln>
                                        <a:effectLst/>
                                      </wps:spPr>
                                      <wps:bodyPr/>
                                    </wps:wsp>
                                    <wps:wsp>
                                      <wps:cNvPr id="473" name="矩形 34"/>
                                      <wps:cNvSpPr/>
                                      <wps:spPr>
                                        <a:xfrm>
                                          <a:off x="3165" y="3172"/>
                                          <a:ext cx="979" cy="392"/>
                                        </a:xfrm>
                                        <a:prstGeom prst="rect">
                                          <a:avLst/>
                                        </a:prstGeom>
                                        <a:noFill/>
                                        <a:ln>
                                          <a:noFill/>
                                        </a:ln>
                                        <a:effectLst/>
                                      </wps:spPr>
                                      <wps:txbx>
                                        <w:txbxContent>
                                          <w:p w14:paraId="1F50E8A5">
                                            <w:pPr>
                                              <w:widowControl w:val="0"/>
                                              <w:autoSpaceDE w:val="0"/>
                                              <w:autoSpaceDN w:val="0"/>
                                              <w:spacing w:line="240" w:lineRule="exact"/>
                                              <w:ind w:left="-120" w:leftChars="-50" w:right="-120" w:rightChars="-5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27.1</w:t>
                                            </w:r>
                                          </w:p>
                                        </w:txbxContent>
                                      </wps:txbx>
                                      <wps:bodyPr upright="1"/>
                                    </wps:wsp>
                                  </wpg:grpSp>
                                  <wps:wsp>
                                    <wps:cNvPr id="474" name="直接连接符 45"/>
                                    <wps:cNvCnPr/>
                                    <wps:spPr>
                                      <a:xfrm>
                                        <a:off x="8370" y="4741"/>
                                        <a:ext cx="1815" cy="2"/>
                                      </a:xfrm>
                                      <a:prstGeom prst="line">
                                        <a:avLst/>
                                      </a:prstGeom>
                                      <a:ln w="9525" cap="flat" cmpd="sng">
                                        <a:solidFill>
                                          <a:srgbClr val="000000"/>
                                        </a:solidFill>
                                        <a:prstDash val="solid"/>
                                        <a:round/>
                                        <a:headEnd type="none" w="med" len="med"/>
                                        <a:tailEnd type="triangle" w="med" len="med"/>
                                      </a:ln>
                                      <a:effectLst/>
                                    </wps:spPr>
                                    <wps:bodyPr/>
                                  </wps:wsp>
                                  <wps:wsp>
                                    <wps:cNvPr id="475" name="矩形 3"/>
                                    <wps:cNvSpPr/>
                                    <wps:spPr>
                                      <a:xfrm>
                                        <a:off x="8932" y="4333"/>
                                        <a:ext cx="839" cy="475"/>
                                      </a:xfrm>
                                      <a:prstGeom prst="rect">
                                        <a:avLst/>
                                      </a:prstGeom>
                                      <a:noFill/>
                                      <a:ln>
                                        <a:noFill/>
                                      </a:ln>
                                      <a:effectLst/>
                                    </wps:spPr>
                                    <wps:txbx>
                                      <w:txbxContent>
                                        <w:p w14:paraId="740986C6">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17.4</w:t>
                                          </w:r>
                                        </w:p>
                                      </w:txbxContent>
                                    </wps:txbx>
                                    <wps:bodyPr upright="1"/>
                                  </wps:wsp>
                                </wpg:grpSp>
                                <wpg:grpSp>
                                  <wpg:cNvPr id="61" name="组合 1187"/>
                                  <wpg:cNvGrpSpPr/>
                                  <wpg:grpSpPr>
                                    <a:xfrm>
                                      <a:off x="3761" y="3403175"/>
                                      <a:ext cx="5983" cy="685"/>
                                      <a:chOff x="3838" y="3845"/>
                                      <a:chExt cx="5983" cy="685"/>
                                    </a:xfrm>
                                  </wpg:grpSpPr>
                                  <wps:wsp>
                                    <wps:cNvPr id="477" name="直接连接符 1"/>
                                    <wps:cNvCnPr/>
                                    <wps:spPr>
                                      <a:xfrm flipV="1">
                                        <a:off x="6980" y="4268"/>
                                        <a:ext cx="2841" cy="13"/>
                                      </a:xfrm>
                                      <a:prstGeom prst="line">
                                        <a:avLst/>
                                      </a:prstGeom>
                                      <a:ln w="9525" cap="flat" cmpd="sng">
                                        <a:solidFill>
                                          <a:srgbClr val="000000"/>
                                        </a:solidFill>
                                        <a:prstDash val="solid"/>
                                        <a:round/>
                                        <a:headEnd type="none" w="med" len="med"/>
                                        <a:tailEnd type="triangle" w="med" len="med"/>
                                      </a:ln>
                                      <a:effectLst/>
                                    </wps:spPr>
                                    <wps:bodyPr/>
                                  </wps:wsp>
                                  <wps:wsp>
                                    <wps:cNvPr id="478" name="矩形 4"/>
                                    <wps:cNvSpPr/>
                                    <wps:spPr>
                                      <a:xfrm>
                                        <a:off x="4855" y="4102"/>
                                        <a:ext cx="2121" cy="42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6C58F22">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海因车间</w:t>
                                          </w:r>
                                          <w:r>
                                            <w:rPr>
                                              <w:rFonts w:hint="default" w:ascii="Times New Roman" w:hAnsi="Times New Roman" w:eastAsia="宋体" w:cs="Times New Roman"/>
                                              <w:kern w:val="0"/>
                                              <w:sz w:val="21"/>
                                              <w:szCs w:val="21"/>
                                            </w:rPr>
                                            <w:t>（-1.7）</w:t>
                                          </w:r>
                                        </w:p>
                                      </w:txbxContent>
                                    </wps:txbx>
                                    <wps:bodyPr upright="1"/>
                                  </wps:wsp>
                                  <wps:wsp>
                                    <wps:cNvPr id="479" name="直接连接符 5"/>
                                    <wps:cNvCnPr/>
                                    <wps:spPr>
                                      <a:xfrm>
                                        <a:off x="3838" y="4300"/>
                                        <a:ext cx="1020" cy="1"/>
                                      </a:xfrm>
                                      <a:prstGeom prst="line">
                                        <a:avLst/>
                                      </a:prstGeom>
                                      <a:ln w="9525" cap="flat" cmpd="sng">
                                        <a:solidFill>
                                          <a:srgbClr val="000000"/>
                                        </a:solidFill>
                                        <a:prstDash val="solid"/>
                                        <a:round/>
                                        <a:headEnd type="none" w="med" len="med"/>
                                        <a:tailEnd type="triangle" w="med" len="med"/>
                                      </a:ln>
                                      <a:effectLst/>
                                    </wps:spPr>
                                    <wps:bodyPr/>
                                  </wps:wsp>
                                  <wps:wsp>
                                    <wps:cNvPr id="480" name="矩形 6"/>
                                    <wps:cNvSpPr/>
                                    <wps:spPr>
                                      <a:xfrm>
                                        <a:off x="3843" y="3945"/>
                                        <a:ext cx="927" cy="505"/>
                                      </a:xfrm>
                                      <a:prstGeom prst="rect">
                                        <a:avLst/>
                                      </a:prstGeom>
                                      <a:noFill/>
                                      <a:ln>
                                        <a:noFill/>
                                      </a:ln>
                                      <a:effectLst/>
                                    </wps:spPr>
                                    <wps:txbx>
                                      <w:txbxContent>
                                        <w:p w14:paraId="297211AA">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15.7</w:t>
                                          </w:r>
                                        </w:p>
                                      </w:txbxContent>
                                    </wps:txbx>
                                    <wps:bodyPr upright="1"/>
                                  </wps:wsp>
                                  <wps:wsp>
                                    <wps:cNvPr id="481" name="矩形 24"/>
                                    <wps:cNvSpPr/>
                                    <wps:spPr>
                                      <a:xfrm>
                                        <a:off x="8007" y="3845"/>
                                        <a:ext cx="1798" cy="431"/>
                                      </a:xfrm>
                                      <a:prstGeom prst="rect">
                                        <a:avLst/>
                                      </a:prstGeom>
                                      <a:noFill/>
                                      <a:ln w="9525" cap="flat" cmpd="sng">
                                        <a:noFill/>
                                        <a:prstDash val="solid"/>
                                        <a:miter/>
                                        <a:headEnd type="none" w="med" len="med"/>
                                        <a:tailEnd type="none" w="med" len="med"/>
                                      </a:ln>
                                      <a:effectLst/>
                                    </wps:spPr>
                                    <wps:txbx>
                                      <w:txbxContent>
                                        <w:p w14:paraId="60BE4E4E">
                                          <w:pPr>
                                            <w:widowControl/>
                                            <w:spacing w:line="240" w:lineRule="auto"/>
                                            <w:ind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14</w:t>
                                          </w:r>
                                        </w:p>
                                        <w:p w14:paraId="5916A327">
                                          <w:pPr>
                                            <w:widowControl w:val="0"/>
                                            <w:autoSpaceDE w:val="0"/>
                                            <w:autoSpaceDN w:val="0"/>
                                            <w:adjustRightInd w:val="0"/>
                                            <w:rPr>
                                              <w:rFonts w:hint="default" w:ascii="Times New Roman" w:hAnsi="Times New Roman" w:eastAsia="宋体" w:cs="Times New Roman"/>
                                              <w:color w:val="000000"/>
                                              <w:kern w:val="2"/>
                                              <w:sz w:val="21"/>
                                              <w:szCs w:val="21"/>
                                              <w:lang w:val="en-US" w:eastAsia="zh-CN" w:bidi="ar-SA"/>
                                            </w:rPr>
                                          </w:pPr>
                                        </w:p>
                                      </w:txbxContent>
                                    </wps:txbx>
                                    <wps:bodyPr upright="1"/>
                                  </wps:wsp>
                                </wpg:grpSp>
                                <wpg:grpSp>
                                  <wpg:cNvPr id="70" name="组合 1193"/>
                                  <wpg:cNvGrpSpPr/>
                                  <wpg:grpSpPr>
                                    <a:xfrm>
                                      <a:off x="3739" y="3403831"/>
                                      <a:ext cx="5983" cy="1119"/>
                                      <a:chOff x="4120" y="18416"/>
                                      <a:chExt cx="5983" cy="1119"/>
                                    </a:xfrm>
                                  </wpg:grpSpPr>
                                  <wps:wsp>
                                    <wps:cNvPr id="451" name="直接连接符 281"/>
                                    <wps:cNvCnPr/>
                                    <wps:spPr>
                                      <a:xfrm>
                                        <a:off x="7438" y="18828"/>
                                        <a:ext cx="2665" cy="0"/>
                                      </a:xfrm>
                                      <a:prstGeom prst="line">
                                        <a:avLst/>
                                      </a:prstGeom>
                                      <a:ln w="9525" cap="flat" cmpd="sng">
                                        <a:solidFill>
                                          <a:srgbClr val="000000"/>
                                        </a:solidFill>
                                        <a:prstDash val="solid"/>
                                        <a:round/>
                                        <a:headEnd type="none" w="med" len="med"/>
                                        <a:tailEnd type="triangle" w="med" len="med"/>
                                      </a:ln>
                                      <a:effectLst/>
                                    </wps:spPr>
                                    <wps:bodyPr/>
                                  </wps:wsp>
                                  <wpg:grpSp>
                                    <wpg:cNvPr id="75" name="组合 63"/>
                                    <wpg:cNvGrpSpPr/>
                                    <wpg:grpSpPr>
                                      <a:xfrm>
                                        <a:off x="4120" y="18416"/>
                                        <a:ext cx="5789" cy="1119"/>
                                        <a:chOff x="5066" y="18392"/>
                                        <a:chExt cx="5789" cy="1119"/>
                                      </a:xfrm>
                                    </wpg:grpSpPr>
                                    <wps:wsp>
                                      <wps:cNvPr id="455" name="矩形 97"/>
                                      <wps:cNvSpPr/>
                                      <wps:spPr>
                                        <a:xfrm>
                                          <a:off x="5108" y="18434"/>
                                          <a:ext cx="1007" cy="471"/>
                                        </a:xfrm>
                                        <a:prstGeom prst="rect">
                                          <a:avLst/>
                                        </a:prstGeom>
                                        <a:noFill/>
                                        <a:ln>
                                          <a:noFill/>
                                        </a:ln>
                                        <a:effectLst/>
                                      </wps:spPr>
                                      <wps:txbx>
                                        <w:txbxContent>
                                          <w:p w14:paraId="54EDDE34">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344.4</w:t>
                                            </w:r>
                                          </w:p>
                                        </w:txbxContent>
                                      </wps:txbx>
                                      <wps:bodyPr upright="1"/>
                                    </wps:wsp>
                                    <wps:wsp>
                                      <wps:cNvPr id="486" name="矩形 98"/>
                                      <wps:cNvSpPr/>
                                      <wps:spPr>
                                        <a:xfrm>
                                          <a:off x="5897" y="18606"/>
                                          <a:ext cx="3123" cy="50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64B7A0A">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循环冷却水系统</w:t>
                                            </w:r>
                                            <w:r>
                                              <w:rPr>
                                                <w:rFonts w:hint="default" w:ascii="Times New Roman" w:hAnsi="Times New Roman" w:eastAsia="宋体" w:cs="Times New Roman"/>
                                                <w:kern w:val="0"/>
                                                <w:sz w:val="21"/>
                                                <w:szCs w:val="21"/>
                                              </w:rPr>
                                              <w:t>（</w:t>
                                            </w:r>
                                            <w:r>
                                              <w:rPr>
                                                <w:rFonts w:hint="default" w:ascii="Times New Roman" w:hAnsi="Times New Roman" w:eastAsia="宋体" w:cs="Times New Roman"/>
                                                <w:color w:val="auto"/>
                                                <w:kern w:val="0"/>
                                                <w:sz w:val="21"/>
                                                <w:szCs w:val="21"/>
                                              </w:rPr>
                                              <w:t>-</w:t>
                                            </w:r>
                                            <w:r>
                                              <w:rPr>
                                                <w:rFonts w:hint="eastAsia" w:cs="Times New Roman"/>
                                                <w:color w:val="auto"/>
                                                <w:kern w:val="0"/>
                                                <w:sz w:val="21"/>
                                                <w:szCs w:val="21"/>
                                                <w:lang w:val="en-US" w:eastAsia="zh-CN"/>
                                              </w:rPr>
                                              <w:t>173.6</w:t>
                                            </w:r>
                                            <w:r>
                                              <w:rPr>
                                                <w:rFonts w:hint="default" w:ascii="Times New Roman" w:hAnsi="Times New Roman" w:eastAsia="宋体" w:cs="Times New Roman"/>
                                                <w:kern w:val="0"/>
                                                <w:sz w:val="21"/>
                                                <w:szCs w:val="21"/>
                                              </w:rPr>
                                              <w:t>）</w:t>
                                            </w:r>
                                          </w:p>
                                        </w:txbxContent>
                                      </wps:txbx>
                                      <wps:bodyPr upright="1"/>
                                    </wps:wsp>
                                    <wps:wsp>
                                      <wps:cNvPr id="456" name="直接连接符 104"/>
                                      <wps:cNvCnPr/>
                                      <wps:spPr>
                                        <a:xfrm>
                                          <a:off x="5066" y="18838"/>
                                          <a:ext cx="837" cy="1"/>
                                        </a:xfrm>
                                        <a:prstGeom prst="line">
                                          <a:avLst/>
                                        </a:prstGeom>
                                        <a:ln w="9525" cap="flat" cmpd="sng">
                                          <a:solidFill>
                                            <a:srgbClr val="000000"/>
                                          </a:solidFill>
                                          <a:prstDash val="solid"/>
                                          <a:round/>
                                          <a:headEnd type="none" w="med" len="med"/>
                                          <a:tailEnd type="triangle" w="med" len="med"/>
                                        </a:ln>
                                        <a:effectLst/>
                                      </wps:spPr>
                                      <wps:bodyPr/>
                                    </wps:wsp>
                                    <wpg:grpSp>
                                      <wpg:cNvPr id="76" name="组合 61"/>
                                      <wpg:cNvGrpSpPr/>
                                      <wpg:grpSpPr>
                                        <a:xfrm>
                                          <a:off x="8047" y="18952"/>
                                          <a:ext cx="1327" cy="559"/>
                                          <a:chOff x="8462" y="19392"/>
                                          <a:chExt cx="1327" cy="559"/>
                                        </a:xfrm>
                                      </wpg:grpSpPr>
                                      <wpg:grpSp>
                                        <wpg:cNvPr id="77" name="组合 103"/>
                                        <wpg:cNvGrpSpPr/>
                                        <wpg:grpSpPr>
                                          <a:xfrm>
                                            <a:off x="8462" y="19392"/>
                                            <a:ext cx="1243" cy="406"/>
                                            <a:chOff x="5593" y="870172"/>
                                            <a:chExt cx="1206" cy="343"/>
                                          </a:xfrm>
                                          <a:effectLst/>
                                        </wpg:grpSpPr>
                                        <wps:wsp>
                                          <wps:cNvPr id="470" name="直接连接符 99"/>
                                          <wps:cNvCnPr/>
                                          <wps:spPr>
                                            <a:xfrm>
                                              <a:off x="6525" y="870183"/>
                                              <a:ext cx="274" cy="3"/>
                                            </a:xfrm>
                                            <a:prstGeom prst="line">
                                              <a:avLst/>
                                            </a:prstGeom>
                                            <a:ln w="9525" cap="flat" cmpd="sng">
                                              <a:solidFill>
                                                <a:srgbClr val="000000"/>
                                              </a:solidFill>
                                              <a:prstDash val="solid"/>
                                              <a:round/>
                                              <a:headEnd type="none" w="med" len="med"/>
                                              <a:tailEnd type="none" w="med" len="med"/>
                                            </a:ln>
                                            <a:effectLst/>
                                          </wps:spPr>
                                          <wps:bodyPr/>
                                        </wps:wsp>
                                        <wps:wsp>
                                          <wps:cNvPr id="476" name="直接连接符 100"/>
                                          <wps:cNvCnPr/>
                                          <wps:spPr>
                                            <a:xfrm>
                                              <a:off x="6775" y="870172"/>
                                              <a:ext cx="0" cy="337"/>
                                            </a:xfrm>
                                            <a:prstGeom prst="line">
                                              <a:avLst/>
                                            </a:prstGeom>
                                            <a:ln w="9525" cap="flat" cmpd="sng">
                                              <a:solidFill>
                                                <a:srgbClr val="000000"/>
                                              </a:solidFill>
                                              <a:prstDash val="solid"/>
                                              <a:round/>
                                              <a:headEnd type="none" w="med" len="med"/>
                                              <a:tailEnd type="none" w="med" len="med"/>
                                            </a:ln>
                                            <a:effectLst/>
                                          </wps:spPr>
                                          <wps:bodyPr/>
                                        </wps:wsp>
                                        <wps:wsp>
                                          <wps:cNvPr id="500" name="直接连接符 101"/>
                                          <wps:cNvCnPr/>
                                          <wps:spPr>
                                            <a:xfrm flipH="1">
                                              <a:off x="5593" y="870501"/>
                                              <a:ext cx="1169" cy="0"/>
                                            </a:xfrm>
                                            <a:prstGeom prst="line">
                                              <a:avLst/>
                                            </a:prstGeom>
                                            <a:ln w="9525" cap="flat" cmpd="sng">
                                              <a:solidFill>
                                                <a:srgbClr val="000000"/>
                                              </a:solidFill>
                                              <a:prstDash val="solid"/>
                                              <a:round/>
                                              <a:headEnd type="none" w="med" len="med"/>
                                              <a:tailEnd type="none" w="med" len="med"/>
                                            </a:ln>
                                            <a:effectLst/>
                                          </wps:spPr>
                                          <wps:bodyPr/>
                                        </wps:wsp>
                                        <wps:wsp>
                                          <wps:cNvPr id="516" name="直接连接符 102"/>
                                          <wps:cNvCnPr/>
                                          <wps:spPr>
                                            <a:xfrm flipV="1">
                                              <a:off x="5605" y="870275"/>
                                              <a:ext cx="1" cy="240"/>
                                            </a:xfrm>
                                            <a:prstGeom prst="line">
                                              <a:avLst/>
                                            </a:prstGeom>
                                            <a:ln w="9525" cap="flat" cmpd="sng">
                                              <a:solidFill>
                                                <a:srgbClr val="000000"/>
                                              </a:solidFill>
                                              <a:prstDash val="solid"/>
                                              <a:round/>
                                              <a:headEnd type="none" w="med" len="med"/>
                                              <a:tailEnd type="triangle" w="med" len="med"/>
                                            </a:ln>
                                            <a:effectLst/>
                                          </wps:spPr>
                                          <wps:bodyPr/>
                                        </wps:wsp>
                                      </wpg:grpSp>
                                      <wps:wsp>
                                        <wps:cNvPr id="518" name="矩形 105"/>
                                        <wps:cNvSpPr/>
                                        <wps:spPr>
                                          <a:xfrm>
                                            <a:off x="8538" y="19457"/>
                                            <a:ext cx="1251" cy="494"/>
                                          </a:xfrm>
                                          <a:prstGeom prst="rect">
                                            <a:avLst/>
                                          </a:prstGeom>
                                          <a:noFill/>
                                          <a:ln>
                                            <a:noFill/>
                                          </a:ln>
                                          <a:effectLst/>
                                        </wps:spPr>
                                        <wps:txbx>
                                          <w:txbxContent>
                                            <w:p w14:paraId="169A4560">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rPr>
                                                <w:t>120</w:t>
                                              </w:r>
                                              <w:r>
                                                <w:rPr>
                                                  <w:rFonts w:hint="eastAsia" w:cs="Times New Roman"/>
                                                  <w:color w:val="auto"/>
                                                  <w:kern w:val="0"/>
                                                  <w:sz w:val="21"/>
                                                  <w:szCs w:val="21"/>
                                                  <w:lang w:val="en-US" w:eastAsia="zh-CN"/>
                                                </w:rPr>
                                                <w:t>960</w:t>
                                              </w:r>
                                            </w:p>
                                          </w:txbxContent>
                                        </wps:txbx>
                                        <wps:bodyPr upright="1"/>
                                      </wps:wsp>
                                    </wpg:grpSp>
                                    <wps:wsp>
                                      <wps:cNvPr id="546" name="矩形 97"/>
                                      <wps:cNvSpPr/>
                                      <wps:spPr>
                                        <a:xfrm>
                                          <a:off x="9813" y="18392"/>
                                          <a:ext cx="1042" cy="508"/>
                                        </a:xfrm>
                                        <a:prstGeom prst="rect">
                                          <a:avLst/>
                                        </a:prstGeom>
                                        <a:noFill/>
                                        <a:ln>
                                          <a:noFill/>
                                        </a:ln>
                                        <a:effectLst/>
                                      </wps:spPr>
                                      <wps:txbx>
                                        <w:txbxContent>
                                          <w:p w14:paraId="1A3B81ED">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170.8</w:t>
                                            </w:r>
                                          </w:p>
                                        </w:txbxContent>
                                      </wps:txbx>
                                      <wps:bodyPr upright="1"/>
                                    </wps:wsp>
                                  </wpg:grpSp>
                                </wpg:grpSp>
                                <wpg:grpSp>
                                  <wpg:cNvPr id="78" name="组合 1203"/>
                                  <wpg:cNvGrpSpPr/>
                                  <wpg:grpSpPr>
                                    <a:xfrm>
                                      <a:off x="3954" y="3401762"/>
                                      <a:ext cx="2161" cy="3537"/>
                                      <a:chOff x="3957" y="7647"/>
                                      <a:chExt cx="2161" cy="3537"/>
                                    </a:xfrm>
                                  </wpg:grpSpPr>
                                  <wps:wsp>
                                    <wps:cNvPr id="550" name="矩形 60"/>
                                    <wps:cNvSpPr/>
                                    <wps:spPr>
                                      <a:xfrm>
                                        <a:off x="3957" y="10711"/>
                                        <a:ext cx="1771" cy="410"/>
                                      </a:xfrm>
                                      <a:prstGeom prst="rect">
                                        <a:avLst/>
                                      </a:prstGeom>
                                      <a:noFill/>
                                      <a:ln>
                                        <a:noFill/>
                                      </a:ln>
                                      <a:effectLst/>
                                    </wps:spPr>
                                    <wps:txbx>
                                      <w:txbxContent>
                                        <w:p w14:paraId="78CB4D5A">
                                          <w:pPr>
                                            <w:widowControl w:val="0"/>
                                            <w:autoSpaceDE w:val="0"/>
                                            <w:autoSpaceDN w:val="0"/>
                                            <w:spacing w:line="240" w:lineRule="exact"/>
                                            <w:ind w:left="-120" w:leftChars="-50" w:right="-120" w:rightChars="-50" w:firstLine="0" w:firstLineChars="0"/>
                                            <w:jc w:val="center"/>
                                            <w:rPr>
                                              <w:rFonts w:ascii="宋体" w:hAnsi="宋体" w:eastAsia="宋体" w:cs="宋体"/>
                                              <w:kern w:val="0"/>
                                            </w:rPr>
                                          </w:pPr>
                                          <w:r>
                                            <w:rPr>
                                              <w:rFonts w:ascii="Times New Roman" w:hAnsi="Times New Roman" w:eastAsia="宋体" w:cs="Times New Roman"/>
                                              <w:kern w:val="0"/>
                                              <w:sz w:val="21"/>
                                              <w:szCs w:val="21"/>
                                            </w:rPr>
                                            <w:t>原料带入</w:t>
                                          </w:r>
                                          <w:r>
                                            <w:rPr>
                                              <w:rFonts w:hint="default" w:ascii="Times New Roman" w:hAnsi="Times New Roman" w:eastAsia="宋体" w:cs="Times New Roman"/>
                                              <w:kern w:val="0"/>
                                              <w:sz w:val="21"/>
                                              <w:szCs w:val="21"/>
                                            </w:rPr>
                                            <w:t>22.8</w:t>
                                          </w:r>
                                        </w:p>
                                      </w:txbxContent>
                                    </wps:txbx>
                                    <wps:bodyPr upright="1"/>
                                  </wps:wsp>
                                  <wps:wsp>
                                    <wps:cNvPr id="551" name="直接连接符 65"/>
                                    <wps:cNvCnPr/>
                                    <wps:spPr>
                                      <a:xfrm flipH="1">
                                        <a:off x="6102" y="10865"/>
                                        <a:ext cx="0" cy="319"/>
                                      </a:xfrm>
                                      <a:prstGeom prst="line">
                                        <a:avLst/>
                                      </a:prstGeom>
                                      <a:ln w="9525" cap="flat" cmpd="sng">
                                        <a:solidFill>
                                          <a:srgbClr val="000000"/>
                                        </a:solidFill>
                                        <a:prstDash val="solid"/>
                                        <a:round/>
                                        <a:headEnd type="none" w="med" len="med"/>
                                        <a:tailEnd type="triangle" w="med" len="med"/>
                                      </a:ln>
                                      <a:effectLst/>
                                    </wps:spPr>
                                    <wps:bodyPr/>
                                  </wps:wsp>
                                  <wps:wsp>
                                    <wps:cNvPr id="552" name="直接连接符 66"/>
                                    <wps:cNvCnPr/>
                                    <wps:spPr>
                                      <a:xfrm flipV="1">
                                        <a:off x="5610" y="10863"/>
                                        <a:ext cx="508" cy="1"/>
                                      </a:xfrm>
                                      <a:prstGeom prst="line">
                                        <a:avLst/>
                                      </a:prstGeom>
                                      <a:ln w="9525" cap="flat" cmpd="sng">
                                        <a:solidFill>
                                          <a:srgbClr val="000000"/>
                                        </a:solidFill>
                                        <a:prstDash val="solid"/>
                                        <a:round/>
                                        <a:headEnd type="none" w="med" len="med"/>
                                        <a:tailEnd type="none" w="med" len="med"/>
                                      </a:ln>
                                      <a:effectLst/>
                                    </wps:spPr>
                                    <wps:bodyPr/>
                                  </wps:wsp>
                                  <wps:wsp>
                                    <wps:cNvPr id="611" name="直接连接符 66"/>
                                    <wps:cNvCnPr/>
                                    <wps:spPr>
                                      <a:xfrm flipV="1">
                                        <a:off x="5459" y="7647"/>
                                        <a:ext cx="508" cy="0"/>
                                      </a:xfrm>
                                      <a:prstGeom prst="line">
                                        <a:avLst/>
                                      </a:prstGeom>
                                      <a:ln w="9525" cap="flat" cmpd="sng">
                                        <a:solidFill>
                                          <a:srgbClr val="000000"/>
                                        </a:solidFill>
                                        <a:prstDash val="solid"/>
                                        <a:round/>
                                        <a:headEnd type="none" w="med" len="med"/>
                                        <a:tailEnd type="none" w="med" len="med"/>
                                      </a:ln>
                                      <a:effectLst/>
                                    </wps:spPr>
                                    <wps:bodyPr/>
                                  </wps:wsp>
                                </wpg:grpSp>
                                <wps:wsp>
                                  <wps:cNvPr id="553" name="直接连接符 82"/>
                                  <wps:cNvCnPr/>
                                  <wps:spPr>
                                    <a:xfrm flipV="1">
                                      <a:off x="6956" y="3405029"/>
                                      <a:ext cx="1" cy="283"/>
                                    </a:xfrm>
                                    <a:prstGeom prst="line">
                                      <a:avLst/>
                                    </a:prstGeom>
                                    <a:ln w="9525" cap="flat" cmpd="sng">
                                      <a:solidFill>
                                        <a:srgbClr val="000000"/>
                                      </a:solidFill>
                                      <a:prstDash val="solid"/>
                                      <a:round/>
                                      <a:headEnd type="none" w="med" len="med"/>
                                      <a:tailEnd type="none" w="med" len="med"/>
                                    </a:ln>
                                    <a:effectLst/>
                                  </wps:spPr>
                                  <wps:bodyPr/>
                                </wps:wsp>
                                <wps:wsp>
                                  <wps:cNvPr id="554" name="直接连接符 82"/>
                                  <wps:cNvCnPr/>
                                  <wps:spPr>
                                    <a:xfrm>
                                      <a:off x="6960" y="3405042"/>
                                      <a:ext cx="510" cy="11"/>
                                    </a:xfrm>
                                    <a:prstGeom prst="line">
                                      <a:avLst/>
                                    </a:prstGeom>
                                    <a:ln w="9525" cap="flat" cmpd="sng">
                                      <a:solidFill>
                                        <a:srgbClr val="000000"/>
                                      </a:solidFill>
                                      <a:prstDash val="solid"/>
                                      <a:round/>
                                      <a:headEnd type="none" w="med" len="med"/>
                                      <a:tailEnd type="triangle" w="med" len="med"/>
                                    </a:ln>
                                    <a:effectLst/>
                                  </wps:spPr>
                                  <wps:bodyPr/>
                                </wps:wsp>
                                <wps:wsp>
                                  <wps:cNvPr id="555" name="矩形 81"/>
                                  <wps:cNvSpPr/>
                                  <wps:spPr>
                                    <a:xfrm>
                                      <a:off x="7383" y="3404787"/>
                                      <a:ext cx="1913" cy="460"/>
                                    </a:xfrm>
                                    <a:prstGeom prst="rect">
                                      <a:avLst/>
                                    </a:prstGeom>
                                    <a:noFill/>
                                    <a:ln w="9525" cap="flat" cmpd="sng">
                                      <a:noFill/>
                                      <a:prstDash val="solid"/>
                                      <a:miter/>
                                      <a:headEnd type="none" w="med" len="med"/>
                                      <a:tailEnd type="none" w="med" len="med"/>
                                    </a:ln>
                                    <a:effectLst/>
                                  </wps:spPr>
                                  <wps:txbx>
                                    <w:txbxContent>
                                      <w:p w14:paraId="40A1A6D2">
                                        <w:pPr>
                                          <w:widowControl/>
                                          <w:spacing w:line="240" w:lineRule="auto"/>
                                          <w:ind w:firstLine="0" w:firstLineChars="0"/>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rPr>
                                          <w:t>进入产品</w:t>
                                        </w:r>
                                        <w:r>
                                          <w:rPr>
                                            <w:rFonts w:hint="eastAsia" w:cs="Times New Roman"/>
                                            <w:kern w:val="0"/>
                                            <w:sz w:val="21"/>
                                            <w:szCs w:val="21"/>
                                            <w:lang w:val="en-US" w:eastAsia="zh-CN"/>
                                          </w:rPr>
                                          <w:t>26.5</w:t>
                                        </w:r>
                                      </w:p>
                                    </w:txbxContent>
                                  </wps:txbx>
                                  <wps:bodyPr upright="1"/>
                                </wps:wsp>
                                <wps:wsp>
                                  <wps:cNvPr id="556" name="矩形 1210"/>
                                  <wps:cNvSpPr/>
                                  <wps:spPr>
                                    <a:xfrm>
                                      <a:off x="3886" y="3405119"/>
                                      <a:ext cx="1037" cy="458"/>
                                    </a:xfrm>
                                    <a:prstGeom prst="rect">
                                      <a:avLst/>
                                    </a:prstGeom>
                                    <a:noFill/>
                                    <a:ln>
                                      <a:noFill/>
                                    </a:ln>
                                    <a:effectLst/>
                                  </wps:spPr>
                                  <wps:txbx>
                                    <w:txbxContent>
                                      <w:p w14:paraId="60217273">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55.83</w:t>
                                        </w:r>
                                      </w:p>
                                    </w:txbxContent>
                                  </wps:txbx>
                                  <wps:bodyPr upright="1"/>
                                </wps:wsp>
                                <wpg:grpSp>
                                  <wpg:cNvPr id="79" name="组合 87"/>
                                  <wpg:cNvGrpSpPr/>
                                  <wpg:grpSpPr>
                                    <a:xfrm>
                                      <a:off x="3737" y="3405113"/>
                                      <a:ext cx="5936" cy="1184"/>
                                      <a:chOff x="2999" y="12124"/>
                                      <a:chExt cx="5936" cy="1184"/>
                                    </a:xfrm>
                                    <a:effectLst/>
                                  </wpg:grpSpPr>
                                  <wps:wsp>
                                    <wps:cNvPr id="558" name="直接连接符 125"/>
                                    <wps:cNvCnPr/>
                                    <wps:spPr>
                                      <a:xfrm flipV="1">
                                        <a:off x="7178" y="12500"/>
                                        <a:ext cx="1757" cy="1"/>
                                      </a:xfrm>
                                      <a:prstGeom prst="line">
                                        <a:avLst/>
                                      </a:prstGeom>
                                      <a:ln w="9525" cap="flat" cmpd="sng">
                                        <a:solidFill>
                                          <a:srgbClr val="000000"/>
                                        </a:solidFill>
                                        <a:prstDash val="solid"/>
                                        <a:round/>
                                        <a:headEnd type="none" w="med" len="med"/>
                                        <a:tailEnd type="triangle" w="med" len="med"/>
                                      </a:ln>
                                      <a:effectLst/>
                                    </wps:spPr>
                                    <wps:bodyPr/>
                                  </wps:wsp>
                                  <wpg:grpSp>
                                    <wpg:cNvPr id="80" name="组合 138"/>
                                    <wpg:cNvGrpSpPr/>
                                    <wpg:grpSpPr>
                                      <a:xfrm>
                                        <a:off x="2999" y="12124"/>
                                        <a:ext cx="5603" cy="1184"/>
                                        <a:chOff x="3141" y="14458"/>
                                        <a:chExt cx="5603" cy="1184"/>
                                      </a:xfrm>
                                      <a:effectLst/>
                                    </wpg:grpSpPr>
                                    <wpg:grpSp>
                                      <wpg:cNvPr id="81" name="组合 130"/>
                                      <wpg:cNvGrpSpPr/>
                                      <wpg:grpSpPr>
                                        <a:xfrm>
                                          <a:off x="3141" y="14643"/>
                                          <a:ext cx="4191" cy="530"/>
                                          <a:chOff x="2477" y="869165"/>
                                          <a:chExt cx="4191" cy="530"/>
                                        </a:xfrm>
                                        <a:effectLst/>
                                      </wpg:grpSpPr>
                                      <wps:wsp>
                                        <wps:cNvPr id="561" name="矩形 127"/>
                                        <wps:cNvSpPr/>
                                        <wps:spPr>
                                          <a:xfrm>
                                            <a:off x="4041" y="869165"/>
                                            <a:ext cx="2627" cy="5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F87608">
                                              <w:pPr>
                                                <w:widowControl/>
                                                <w:spacing w:line="240" w:lineRule="auto"/>
                                                <w:ind w:firstLine="0" w:firstLineChars="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废气治理系统</w:t>
                                              </w:r>
                                              <w:r>
                                                <w:rPr>
                                                  <w:rFonts w:hint="default" w:ascii="Times New Roman" w:hAnsi="Times New Roman" w:eastAsia="宋体" w:cs="Times New Roman"/>
                                                  <w:color w:val="auto"/>
                                                  <w:kern w:val="0"/>
                                                  <w:sz w:val="20"/>
                                                  <w:szCs w:val="20"/>
                                                </w:rPr>
                                                <w:t>（-</w:t>
                                              </w:r>
                                              <w:r>
                                                <w:rPr>
                                                  <w:rFonts w:hint="eastAsia" w:cs="Times New Roman"/>
                                                  <w:color w:val="auto"/>
                                                  <w:kern w:val="0"/>
                                                  <w:sz w:val="20"/>
                                                  <w:szCs w:val="20"/>
                                                  <w:lang w:val="en-US" w:eastAsia="zh-CN"/>
                                                </w:rPr>
                                                <w:t>11.36</w:t>
                                              </w:r>
                                              <w:r>
                                                <w:rPr>
                                                  <w:rFonts w:hint="default" w:ascii="Times New Roman" w:hAnsi="Times New Roman" w:eastAsia="宋体" w:cs="Times New Roman"/>
                                                  <w:color w:val="auto"/>
                                                  <w:kern w:val="0"/>
                                                  <w:sz w:val="20"/>
                                                  <w:szCs w:val="20"/>
                                                </w:rPr>
                                                <w:t>）</w:t>
                                              </w:r>
                                            </w:p>
                                          </w:txbxContent>
                                        </wps:txbx>
                                        <wps:bodyPr upright="1"/>
                                      </wps:wsp>
                                      <wps:wsp>
                                        <wps:cNvPr id="562" name="直接连接符 128"/>
                                        <wps:cNvCnPr/>
                                        <wps:spPr>
                                          <a:xfrm>
                                            <a:off x="2477" y="869372"/>
                                            <a:ext cx="1587" cy="1"/>
                                          </a:xfrm>
                                          <a:prstGeom prst="line">
                                            <a:avLst/>
                                          </a:prstGeom>
                                          <a:ln w="9525" cap="flat" cmpd="sng">
                                            <a:solidFill>
                                              <a:srgbClr val="000000"/>
                                            </a:solidFill>
                                            <a:prstDash val="solid"/>
                                            <a:round/>
                                            <a:headEnd type="none" w="med" len="med"/>
                                            <a:tailEnd type="triangle" w="med" len="med"/>
                                          </a:ln>
                                          <a:effectLst/>
                                        </wps:spPr>
                                        <wps:bodyPr/>
                                      </wps:wsp>
                                    </wpg:grpSp>
                                    <wps:wsp>
                                      <wps:cNvPr id="563" name="矩形 131"/>
                                      <wps:cNvSpPr/>
                                      <wps:spPr>
                                        <a:xfrm>
                                          <a:off x="7777" y="14458"/>
                                          <a:ext cx="967" cy="543"/>
                                        </a:xfrm>
                                        <a:prstGeom prst="rect">
                                          <a:avLst/>
                                        </a:prstGeom>
                                        <a:noFill/>
                                        <a:ln>
                                          <a:noFill/>
                                        </a:ln>
                                        <a:effectLst/>
                                      </wps:spPr>
                                      <wps:txbx>
                                        <w:txbxContent>
                                          <w:p w14:paraId="3F71F112">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40.77</w:t>
                                            </w:r>
                                          </w:p>
                                        </w:txbxContent>
                                      </wps:txbx>
                                      <wps:bodyPr upright="1"/>
                                    </wps:wsp>
                                    <wps:wsp>
                                      <wps:cNvPr id="564" name="矩形 132"/>
                                      <wps:cNvSpPr/>
                                      <wps:spPr>
                                        <a:xfrm>
                                          <a:off x="6513" y="15092"/>
                                          <a:ext cx="1141" cy="550"/>
                                        </a:xfrm>
                                        <a:prstGeom prst="rect">
                                          <a:avLst/>
                                        </a:prstGeom>
                                        <a:noFill/>
                                        <a:ln>
                                          <a:noFill/>
                                        </a:ln>
                                        <a:effectLst/>
                                      </wps:spPr>
                                      <wps:txbx>
                                        <w:txbxContent>
                                          <w:p w14:paraId="1311B475">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14600</w:t>
                                            </w:r>
                                          </w:p>
                                        </w:txbxContent>
                                      </wps:txbx>
                                      <wps:bodyPr upright="1"/>
                                    </wps:wsp>
                                    <wpg:grpSp>
                                      <wpg:cNvPr id="82" name="组合 137"/>
                                      <wpg:cNvGrpSpPr/>
                                      <wpg:grpSpPr>
                                        <a:xfrm>
                                          <a:off x="6466" y="14946"/>
                                          <a:ext cx="1193" cy="537"/>
                                          <a:chOff x="5607" y="870130"/>
                                          <a:chExt cx="1454" cy="454"/>
                                        </a:xfrm>
                                        <a:effectLst/>
                                      </wpg:grpSpPr>
                                      <wps:wsp>
                                        <wps:cNvPr id="567" name="直接连接符 133"/>
                                        <wps:cNvCnPr/>
                                        <wps:spPr>
                                          <a:xfrm>
                                            <a:off x="6644" y="870146"/>
                                            <a:ext cx="417" cy="3"/>
                                          </a:xfrm>
                                          <a:prstGeom prst="line">
                                            <a:avLst/>
                                          </a:prstGeom>
                                          <a:ln w="9525" cap="flat" cmpd="sng">
                                            <a:solidFill>
                                              <a:srgbClr val="000000"/>
                                            </a:solidFill>
                                            <a:prstDash val="solid"/>
                                            <a:round/>
                                            <a:headEnd type="none" w="med" len="med"/>
                                            <a:tailEnd type="none" w="med" len="med"/>
                                          </a:ln>
                                          <a:effectLst/>
                                        </wps:spPr>
                                        <wps:bodyPr/>
                                      </wps:wsp>
                                      <wps:wsp>
                                        <wps:cNvPr id="569" name="直接连接符 134"/>
                                        <wps:cNvCnPr/>
                                        <wps:spPr>
                                          <a:xfrm>
                                            <a:off x="7057" y="870130"/>
                                            <a:ext cx="0" cy="454"/>
                                          </a:xfrm>
                                          <a:prstGeom prst="line">
                                            <a:avLst/>
                                          </a:prstGeom>
                                          <a:ln w="9525" cap="flat" cmpd="sng">
                                            <a:solidFill>
                                              <a:srgbClr val="000000"/>
                                            </a:solidFill>
                                            <a:prstDash val="solid"/>
                                            <a:round/>
                                            <a:headEnd type="none" w="med" len="med"/>
                                            <a:tailEnd type="none" w="med" len="med"/>
                                          </a:ln>
                                          <a:effectLst/>
                                        </wps:spPr>
                                        <wps:bodyPr/>
                                      </wps:wsp>
                                      <wps:wsp>
                                        <wps:cNvPr id="570" name="直接连接符 135"/>
                                        <wps:cNvCnPr/>
                                        <wps:spPr>
                                          <a:xfrm flipH="1">
                                            <a:off x="5607" y="870573"/>
                                            <a:ext cx="1451" cy="2"/>
                                          </a:xfrm>
                                          <a:prstGeom prst="line">
                                            <a:avLst/>
                                          </a:prstGeom>
                                          <a:ln w="9525" cap="flat" cmpd="sng">
                                            <a:solidFill>
                                              <a:srgbClr val="000000"/>
                                            </a:solidFill>
                                            <a:prstDash val="solid"/>
                                            <a:round/>
                                            <a:headEnd type="none" w="med" len="med"/>
                                            <a:tailEnd type="none" w="med" len="med"/>
                                          </a:ln>
                                          <a:effectLst/>
                                        </wps:spPr>
                                        <wps:bodyPr/>
                                      </wps:wsp>
                                      <wps:wsp>
                                        <wps:cNvPr id="571" name="直接连接符 136"/>
                                        <wps:cNvCnPr/>
                                        <wps:spPr>
                                          <a:xfrm flipV="1">
                                            <a:off x="5627" y="870222"/>
                                            <a:ext cx="0" cy="346"/>
                                          </a:xfrm>
                                          <a:prstGeom prst="line">
                                            <a:avLst/>
                                          </a:prstGeom>
                                          <a:ln w="9525" cap="flat" cmpd="sng">
                                            <a:solidFill>
                                              <a:srgbClr val="000000"/>
                                            </a:solidFill>
                                            <a:prstDash val="solid"/>
                                            <a:round/>
                                            <a:headEnd type="none" w="med" len="med"/>
                                            <a:tailEnd type="triangle" w="med" len="med"/>
                                          </a:ln>
                                          <a:effectLst/>
                                        </wps:spPr>
                                        <wps:bodyPr/>
                                      </wps:wsp>
                                    </wpg:grpSp>
                                  </wpg:grpSp>
                                </wpg:grpSp>
                                <wpg:grpSp>
                                  <wpg:cNvPr id="83" name="组合 1218"/>
                                  <wpg:cNvGrpSpPr/>
                                  <wpg:grpSpPr>
                                    <a:xfrm>
                                      <a:off x="3739" y="3406293"/>
                                      <a:ext cx="6021" cy="625"/>
                                      <a:chOff x="4653" y="14719"/>
                                      <a:chExt cx="6021" cy="625"/>
                                    </a:xfrm>
                                  </wpg:grpSpPr>
                                  <wps:wsp>
                                    <wps:cNvPr id="574" name="矩形 91"/>
                                    <wps:cNvSpPr/>
                                    <wps:spPr>
                                      <a:xfrm>
                                        <a:off x="9628" y="14719"/>
                                        <a:ext cx="875" cy="550"/>
                                      </a:xfrm>
                                      <a:prstGeom prst="rect">
                                        <a:avLst/>
                                      </a:prstGeom>
                                      <a:noFill/>
                                      <a:ln>
                                        <a:noFill/>
                                      </a:ln>
                                      <a:effectLst/>
                                    </wps:spPr>
                                    <wps:txbx>
                                      <w:txbxContent>
                                        <w:p w14:paraId="235EB76A">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22.1</w:t>
                                          </w:r>
                                        </w:p>
                                      </w:txbxContent>
                                    </wps:txbx>
                                    <wps:bodyPr upright="1"/>
                                  </wps:wsp>
                                  <wps:wsp>
                                    <wps:cNvPr id="575" name="矩形 72"/>
                                    <wps:cNvSpPr/>
                                    <wps:spPr>
                                      <a:xfrm>
                                        <a:off x="4907" y="14758"/>
                                        <a:ext cx="875" cy="550"/>
                                      </a:xfrm>
                                      <a:prstGeom prst="rect">
                                        <a:avLst/>
                                      </a:prstGeom>
                                      <a:noFill/>
                                      <a:ln>
                                        <a:noFill/>
                                      </a:ln>
                                      <a:effectLst/>
                                    </wps:spPr>
                                    <wps:txbx>
                                      <w:txbxContent>
                                        <w:p w14:paraId="65560251">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25</w:t>
                                          </w:r>
                                        </w:p>
                                      </w:txbxContent>
                                    </wps:txbx>
                                    <wps:bodyPr upright="1"/>
                                  </wps:wsp>
                                  <wps:wsp>
                                    <wps:cNvPr id="577" name="矩形 73"/>
                                    <wps:cNvSpPr/>
                                    <wps:spPr>
                                      <a:xfrm>
                                        <a:off x="5649" y="14887"/>
                                        <a:ext cx="3520" cy="457"/>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0D708E">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设备及车间地面冲洗水</w:t>
                                          </w:r>
                                          <w:r>
                                            <w:rPr>
                                              <w:rFonts w:hint="default" w:ascii="Times New Roman" w:hAnsi="Times New Roman" w:eastAsia="宋体" w:cs="Times New Roman"/>
                                              <w:color w:val="auto"/>
                                              <w:kern w:val="0"/>
                                              <w:sz w:val="21"/>
                                              <w:szCs w:val="21"/>
                                            </w:rPr>
                                            <w:t>（-2</w:t>
                                          </w:r>
                                          <w:r>
                                            <w:rPr>
                                              <w:rFonts w:hint="eastAsia" w:cs="Times New Roman"/>
                                              <w:color w:val="auto"/>
                                              <w:kern w:val="0"/>
                                              <w:sz w:val="21"/>
                                              <w:szCs w:val="21"/>
                                              <w:lang w:val="en-US" w:eastAsia="zh-CN"/>
                                            </w:rPr>
                                            <w:t>.9</w:t>
                                          </w:r>
                                          <w:r>
                                            <w:rPr>
                                              <w:rFonts w:hint="default" w:ascii="Times New Roman" w:hAnsi="Times New Roman" w:eastAsia="宋体" w:cs="Times New Roman"/>
                                              <w:color w:val="auto"/>
                                              <w:kern w:val="0"/>
                                              <w:sz w:val="21"/>
                                              <w:szCs w:val="21"/>
                                            </w:rPr>
                                            <w:t>）</w:t>
                                          </w:r>
                                        </w:p>
                                      </w:txbxContent>
                                    </wps:txbx>
                                    <wps:bodyPr upright="1"/>
                                  </wps:wsp>
                                  <wps:wsp>
                                    <wps:cNvPr id="579" name="直接连接符 74"/>
                                    <wps:cNvCnPr/>
                                    <wps:spPr>
                                      <a:xfrm>
                                        <a:off x="9067" y="15110"/>
                                        <a:ext cx="1607" cy="0"/>
                                      </a:xfrm>
                                      <a:prstGeom prst="line">
                                        <a:avLst/>
                                      </a:prstGeom>
                                      <a:ln w="9525" cap="flat" cmpd="sng">
                                        <a:solidFill>
                                          <a:srgbClr val="000000"/>
                                        </a:solidFill>
                                        <a:prstDash val="solid"/>
                                        <a:round/>
                                        <a:headEnd type="none" w="med" len="med"/>
                                        <a:tailEnd type="triangle" w="med" len="med"/>
                                      </a:ln>
                                      <a:effectLst/>
                                    </wps:spPr>
                                    <wps:bodyPr/>
                                  </wps:wsp>
                                  <wps:wsp>
                                    <wps:cNvPr id="580" name="直接连接符 75"/>
                                    <wps:cNvCnPr/>
                                    <wps:spPr>
                                      <a:xfrm flipV="1">
                                        <a:off x="4653" y="15099"/>
                                        <a:ext cx="1020" cy="1"/>
                                      </a:xfrm>
                                      <a:prstGeom prst="line">
                                        <a:avLst/>
                                      </a:prstGeom>
                                      <a:ln w="9525" cap="flat" cmpd="sng">
                                        <a:solidFill>
                                          <a:srgbClr val="000000"/>
                                        </a:solidFill>
                                        <a:prstDash val="solid"/>
                                        <a:round/>
                                        <a:headEnd type="none" w="med" len="med"/>
                                        <a:tailEnd type="triangle" w="med" len="med"/>
                                      </a:ln>
                                      <a:effectLst/>
                                    </wps:spPr>
                                    <wps:bodyPr/>
                                  </wps:wsp>
                                </wpg:grpSp>
                                <wpg:grpSp>
                                  <wpg:cNvPr id="84" name="组合 1221"/>
                                  <wpg:cNvGrpSpPr/>
                                  <wpg:grpSpPr>
                                    <a:xfrm>
                                      <a:off x="3732" y="3406798"/>
                                      <a:ext cx="6018" cy="639"/>
                                      <a:chOff x="1199" y="9397"/>
                                      <a:chExt cx="6018" cy="639"/>
                                    </a:xfrm>
                                    <a:effectLst/>
                                  </wpg:grpSpPr>
                                  <wps:wsp>
                                    <wps:cNvPr id="582" name="矩形 70"/>
                                    <wps:cNvSpPr/>
                                    <wps:spPr>
                                      <a:xfrm>
                                        <a:off x="6008" y="9399"/>
                                        <a:ext cx="875" cy="550"/>
                                      </a:xfrm>
                                      <a:prstGeom prst="rect">
                                        <a:avLst/>
                                      </a:prstGeom>
                                      <a:noFill/>
                                      <a:ln>
                                        <a:noFill/>
                                      </a:ln>
                                      <a:effectLst/>
                                    </wps:spPr>
                                    <wps:txbx>
                                      <w:txbxContent>
                                        <w:p w14:paraId="49229411">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w:t>
                                          </w:r>
                                        </w:p>
                                      </w:txbxContent>
                                    </wps:txbx>
                                    <wps:bodyPr upright="1"/>
                                  </wps:wsp>
                                  <wps:wsp>
                                    <wps:cNvPr id="583" name="矩形 72"/>
                                    <wps:cNvSpPr/>
                                    <wps:spPr>
                                      <a:xfrm>
                                        <a:off x="1341" y="9397"/>
                                        <a:ext cx="875" cy="550"/>
                                      </a:xfrm>
                                      <a:prstGeom prst="rect">
                                        <a:avLst/>
                                      </a:prstGeom>
                                      <a:noFill/>
                                      <a:ln>
                                        <a:noFill/>
                                      </a:ln>
                                      <a:effectLst/>
                                    </wps:spPr>
                                    <wps:txbx>
                                      <w:txbxContent>
                                        <w:p w14:paraId="6EF0D70C">
                                          <w:pPr>
                                            <w:widowControl/>
                                            <w:spacing w:line="240" w:lineRule="auto"/>
                                            <w:ind w:firstLine="0" w:firstLineChars="0"/>
                                            <w:jc w:val="left"/>
                                            <w:rPr>
                                              <w:rFonts w:ascii="宋体" w:hAnsi="宋体" w:eastAsia="宋体" w:cs="宋体"/>
                                              <w:kern w:val="0"/>
                                              <w:sz w:val="21"/>
                                              <w:szCs w:val="21"/>
                                            </w:rPr>
                                          </w:pPr>
                                          <w:r>
                                            <w:rPr>
                                              <w:rFonts w:hint="default" w:ascii="Times New Roman" w:hAnsi="Times New Roman" w:eastAsia="宋体" w:cs="Times New Roman"/>
                                              <w:kern w:val="0"/>
                                              <w:sz w:val="21"/>
                                              <w:szCs w:val="21"/>
                                            </w:rPr>
                                            <w:t>1</w:t>
                                          </w:r>
                                        </w:p>
                                      </w:txbxContent>
                                    </wps:txbx>
                                    <wps:bodyPr upright="1"/>
                                  </wps:wsp>
                                  <wps:wsp>
                                    <wps:cNvPr id="584" name="矩形 73"/>
                                    <wps:cNvSpPr/>
                                    <wps:spPr>
                                      <a:xfrm>
                                        <a:off x="3966" y="9560"/>
                                        <a:ext cx="1502" cy="47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0DDD4FE">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化验室</w:t>
                                          </w:r>
                                        </w:p>
                                      </w:txbxContent>
                                    </wps:txbx>
                                    <wps:bodyPr upright="1"/>
                                  </wps:wsp>
                                  <wps:wsp>
                                    <wps:cNvPr id="586" name="直接连接符 74"/>
                                    <wps:cNvCnPr/>
                                    <wps:spPr>
                                      <a:xfrm flipV="1">
                                        <a:off x="5460" y="9772"/>
                                        <a:ext cx="1757" cy="1"/>
                                      </a:xfrm>
                                      <a:prstGeom prst="line">
                                        <a:avLst/>
                                      </a:prstGeom>
                                      <a:ln w="9525" cap="flat" cmpd="sng">
                                        <a:solidFill>
                                          <a:srgbClr val="000000"/>
                                        </a:solidFill>
                                        <a:prstDash val="solid"/>
                                        <a:round/>
                                        <a:headEnd type="none" w="med" len="med"/>
                                        <a:tailEnd type="triangle" w="med" len="med"/>
                                      </a:ln>
                                      <a:effectLst/>
                                    </wps:spPr>
                                    <wps:bodyPr/>
                                  </wps:wsp>
                                  <wps:wsp>
                                    <wps:cNvPr id="587" name="直接连接符 75"/>
                                    <wps:cNvCnPr/>
                                    <wps:spPr>
                                      <a:xfrm flipV="1">
                                        <a:off x="1199" y="9771"/>
                                        <a:ext cx="2778" cy="0"/>
                                      </a:xfrm>
                                      <a:prstGeom prst="line">
                                        <a:avLst/>
                                      </a:prstGeom>
                                      <a:ln w="9525" cap="flat" cmpd="sng">
                                        <a:solidFill>
                                          <a:srgbClr val="000000"/>
                                        </a:solidFill>
                                        <a:prstDash val="solid"/>
                                        <a:round/>
                                        <a:headEnd type="none" w="med" len="med"/>
                                        <a:tailEnd type="triangle" w="med" len="med"/>
                                      </a:ln>
                                      <a:effectLst/>
                                    </wps:spPr>
                                    <wps:bodyPr/>
                                  </wps:wsp>
                                </wpg:grpSp>
                                <wpg:grpSp>
                                  <wpg:cNvPr id="85" name="组合 1227"/>
                                  <wpg:cNvGrpSpPr/>
                                  <wpg:grpSpPr>
                                    <a:xfrm>
                                      <a:off x="3774" y="3407374"/>
                                      <a:ext cx="5991" cy="677"/>
                                      <a:chOff x="3211" y="13716"/>
                                      <a:chExt cx="5991" cy="677"/>
                                    </a:xfrm>
                                  </wpg:grpSpPr>
                                  <wps:wsp>
                                    <wps:cNvPr id="590" name="矩形 78"/>
                                    <wps:cNvSpPr/>
                                    <wps:spPr>
                                      <a:xfrm>
                                        <a:off x="7359" y="13727"/>
                                        <a:ext cx="866" cy="400"/>
                                      </a:xfrm>
                                      <a:prstGeom prst="rect">
                                        <a:avLst/>
                                      </a:prstGeom>
                                      <a:noFill/>
                                      <a:ln>
                                        <a:noFill/>
                                      </a:ln>
                                      <a:effectLst/>
                                    </wps:spPr>
                                    <wps:txbx>
                                      <w:txbxContent>
                                        <w:p w14:paraId="09A9741C">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275</w:t>
                                          </w:r>
                                        </w:p>
                                      </w:txbxContent>
                                    </wps:txbx>
                                    <wps:bodyPr upright="1"/>
                                  </wps:wsp>
                                  <wps:wsp>
                                    <wps:cNvPr id="592" name="矩形 79"/>
                                    <wps:cNvSpPr/>
                                    <wps:spPr>
                                      <a:xfrm>
                                        <a:off x="3385" y="13716"/>
                                        <a:ext cx="875" cy="550"/>
                                      </a:xfrm>
                                      <a:prstGeom prst="rect">
                                        <a:avLst/>
                                      </a:prstGeom>
                                      <a:noFill/>
                                      <a:ln>
                                        <a:noFill/>
                                      </a:ln>
                                      <a:effectLst/>
                                    </wps:spPr>
                                    <wps:txbx>
                                      <w:txbxContent>
                                        <w:p w14:paraId="2DA11F59">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310</w:t>
                                          </w:r>
                                        </w:p>
                                      </w:txbxContent>
                                    </wps:txbx>
                                    <wps:bodyPr upright="1"/>
                                  </wps:wsp>
                                  <wps:wsp>
                                    <wps:cNvPr id="593" name="矩形 81"/>
                                    <wps:cNvSpPr/>
                                    <wps:spPr>
                                      <a:xfrm>
                                        <a:off x="4162" y="13868"/>
                                        <a:ext cx="2128" cy="5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D892CE">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生活用水</w:t>
                                          </w:r>
                                          <w:r>
                                            <w:rPr>
                                              <w:rFonts w:hint="default" w:ascii="Times New Roman" w:hAnsi="Times New Roman" w:eastAsia="宋体" w:cs="Times New Roman"/>
                                              <w:kern w:val="0"/>
                                              <w:sz w:val="21"/>
                                              <w:szCs w:val="21"/>
                                            </w:rPr>
                                            <w:t>（-35）</w:t>
                                          </w:r>
                                        </w:p>
                                      </w:txbxContent>
                                    </wps:txbx>
                                    <wps:bodyPr upright="1"/>
                                  </wps:wsp>
                                  <wps:wsp>
                                    <wps:cNvPr id="594" name="直接连接符 82"/>
                                    <wps:cNvCnPr/>
                                    <wps:spPr>
                                      <a:xfrm>
                                        <a:off x="6273" y="14057"/>
                                        <a:ext cx="2929" cy="0"/>
                                      </a:xfrm>
                                      <a:prstGeom prst="line">
                                        <a:avLst/>
                                      </a:prstGeom>
                                      <a:ln w="9525" cap="flat" cmpd="sng">
                                        <a:solidFill>
                                          <a:srgbClr val="000000"/>
                                        </a:solidFill>
                                        <a:prstDash val="solid"/>
                                        <a:round/>
                                        <a:headEnd type="none" w="med" len="med"/>
                                        <a:tailEnd type="triangle" w="med" len="med"/>
                                      </a:ln>
                                      <a:effectLst/>
                                    </wps:spPr>
                                    <wps:bodyPr/>
                                  </wps:wsp>
                                  <wps:wsp>
                                    <wps:cNvPr id="595" name="直接连接符 83"/>
                                    <wps:cNvCnPr/>
                                    <wps:spPr>
                                      <a:xfrm>
                                        <a:off x="3211" y="14084"/>
                                        <a:ext cx="964" cy="1"/>
                                      </a:xfrm>
                                      <a:prstGeom prst="line">
                                        <a:avLst/>
                                      </a:prstGeom>
                                      <a:ln w="9525" cap="flat" cmpd="sng">
                                        <a:solidFill>
                                          <a:srgbClr val="000000"/>
                                        </a:solidFill>
                                        <a:prstDash val="solid"/>
                                        <a:round/>
                                        <a:headEnd type="none" w="med" len="med"/>
                                        <a:tailEnd type="triangle" w="med" len="med"/>
                                      </a:ln>
                                      <a:effectLst/>
                                    </wps:spPr>
                                    <wps:bodyPr/>
                                  </wps:wsp>
                                </wpg:grpSp>
                                <wpg:grpSp>
                                  <wpg:cNvPr id="86" name="组合 1233"/>
                                  <wpg:cNvGrpSpPr/>
                                  <wpg:grpSpPr>
                                    <a:xfrm>
                                      <a:off x="8920" y="3408011"/>
                                      <a:ext cx="2368" cy="1468"/>
                                      <a:chOff x="9842" y="13971"/>
                                      <a:chExt cx="2368" cy="1468"/>
                                    </a:xfrm>
                                  </wpg:grpSpPr>
                                  <wpg:grpSp>
                                    <wpg:cNvPr id="87" name="组合 248"/>
                                    <wpg:cNvGrpSpPr/>
                                    <wpg:grpSpPr>
                                      <a:xfrm>
                                        <a:off x="9842" y="13971"/>
                                        <a:ext cx="2369" cy="1469"/>
                                        <a:chOff x="8510" y="24078"/>
                                        <a:chExt cx="2369" cy="1469"/>
                                      </a:xfrm>
                                    </wpg:grpSpPr>
                                    <wps:wsp>
                                      <wps:cNvPr id="603" name="直接连接符 338"/>
                                      <wps:cNvCnPr/>
                                      <wps:spPr>
                                        <a:xfrm>
                                          <a:off x="9218" y="24514"/>
                                          <a:ext cx="1" cy="680"/>
                                        </a:xfrm>
                                        <a:prstGeom prst="line">
                                          <a:avLst/>
                                        </a:prstGeom>
                                        <a:ln w="9525" cap="flat" cmpd="sng">
                                          <a:solidFill>
                                            <a:srgbClr val="000000"/>
                                          </a:solidFill>
                                          <a:prstDash val="solid"/>
                                          <a:headEnd type="none" w="med" len="med"/>
                                          <a:tailEnd type="triangle" w="med" len="med"/>
                                        </a:ln>
                                        <a:effectLst/>
                                      </wps:spPr>
                                      <wps:bodyPr/>
                                    </wps:wsp>
                                    <wps:wsp>
                                      <wps:cNvPr id="604" name="矩形 313"/>
                                      <wps:cNvSpPr/>
                                      <wps:spPr>
                                        <a:xfrm>
                                          <a:off x="8510" y="24078"/>
                                          <a:ext cx="1510" cy="43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2110A6">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污水处理站</w:t>
                                            </w:r>
                                          </w:p>
                                        </w:txbxContent>
                                      </wps:txbx>
                                      <wps:bodyPr upright="1"/>
                                    </wps:wsp>
                                    <wps:wsp>
                                      <wps:cNvPr id="605" name="矩形 339"/>
                                      <wps:cNvSpPr/>
                                      <wps:spPr>
                                        <a:xfrm>
                                          <a:off x="8517" y="25066"/>
                                          <a:ext cx="2362" cy="481"/>
                                        </a:xfrm>
                                        <a:prstGeom prst="rect">
                                          <a:avLst/>
                                        </a:prstGeom>
                                        <a:noFill/>
                                        <a:ln>
                                          <a:noFill/>
                                        </a:ln>
                                        <a:effectLst/>
                                      </wps:spPr>
                                      <wps:txbx>
                                        <w:txbxContent>
                                          <w:p w14:paraId="2380A703">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良村南污水处理厂</w:t>
                                            </w:r>
                                          </w:p>
                                        </w:txbxContent>
                                      </wps:txbx>
                                      <wps:bodyPr upright="1"/>
                                    </wps:wsp>
                                  </wpg:grpSp>
                                  <wps:wsp>
                                    <wps:cNvPr id="606" name="矩形 99"/>
                                    <wps:cNvSpPr/>
                                    <wps:spPr>
                                      <a:xfrm>
                                        <a:off x="10457" y="14520"/>
                                        <a:ext cx="1083" cy="502"/>
                                      </a:xfrm>
                                      <a:prstGeom prst="rect">
                                        <a:avLst/>
                                      </a:prstGeom>
                                      <a:noFill/>
                                      <a:ln>
                                        <a:noFill/>
                                      </a:ln>
                                      <a:effectLst/>
                                    </wps:spPr>
                                    <wps:txbx>
                                      <w:txbxContent>
                                        <w:p w14:paraId="38FA7CFD">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924.32</w:t>
                                          </w:r>
                                        </w:p>
                                      </w:txbxContent>
                                    </wps:txbx>
                                    <wps:bodyPr upright="1"/>
                                  </wps:wsp>
                                </wpg:grpSp>
                                <wpg:grpSp>
                                  <wpg:cNvPr id="88" name="组合 1236"/>
                                  <wpg:cNvGrpSpPr/>
                                  <wpg:grpSpPr>
                                    <a:xfrm>
                                      <a:off x="3756" y="3408086"/>
                                      <a:ext cx="3347" cy="645"/>
                                      <a:chOff x="3211" y="13716"/>
                                      <a:chExt cx="3347" cy="660"/>
                                    </a:xfrm>
                                  </wpg:grpSpPr>
                                  <wps:wsp>
                                    <wps:cNvPr id="608" name="矩形 79"/>
                                    <wps:cNvSpPr/>
                                    <wps:spPr>
                                      <a:xfrm>
                                        <a:off x="3385" y="13716"/>
                                        <a:ext cx="875" cy="550"/>
                                      </a:xfrm>
                                      <a:prstGeom prst="rect">
                                        <a:avLst/>
                                      </a:prstGeom>
                                      <a:noFill/>
                                      <a:ln>
                                        <a:noFill/>
                                      </a:ln>
                                      <a:effectLst/>
                                    </wps:spPr>
                                    <wps:txbx>
                                      <w:txbxContent>
                                        <w:p w14:paraId="28B59556">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20</w:t>
                                          </w:r>
                                        </w:p>
                                      </w:txbxContent>
                                    </wps:txbx>
                                    <wps:bodyPr upright="1"/>
                                  </wps:wsp>
                                  <wps:wsp>
                                    <wps:cNvPr id="609" name="矩形 81"/>
                                    <wps:cNvSpPr/>
                                    <wps:spPr>
                                      <a:xfrm>
                                        <a:off x="4162" y="13868"/>
                                        <a:ext cx="2396" cy="50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075DADF">
                                          <w:pPr>
                                            <w:widowControl/>
                                            <w:spacing w:line="260" w:lineRule="exact"/>
                                            <w:ind w:firstLine="0" w:firstLineChars="0"/>
                                            <w:jc w:val="center"/>
                                            <w:rPr>
                                              <w:rFonts w:hint="default" w:ascii="Times New Roman" w:hAnsi="Times New Roman" w:eastAsia="宋体" w:cs="Times New Roman"/>
                                              <w:kern w:val="0"/>
                                              <w:sz w:val="21"/>
                                              <w:szCs w:val="21"/>
                                            </w:rPr>
                                          </w:pPr>
                                          <w:r>
                                            <w:rPr>
                                              <w:rFonts w:hint="eastAsia" w:ascii="宋体" w:hAnsi="宋体" w:eastAsia="宋体" w:cs="宋体"/>
                                              <w:kern w:val="0"/>
                                              <w:sz w:val="21"/>
                                              <w:szCs w:val="21"/>
                                            </w:rPr>
                                            <w:t>绿化喷淋</w:t>
                                          </w:r>
                                          <w:r>
                                            <w:rPr>
                                              <w:rFonts w:hint="default" w:ascii="Times New Roman" w:hAnsi="Times New Roman" w:eastAsia="宋体" w:cs="Times New Roman"/>
                                              <w:kern w:val="0"/>
                                              <w:sz w:val="21"/>
                                              <w:szCs w:val="21"/>
                                            </w:rPr>
                                            <w:t>（-20）</w:t>
                                          </w:r>
                                        </w:p>
                                      </w:txbxContent>
                                    </wps:txbx>
                                    <wps:bodyPr upright="1"/>
                                  </wps:wsp>
                                  <wps:wsp>
                                    <wps:cNvPr id="610" name="直接连接符 83"/>
                                    <wps:cNvCnPr/>
                                    <wps:spPr>
                                      <a:xfrm>
                                        <a:off x="3211" y="14084"/>
                                        <a:ext cx="964" cy="1"/>
                                      </a:xfrm>
                                      <a:prstGeom prst="line">
                                        <a:avLst/>
                                      </a:prstGeom>
                                      <a:ln w="9525" cap="flat" cmpd="sng">
                                        <a:solidFill>
                                          <a:srgbClr val="000000"/>
                                        </a:solidFill>
                                        <a:prstDash val="solid"/>
                                        <a:round/>
                                        <a:headEnd type="none" w="med" len="med"/>
                                        <a:tailEnd type="triangle" w="med" len="med"/>
                                      </a:ln>
                                      <a:effectLst/>
                                    </wps:spPr>
                                    <wps:bodyPr/>
                                  </wps:wsp>
                                </wpg:grpSp>
                                <wps:wsp>
                                  <wps:cNvPr id="614" name="矩形 34"/>
                                  <wps:cNvSpPr/>
                                  <wps:spPr>
                                    <a:xfrm>
                                      <a:off x="3587" y="3398791"/>
                                      <a:ext cx="979" cy="392"/>
                                    </a:xfrm>
                                    <a:prstGeom prst="rect">
                                      <a:avLst/>
                                    </a:prstGeom>
                                    <a:noFill/>
                                    <a:ln>
                                      <a:noFill/>
                                    </a:ln>
                                    <a:effectLst/>
                                  </wps:spPr>
                                  <wps:txbx>
                                    <w:txbxContent>
                                      <w:p w14:paraId="7C42862A">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5.1</w:t>
                                        </w:r>
                                      </w:p>
                                    </w:txbxContent>
                                  </wps:txbx>
                                  <wps:bodyPr upright="1"/>
                                </wps:wsp>
                                <wps:wsp>
                                  <wps:cNvPr id="617" name="矩形 34"/>
                                  <wps:cNvSpPr/>
                                  <wps:spPr>
                                    <a:xfrm>
                                      <a:off x="6213" y="3398820"/>
                                      <a:ext cx="979" cy="391"/>
                                    </a:xfrm>
                                    <a:prstGeom prst="rect">
                                      <a:avLst/>
                                    </a:prstGeom>
                                    <a:noFill/>
                                    <a:ln>
                                      <a:noFill/>
                                    </a:ln>
                                    <a:effectLst/>
                                  </wps:spPr>
                                  <wps:txbx>
                                    <w:txbxContent>
                                      <w:p w14:paraId="1008866F">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155</w:t>
                                        </w:r>
                                      </w:p>
                                    </w:txbxContent>
                                  </wps:txbx>
                                  <wps:bodyPr upright="1"/>
                                </wps:wsp>
                                <wps:wsp>
                                  <wps:cNvPr id="621" name="矩形 34"/>
                                  <wps:cNvSpPr/>
                                  <wps:spPr>
                                    <a:xfrm>
                                      <a:off x="5390" y="3398358"/>
                                      <a:ext cx="979" cy="391"/>
                                    </a:xfrm>
                                    <a:prstGeom prst="rect">
                                      <a:avLst/>
                                    </a:prstGeom>
                                    <a:noFill/>
                                    <a:ln>
                                      <a:noFill/>
                                    </a:ln>
                                    <a:effectLst/>
                                  </wps:spPr>
                                  <wps:txbx>
                                    <w:txbxContent>
                                      <w:p w14:paraId="3A0FE52B">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5</w:t>
                                        </w:r>
                                      </w:p>
                                    </w:txbxContent>
                                  </wps:txbx>
                                  <wps:bodyPr upright="1"/>
                                </wps:wsp>
                              </wpg:grpSp>
                            </wpg:grpSp>
                            <wps:wsp>
                              <wps:cNvPr id="68" name="肘形连接符 68"/>
                              <wps:cNvCnPr/>
                              <wps:spPr>
                                <a:xfrm rot="16200000">
                                  <a:off x="6475" y="947306"/>
                                  <a:ext cx="265" cy="1650"/>
                                </a:xfrm>
                                <a:prstGeom prst="bentConnector2">
                                  <a:avLst/>
                                </a:prstGeom>
                                <a:ln w="1270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2.65pt;margin-top:14.15pt;height:611.4pt;width:386.8pt;z-index:251666432;mso-width-relative:page;mso-height-relative:page;" coordorigin="3084,945442" coordsize="7736,12228" o:gfxdata="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">
                      <o:lock v:ext="edit" aspectratio="f"/>
                      <v:group id="_x0000_s1026" o:spid="_x0000_s1026" o:spt="203" style="position:absolute;left:3084;top:945442;height:12228;width:7736;" coordorigin="2536,944470" coordsize="8186,12921" o:gfxdata="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TPka70AAADbAAAADwAAAAAAAAABACAAAAAiAAAAZHJzL2Rvd25yZXYueG1s&#10;UEsBAhQAFAAAAAgAh07iQDMvBZ47AAAAOQAAABUAAAAAAAAAAQAgAAAADAEAAGRycy9ncm91cHNo&#10;YXBleG1sLnhtbFBLBQYAAAAABgAGAGABAADJAwAAAAA=&#10;">
                        <o:lock v:ext="edit" aspectratio="f"/>
                        <v:line id="直接连接符 1" o:spid="_x0000_s1026" o:spt="20" style="position:absolute;left:8299;top:944999;height:0;width:611;" filled="f" stroked="t" coordsize="21600,21600" o:gfxdata="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ZBmab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id="_x0000_s1026" o:spid="_x0000_s1026" o:spt="203" style="position:absolute;left:2536;top:944470;height:12921;width:8186;" coordorigin="2191,3395748" coordsize="9097,13731" o:gfxdata="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LDF370AAADbAAAADwAAAAAAAAABACAAAAAiAAAAZHJzL2Rvd25yZXYueG1s&#10;UEsBAhQAFAAAAAgAh07iQDMvBZ47AAAAOQAAABUAAAAAAAAAAQAgAAAADAEAAGRycy9ncm91cHNo&#10;YXBleG1sLnhtbFBLBQYAAAAABgAGAGABAADJAwAAAAA=&#10;">
                          <o:lock v:ext="edit" aspectratio="f"/>
                          <v:line id="直接连接符 90" o:spid="_x0000_s1026" o:spt="20" style="position:absolute;left:3746;top:3396080;height:12359;width:1;" filled="f" stroked="t" coordsize="21600,21600" o:gfxdata="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JhYTugAAANsA&#10;AAAPAAAAAAAAAAEAIAAAACIAAABkcnMvZG93bnJldi54bWxQSwECFAAUAAAACACHTuJAMy8FnjsA&#10;AAA5AAAAEAAAAAAAAAABACAAAAAJAQAAZHJzL3NoYXBleG1sLnhtbFBLBQYAAAAABgAGAFsBAACz&#10;AwAAAAA=&#10;">
                            <v:fill on="f" focussize="0,0"/>
                            <v:stroke color="#000000" joinstyle="round"/>
                            <v:imagedata o:title=""/>
                            <o:lock v:ext="edit" aspectratio="f"/>
                          </v:line>
                          <v:group id="组合 1090" o:spid="_x0000_s1026" o:spt="203" style="position:absolute;left:3754;top:3395748;height:4858;width:7396;" coordorigin="3791,1888" coordsize="7396,4858"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o:lock v:ext="edit" aspectratio="f"/>
                            <v:rect id="矩形 402" o:spid="_x0000_s1026" o:spt="1" style="position:absolute;left:9275;top:1888;height:958;width:1912;" filled="f" stroked="f" coordsize="21600,21600" o:gfxdata="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PRsTm8AAAA&#10;2gAAAA8AAAAAAAAAAQAgAAAAIgAAAGRycy9kb3ducmV2LnhtbFBLAQIUABQAAAAIAIdO4kAzLwWe&#10;OwAAADkAAAAQAAAAAAAAAAEAIAAAAAsBAABkcnMvc2hhcGV4bWwueG1sUEsFBgAAAAAGAAYAWwEA&#10;ALUDAAAAAA==&#10;">
                              <v:fill on="f" focussize="0,0"/>
                              <v:stroke on="f" joinstyle="miter"/>
                              <v:imagedata o:title=""/>
                              <o:lock v:ext="edit" aspectratio="f"/>
                              <v:textbox>
                                <w:txbxContent>
                                  <w:p w14:paraId="0A349545">
                                    <w:pPr>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Fonts w:hint="default" w:ascii="宋体" w:hAnsi="宋体" w:eastAsia="宋体" w:cs="宋体"/>
                                        <w:color w:val="auto"/>
                                        <w:kern w:val="0"/>
                                        <w:sz w:val="18"/>
                                        <w:szCs w:val="18"/>
                                        <w:lang w:val="en-US" w:eastAsia="zh-CN"/>
                                      </w:rPr>
                                    </w:pPr>
                                    <w:r>
                                      <w:rPr>
                                        <w:rFonts w:hint="eastAsia" w:ascii="宋体" w:hAnsi="宋体" w:eastAsia="宋体" w:cs="宋体"/>
                                        <w:kern w:val="0"/>
                                        <w:sz w:val="18"/>
                                        <w:szCs w:val="18"/>
                                      </w:rPr>
                                      <w:t>进</w:t>
                                    </w:r>
                                    <w:r>
                                      <w:rPr>
                                        <w:rFonts w:hint="eastAsia" w:ascii="宋体" w:hAnsi="宋体" w:eastAsia="宋体" w:cs="宋体"/>
                                        <w:color w:val="auto"/>
                                        <w:kern w:val="0"/>
                                        <w:sz w:val="18"/>
                                        <w:szCs w:val="18"/>
                                      </w:rPr>
                                      <w:t>入</w:t>
                                    </w:r>
                                    <w:r>
                                      <w:rPr>
                                        <w:rFonts w:hint="eastAsia" w:ascii="宋体" w:hAnsi="宋体" w:eastAsia="宋体" w:cs="宋体"/>
                                        <w:color w:val="auto"/>
                                        <w:kern w:val="0"/>
                                        <w:sz w:val="18"/>
                                        <w:szCs w:val="18"/>
                                        <w:lang w:val="en-US" w:eastAsia="zh-CN"/>
                                      </w:rPr>
                                      <w:t>氨基乙酸</w:t>
                                    </w:r>
                                    <w:r>
                                      <w:rPr>
                                        <w:rFonts w:hint="eastAsia" w:ascii="宋体" w:hAnsi="宋体" w:cs="宋体"/>
                                        <w:color w:val="auto"/>
                                        <w:kern w:val="0"/>
                                        <w:sz w:val="18"/>
                                        <w:szCs w:val="18"/>
                                        <w:lang w:val="en-US" w:eastAsia="zh-CN"/>
                                      </w:rPr>
                                      <w:t>产品及盐酸副产品</w:t>
                                    </w:r>
                                  </w:p>
                                  <w:p w14:paraId="694B791E">
                                    <w:pPr>
                                      <w:pStyle w:val="2"/>
                                      <w:keepNext w:val="0"/>
                                      <w:keepLines w:val="0"/>
                                      <w:pageBreakBefore w:val="0"/>
                                      <w:kinsoku/>
                                      <w:wordWrap/>
                                      <w:overflowPunct/>
                                      <w:topLinePunct w:val="0"/>
                                      <w:autoSpaceDE/>
                                      <w:autoSpaceDN/>
                                      <w:bidi w:val="0"/>
                                      <w:adjustRightInd/>
                                      <w:snapToGrid/>
                                      <w:spacing w:line="240" w:lineRule="auto"/>
                                      <w:textAlignment w:val="auto"/>
                                      <w:rPr>
                                        <w:rFonts w:hint="default" w:ascii="Times New Roman" w:hAnsi="Times New Roman" w:cs="Times New Roman"/>
                                        <w:kern w:val="0"/>
                                        <w:sz w:val="21"/>
                                        <w:szCs w:val="21"/>
                                        <w:lang w:val="en-US" w:eastAsia="zh-CN"/>
                                      </w:rPr>
                                    </w:pPr>
                                    <w:r>
                                      <w:rPr>
                                        <w:rFonts w:hint="eastAsia" w:cs="Times New Roman"/>
                                        <w:color w:val="auto"/>
                                        <w:kern w:val="0"/>
                                        <w:sz w:val="18"/>
                                        <w:szCs w:val="18"/>
                                        <w:lang w:val="en-US" w:eastAsia="zh-CN"/>
                                      </w:rPr>
                                      <w:t>382.81</w:t>
                                    </w:r>
                                  </w:p>
                                </w:txbxContent>
                              </v:textbox>
                            </v:rect>
                            <v:rect id="矩形 6" o:spid="_x0000_s1026" o:spt="1" style="position:absolute;left:3945;top:1889;height:559;width:1190;" filled="f" stroked="f" coordsize="21600,21600" o:gfxdata="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L/42/&#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AE8D74A">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1200.81</w:t>
                                    </w:r>
                                  </w:p>
                                </w:txbxContent>
                              </v:textbox>
                            </v:rect>
                            <v:rect id="矩形 4" o:spid="_x0000_s1026" o:spt="1" style="position:absolute;left:5183;top:2038;height:440;width:3414;" fillcolor="#FFFFFF" filled="t" stroked="t" coordsize="21600,21600" o:gfxdata="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0mPf7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33945772">
                                    <w:pPr>
                                      <w:widowControl/>
                                      <w:spacing w:line="260" w:lineRule="exact"/>
                                      <w:ind w:firstLine="0" w:firstLineChars="0"/>
                                      <w:jc w:val="center"/>
                                      <w:rPr>
                                        <w:rFonts w:ascii="宋体" w:hAnsi="宋体" w:eastAsia="宋体" w:cs="宋体"/>
                                        <w:kern w:val="0"/>
                                        <w:sz w:val="20"/>
                                        <w:szCs w:val="20"/>
                                      </w:rPr>
                                    </w:pPr>
                                    <w:r>
                                      <w:rPr>
                                        <w:rFonts w:hint="eastAsia" w:ascii="宋体" w:hAnsi="宋体" w:eastAsia="宋体" w:cs="宋体"/>
                                        <w:kern w:val="0"/>
                                        <w:sz w:val="20"/>
                                        <w:szCs w:val="20"/>
                                      </w:rPr>
                                      <w:t>氨基乙酸与氯乙酸用水</w:t>
                                    </w:r>
                                    <w:r>
                                      <w:rPr>
                                        <w:rFonts w:hint="default" w:ascii="Times New Roman" w:hAnsi="Times New Roman" w:eastAsia="宋体" w:cs="Times New Roman"/>
                                        <w:kern w:val="0"/>
                                        <w:sz w:val="20"/>
                                        <w:szCs w:val="20"/>
                                      </w:rPr>
                                      <w:t>（-</w:t>
                                    </w:r>
                                    <w:r>
                                      <w:rPr>
                                        <w:rFonts w:hint="default" w:ascii="Times New Roman" w:hAnsi="Times New Roman" w:cs="Times New Roman"/>
                                        <w:kern w:val="0"/>
                                        <w:sz w:val="20"/>
                                        <w:szCs w:val="20"/>
                                        <w:lang w:val="en-US" w:eastAsia="zh-CN"/>
                                      </w:rPr>
                                      <w:t>69</w:t>
                                    </w:r>
                                    <w:r>
                                      <w:rPr>
                                        <w:rFonts w:hint="default" w:ascii="Times New Roman" w:hAnsi="Times New Roman" w:eastAsia="宋体" w:cs="Times New Roman"/>
                                        <w:kern w:val="0"/>
                                        <w:sz w:val="20"/>
                                        <w:szCs w:val="20"/>
                                      </w:rPr>
                                      <w:t>）</w:t>
                                    </w:r>
                                  </w:p>
                                </w:txbxContent>
                              </v:textbox>
                            </v:rect>
                            <v:rect id="矩形 34" o:spid="_x0000_s1026" o:spt="1" style="position:absolute;left:6173;top:2544;height:395;width:1198;" filled="f" stroked="f" coordsize="21600,21600" o:gfxdata="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4r4cL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CFCDE2E">
                                    <w:pPr>
                                      <w:widowControl w:val="0"/>
                                      <w:autoSpaceDE w:val="0"/>
                                      <w:autoSpaceDN w:val="0"/>
                                      <w:spacing w:line="240" w:lineRule="exact"/>
                                      <w:ind w:left="-120" w:leftChars="-50" w:right="-120" w:rightChars="-50" w:firstLine="0" w:firstLineChars="0"/>
                                      <w:jc w:val="center"/>
                                      <w:rPr>
                                        <w:rFonts w:ascii="宋体" w:hAnsi="宋体" w:eastAsia="宋体" w:cs="宋体"/>
                                        <w:kern w:val="0"/>
                                      </w:rPr>
                                    </w:pPr>
                                    <w:r>
                                      <w:rPr>
                                        <w:rFonts w:hint="eastAsia" w:ascii="Times New Roman" w:hAnsi="Times New Roman" w:eastAsia="宋体" w:cs="Times New Roman"/>
                                        <w:kern w:val="0"/>
                                        <w:sz w:val="21"/>
                                        <w:szCs w:val="21"/>
                                      </w:rPr>
                                      <w:t>750</w:t>
                                    </w:r>
                                  </w:p>
                                </w:txbxContent>
                              </v:textbox>
                            </v:rect>
                            <v:line id="直接连接符 44" o:spid="_x0000_s1026" o:spt="20" style="position:absolute;left:6444;top:2483;flip:x;height:510;width:1;" filled="f" stroked="t" coordsize="21600,21600" o:gfxdata="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ftc97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直接连接符 5" o:spid="_x0000_s1026" o:spt="20" style="position:absolute;left:3791;top:2265;height:1;width:1417;" filled="f" stroked="t" coordsize="21600,21600" o:gfxdata="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GMNZ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直接连接符 1" o:spid="_x0000_s1026" o:spt="20" style="position:absolute;left:8620;top:2252;height:0;width:679;" filled="f" stroked="t" coordsize="21600,21600" o:gfxdata="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7AcN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43" o:spid="_x0000_s1026" o:spt="1" style="position:absolute;left:5317;top:3001;height:439;width:2474;" fillcolor="#FFFFFF" filled="t" stroked="t" coordsize="21600,21600" o:gfxdata="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Sjuw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8783D02">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甲醇精馏车间</w:t>
                                    </w:r>
                                  </w:p>
                                </w:txbxContent>
                              </v:textbox>
                            </v:rect>
                            <v:group id="组合 170" o:spid="_x0000_s1026" o:spt="203" style="position:absolute;left:7583;top:3381;height:500;width:2809;" coordorigin="10031,8490" coordsize="2809,500"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f"/>
                              <v:rect id="矩形 81" o:spid="_x0000_s1026" o:spt="1" style="position:absolute;left:10702;top:8490;height:492;width:2138;" filled="f" stroked="f" coordsize="21600,21600" o:gfxdata="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zQzHbsAAADc&#10;AAAADwAAAAAAAAABACAAAAAiAAAAZHJzL2Rvd25yZXYueG1sUEsBAhQAFAAAAAgAh07iQDMvBZ47&#10;AAAAOQAAABAAAAAAAAAAAQAgAAAACgEAAGRycy9zaGFwZXhtbC54bWxQSwUGAAAAAAYABgBbAQAA&#10;tAMAAAAA&#10;">
                                <v:fill on="f" focussize="0,0"/>
                                <v:stroke on="f" joinstyle="miter"/>
                                <v:imagedata o:title=""/>
                                <o:lock v:ext="edit" aspectratio="f"/>
                                <v:textbox>
                                  <w:txbxContent>
                                    <w:p w14:paraId="1D475E9F">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进入</w:t>
                                      </w:r>
                                      <w:r>
                                        <w:rPr>
                                          <w:rFonts w:hint="eastAsia" w:ascii="宋体" w:hAnsi="宋体" w:eastAsia="宋体" w:cs="宋体"/>
                                          <w:kern w:val="0"/>
                                          <w:sz w:val="21"/>
                                          <w:szCs w:val="21"/>
                                          <w:lang w:val="en-US" w:eastAsia="zh-CN"/>
                                        </w:rPr>
                                        <w:t>氯化铵</w:t>
                                      </w:r>
                                      <w:r>
                                        <w:rPr>
                                          <w:rFonts w:hint="default" w:ascii="Times New Roman" w:hAnsi="Times New Roman" w:eastAsia="宋体" w:cs="Times New Roman"/>
                                          <w:kern w:val="0"/>
                                          <w:sz w:val="21"/>
                                          <w:szCs w:val="21"/>
                                        </w:rPr>
                                        <w:t>33</w:t>
                                      </w:r>
                                    </w:p>
                                  </w:txbxContent>
                                </v:textbox>
                              </v:rect>
                              <v:line id="直接连接符 82" o:spid="_x0000_s1026" o:spt="20" style="position:absolute;left:10050;top:8720;height:11;width:850;" filled="f" stroked="t" coordsize="21600,21600" o:gfxdata="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Th7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直接连接符 82" o:spid="_x0000_s1026" o:spt="20" style="position:absolute;left:10031;top:8707;flip:y;height:283;width:1;" filled="f" stroked="t" coordsize="21600,21600" o:gfxdata="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chl3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line id="直接连接符 44" o:spid="_x0000_s1026" o:spt="20" style="position:absolute;left:6438;top:3405;flip:x;height:510;width:1;" filled="f" stroked="t" coordsize="21600,21600" o:gfxdata="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rcdD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矩形 34" o:spid="_x0000_s1026" o:spt="1" style="position:absolute;left:6231;top:3459;height:395;width:978;" filled="f" stroked="f" coordsize="21600,21600" o:gfxdata="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8Fkiq/&#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8D26054">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535</w:t>
                                    </w:r>
                                  </w:p>
                                </w:txbxContent>
                              </v:textbox>
                            </v:rect>
                            <v:rect id="矩形 21" o:spid="_x0000_s1026" o:spt="1" style="position:absolute;left:8565;top:3846;height:463;width:2341;" filled="f" stroked="f" coordsize="21600,21600" o:gfxdata="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hySNrsAAADc&#10;AAAADwAAAAAAAAABACAAAAAiAAAAZHJzL2Rvd25yZXYueG1sUEsBAhQAFAAAAAgAh07iQDMvBZ47&#10;AAAAOQAAABAAAAAAAAAAAQAgAAAACgEAAGRycy9zaGFwZXhtbC54bWxQSwUGAAAAAAYABgBbAQAA&#10;tAMAAAAA&#10;">
                              <v:fill on="f" focussize="0,0"/>
                              <v:stroke on="f" joinstyle="miter"/>
                              <v:imagedata o:title=""/>
                              <o:lock v:ext="edit" aspectratio="f"/>
                              <v:textbox>
                                <w:txbxContent>
                                  <w:p w14:paraId="14BEF7E2">
                                    <w:pPr>
                                      <w:widowControl/>
                                      <w:spacing w:line="240" w:lineRule="auto"/>
                                      <w:ind w:firstLine="0" w:firstLineChars="0"/>
                                      <w:jc w:val="center"/>
                                      <w:rPr>
                                        <w:rFonts w:hint="default" w:ascii="Times New Roman" w:hAnsi="Times New Roman" w:eastAsia="宋体" w:cs="Times New Roman"/>
                                        <w:kern w:val="0"/>
                                        <w:sz w:val="21"/>
                                        <w:szCs w:val="21"/>
                                      </w:rPr>
                                    </w:pPr>
                                    <w:r>
                                      <w:rPr>
                                        <w:rFonts w:hint="eastAsia" w:ascii="宋体" w:hAnsi="宋体" w:eastAsia="宋体" w:cs="宋体"/>
                                        <w:kern w:val="0"/>
                                        <w:sz w:val="21"/>
                                        <w:szCs w:val="21"/>
                                      </w:rPr>
                                      <w:t>进入水溶</w:t>
                                    </w:r>
                                    <w:r>
                                      <w:rPr>
                                        <w:rFonts w:hint="default" w:ascii="Times New Roman" w:hAnsi="Times New Roman" w:eastAsia="宋体" w:cs="Times New Roman"/>
                                        <w:kern w:val="0"/>
                                        <w:sz w:val="21"/>
                                        <w:szCs w:val="21"/>
                                      </w:rPr>
                                      <w:t>肥47.2</w:t>
                                    </w:r>
                                  </w:p>
                                </w:txbxContent>
                              </v:textbox>
                            </v:rect>
                            <v:line id="直接连接符 153" o:spid="_x0000_s1026" o:spt="20" style="position:absolute;left:7975;top:4109;height:1;width:794;" filled="f" stroked="t" coordsize="21600,21600" o:gfxdata="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Exze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154" o:spid="_x0000_s1026" o:spt="20" style="position:absolute;left:3801;top:4109;height:4;width:931;" filled="f" stroked="t" coordsize="21600,21600" o:gfxdata="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dEmRt&#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142" o:spid="_x0000_s1026" o:spt="1" style="position:absolute;left:4716;top:3901;height:446;width:3587;" fillcolor="#FFFFFF" filled="t" stroked="t" coordsize="21600,21600" o:gfxdata="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ONwq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F7189A4">
                                    <w:pPr>
                                      <w:widowControl/>
                                      <w:spacing w:line="240" w:lineRule="auto"/>
                                      <w:ind w:firstLine="0" w:firstLineChars="0"/>
                                      <w:jc w:val="center"/>
                                      <w:rPr>
                                        <w:rFonts w:hint="default" w:ascii="宋体" w:hAnsi="宋体" w:eastAsia="宋体" w:cs="宋体"/>
                                        <w:color w:val="auto"/>
                                        <w:kern w:val="0"/>
                                        <w:sz w:val="21"/>
                                        <w:szCs w:val="21"/>
                                        <w:lang w:val="en-US" w:eastAsia="zh-CN"/>
                                      </w:rPr>
                                    </w:pPr>
                                    <w:r>
                                      <w:rPr>
                                        <w:rFonts w:hint="eastAsia" w:ascii="宋体" w:hAnsi="宋体" w:eastAsia="宋体" w:cs="宋体"/>
                                        <w:color w:val="auto"/>
                                        <w:kern w:val="0"/>
                                        <w:sz w:val="21"/>
                                        <w:szCs w:val="21"/>
                                      </w:rPr>
                                      <w:t>氯化铵回收工序</w:t>
                                    </w:r>
                                    <w:r>
                                      <w:rPr>
                                        <w:rFonts w:hint="eastAsia" w:ascii="宋体" w:hAnsi="宋体" w:eastAsia="宋体" w:cs="宋体"/>
                                        <w:color w:val="auto"/>
                                        <w:kern w:val="0"/>
                                        <w:sz w:val="21"/>
                                        <w:szCs w:val="21"/>
                                        <w:lang w:eastAsia="zh-CN"/>
                                      </w:rPr>
                                      <w:t>（</w:t>
                                    </w:r>
                                    <w:r>
                                      <w:rPr>
                                        <w:rFonts w:hint="eastAsia" w:ascii="宋体" w:hAnsi="宋体" w:eastAsia="宋体" w:cs="宋体"/>
                                        <w:color w:val="auto"/>
                                        <w:kern w:val="0"/>
                                        <w:sz w:val="21"/>
                                        <w:szCs w:val="21"/>
                                        <w:lang w:val="en-US" w:eastAsia="zh-CN"/>
                                      </w:rPr>
                                      <w:t>双效蒸发器</w:t>
                                    </w:r>
                                    <w:r>
                                      <w:rPr>
                                        <w:rFonts w:hint="eastAsia" w:ascii="宋体" w:hAnsi="宋体" w:eastAsia="宋体" w:cs="宋体"/>
                                        <w:color w:val="auto"/>
                                        <w:kern w:val="0"/>
                                        <w:sz w:val="21"/>
                                        <w:szCs w:val="21"/>
                                        <w:lang w:eastAsia="zh-CN"/>
                                      </w:rPr>
                                      <w:t>）</w:t>
                                    </w:r>
                                  </w:p>
                                </w:txbxContent>
                              </v:textbox>
                            </v:rect>
                            <v:rect id="矩形 152" o:spid="_x0000_s1026" o:spt="1" style="position:absolute;left:6381;top:4342;height:601;width:1151;" filled="f" stroked="f" coordsize="21600,21600" o:gfxdata="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9yMbK/&#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D3E7805">
                                    <w:pPr>
                                      <w:widowControl/>
                                      <w:spacing w:line="240" w:lineRule="auto"/>
                                      <w:ind w:firstLine="0" w:firstLineChars="0"/>
                                      <w:jc w:val="left"/>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rPr>
                                      <w:t>457.2</w:t>
                                    </w:r>
                                  </w:p>
                                </w:txbxContent>
                              </v:textbox>
                            </v:rect>
                            <v:group id="组合 171" o:spid="_x0000_s1026" o:spt="203" style="position:absolute;left:7033;top:5051;height:1186;width:3783;" coordorigin="9721,9155" coordsize="3783,1186" o:gfxdata="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Fk6L0AAADbAAAADwAAAAAAAAABACAAAAAiAAAAZHJzL2Rvd25yZXYueG1s&#10;UEsBAhQAFAAAAAgAh07iQDMvBZ47AAAAOQAAABUAAAAAAAAAAQAgAAAADAEAAGRycy9ncm91cHNo&#10;YXBleG1sLnhtbFBLBQYAAAAABgAGAGABAADJAwAAAAA=&#10;">
                              <o:lock v:ext="edit" aspectratio="f"/>
                              <v:rect id="矩形 81" o:spid="_x0000_s1026" o:spt="1" style="position:absolute;left:9945;top:9801;height:530;width:2267;" filled="f" stroked="f" coordsize="21600,21600" o:gfxdata="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3Y3u8AAAA&#10;3AAAAA8AAAAAAAAAAQAgAAAAIgAAAGRycy9kb3ducmV2LnhtbFBLAQIUABQAAAAIAIdO4kAzLwWe&#10;OwAAADkAAAAQAAAAAAAAAAEAIAAAAAsBAABkcnMvc2hhcGV4bWwueG1sUEsFBgAAAAAGAAYAWwEA&#10;ALUDAAAAAA==&#10;">
                                <v:fill on="f" focussize="0,0"/>
                                <v:stroke on="f" joinstyle="miter"/>
                                <v:imagedata o:title=""/>
                                <o:lock v:ext="edit" aspectratio="f"/>
                                <v:textbox>
                                  <w:txbxContent>
                                    <w:p w14:paraId="11FE411C">
                                      <w:pPr>
                                        <w:widowControl/>
                                        <w:spacing w:line="240" w:lineRule="auto"/>
                                        <w:ind w:firstLine="0" w:firstLineChars="0"/>
                                        <w:jc w:val="center"/>
                                        <w:rPr>
                                          <w:rFonts w:hint="default" w:ascii="宋体" w:hAnsi="宋体" w:eastAsia="宋体" w:cs="宋体"/>
                                          <w:color w:val="auto"/>
                                          <w:kern w:val="0"/>
                                          <w:sz w:val="21"/>
                                          <w:szCs w:val="21"/>
                                          <w:lang w:val="en-US" w:eastAsia="zh-CN"/>
                                        </w:rPr>
                                      </w:pPr>
                                      <w:r>
                                        <w:rPr>
                                          <w:rFonts w:hint="eastAsia" w:ascii="宋体" w:hAnsi="宋体" w:eastAsia="宋体" w:cs="宋体"/>
                                          <w:color w:val="auto"/>
                                          <w:kern w:val="0"/>
                                          <w:sz w:val="21"/>
                                          <w:szCs w:val="21"/>
                                        </w:rPr>
                                        <w:t>进入</w:t>
                                      </w:r>
                                      <w:r>
                                        <w:rPr>
                                          <w:rFonts w:hint="eastAsia" w:ascii="宋体" w:hAnsi="宋体" w:eastAsia="宋体" w:cs="宋体"/>
                                          <w:color w:val="auto"/>
                                          <w:kern w:val="0"/>
                                          <w:sz w:val="21"/>
                                          <w:szCs w:val="21"/>
                                          <w:lang w:val="en-US" w:eastAsia="zh-CN"/>
                                        </w:rPr>
                                        <w:t>氨水</w:t>
                                      </w:r>
                                      <w:r>
                                        <w:rPr>
                                          <w:rFonts w:hint="default" w:ascii="Times New Roman" w:hAnsi="Times New Roman" w:eastAsia="宋体" w:cs="Times New Roman"/>
                                          <w:color w:val="auto"/>
                                          <w:kern w:val="0"/>
                                          <w:sz w:val="21"/>
                                          <w:szCs w:val="21"/>
                                          <w:lang w:val="en-US" w:eastAsia="zh-CN"/>
                                        </w:rPr>
                                        <w:t>15</w:t>
                                      </w:r>
                                    </w:p>
                                  </w:txbxContent>
                                </v:textbox>
                              </v:rect>
                              <v:line id="直接连接符 82" o:spid="_x0000_s1026" o:spt="20" style="position:absolute;left:9721;top:10054;height:14;width:745;" filled="f" stroked="t" coordsize="21600,21600" o:gfxdata="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kQHT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直接连接符 82" o:spid="_x0000_s1026" o:spt="20" style="position:absolute;left:9737;top:10054;flip:y;height:287;width:1;" filled="f" stroked="t" coordsize="21600,21600" o:gfxdata="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OgK+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82" o:spid="_x0000_s1026" o:spt="20" style="position:absolute;left:10844;top:9402;height:15;width:745;" filled="f" stroked="t" coordsize="21600,21600" o:gfxdata="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8VF+/&#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81" o:spid="_x0000_s1026" o:spt="1" style="position:absolute;left:11125;top:9155;height:528;width:2379;" filled="f" stroked="f" coordsize="21600,21600" o:gfxdata="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T7b4A&#10;AADcAAAADwAAAAAAAAABACAAAAAiAAAAZHJzL2Rvd25yZXYueG1sUEsBAhQAFAAAAAgAh07iQDMv&#10;BZ47AAAAOQAAABAAAAAAAAAAAQAgAAAADQEAAGRycy9zaGFwZXhtbC54bWxQSwUGAAAAAAYABgBb&#10;AQAAtwMAAAAA&#10;">
                                <v:fill on="f" focussize="0,0"/>
                                <v:stroke on="f" joinstyle="miter"/>
                                <v:imagedata o:title=""/>
                                <o:lock v:ext="edit" aspectratio="f"/>
                                <v:textbox>
                                  <w:txbxContent>
                                    <w:p w14:paraId="76024652">
                                      <w:pPr>
                                        <w:widowControl/>
                                        <w:spacing w:line="240" w:lineRule="auto"/>
                                        <w:ind w:firstLine="0" w:firstLineChars="0"/>
                                        <w:jc w:val="center"/>
                                        <w:rPr>
                                          <w:rFonts w:hint="default" w:ascii="Times New Roman" w:hAnsi="Times New Roman" w:eastAsia="宋体" w:cs="Times New Roman"/>
                                          <w:color w:val="auto"/>
                                          <w:kern w:val="0"/>
                                          <w:sz w:val="21"/>
                                          <w:szCs w:val="21"/>
                                          <w:lang w:val="en-US" w:eastAsia="zh-CN"/>
                                        </w:rPr>
                                      </w:pPr>
                                      <w:r>
                                        <w:rPr>
                                          <w:rFonts w:hint="eastAsia" w:ascii="宋体" w:hAnsi="宋体" w:eastAsia="宋体" w:cs="宋体"/>
                                          <w:color w:val="auto"/>
                                          <w:kern w:val="0"/>
                                          <w:sz w:val="21"/>
                                          <w:szCs w:val="21"/>
                                        </w:rPr>
                                        <w:t>进入</w:t>
                                      </w:r>
                                      <w:r>
                                        <w:rPr>
                                          <w:rFonts w:hint="eastAsia" w:ascii="宋体" w:hAnsi="宋体" w:eastAsia="宋体" w:cs="宋体"/>
                                          <w:color w:val="auto"/>
                                          <w:kern w:val="0"/>
                                          <w:sz w:val="21"/>
                                          <w:szCs w:val="21"/>
                                          <w:lang w:val="en-US" w:eastAsia="zh-CN"/>
                                        </w:rPr>
                                        <w:t>氨水</w:t>
                                      </w:r>
                                      <w:r>
                                        <w:rPr>
                                          <w:rFonts w:hint="eastAsia" w:cs="Times New Roman"/>
                                          <w:color w:val="auto"/>
                                          <w:kern w:val="0"/>
                                          <w:sz w:val="21"/>
                                          <w:szCs w:val="21"/>
                                          <w:lang w:val="en-US" w:eastAsia="zh-CN"/>
                                        </w:rPr>
                                        <w:t>160</w:t>
                                      </w:r>
                                    </w:p>
                                  </w:txbxContent>
                                </v:textbox>
                              </v:rect>
                            </v:group>
                            <v:line id="直接连接符 336" o:spid="_x0000_s1026" o:spt="20" style="position:absolute;left:6428;top:4416;height:1887;width:1;" filled="f" stroked="t" coordsize="21600,21600" o:gfxdata="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tJ8l&#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142" o:spid="_x0000_s1026" o:spt="1" style="position:absolute;left:5262;top:6300;height:446;width:2688;" fillcolor="#FFFFFF" filled="t" stroked="t" coordsize="21600,21600" o:gfxdata="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zh+e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1FEE2EF">
                                    <w:pPr>
                                      <w:widowControl/>
                                      <w:spacing w:line="240" w:lineRule="auto"/>
                                      <w:ind w:firstLine="0" w:firstLineChars="0"/>
                                      <w:jc w:val="center"/>
                                      <w:rPr>
                                        <w:rFonts w:ascii="宋体" w:hAnsi="宋体" w:eastAsia="宋体" w:cs="宋体"/>
                                        <w:color w:val="auto"/>
                                        <w:kern w:val="0"/>
                                        <w:sz w:val="21"/>
                                        <w:szCs w:val="21"/>
                                      </w:rPr>
                                    </w:pPr>
                                    <w:r>
                                      <w:rPr>
                                        <w:rFonts w:hint="eastAsia" w:ascii="宋体" w:hAnsi="宋体" w:eastAsia="宋体" w:cs="宋体"/>
                                        <w:color w:val="auto"/>
                                        <w:kern w:val="0"/>
                                        <w:sz w:val="21"/>
                                        <w:szCs w:val="21"/>
                                      </w:rPr>
                                      <w:t>氨回收系统</w:t>
                                    </w:r>
                                  </w:p>
                                </w:txbxContent>
                              </v:textbox>
                            </v:rect>
                            <v:rect id="矩形 312" o:spid="_x0000_s1026" o:spt="1" style="position:absolute;left:8399;top:6178;height:502;width:1083;" filled="f" stroked="f" coordsize="21600,21600" o:gfxdata="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oDA4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941E306">
                                    <w:pPr>
                                      <w:widowControl/>
                                      <w:spacing w:line="240" w:lineRule="auto"/>
                                      <w:ind w:firstLine="0" w:firstLineChars="0"/>
                                      <w:jc w:val="left"/>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kern w:val="0"/>
                                        <w:sz w:val="21"/>
                                        <w:szCs w:val="21"/>
                                        <w:lang w:val="en-US" w:eastAsia="zh-CN"/>
                                      </w:rPr>
                                      <w:t>312</w:t>
                                    </w:r>
                                    <w:r>
                                      <w:rPr>
                                        <w:rFonts w:hint="default" w:ascii="Times New Roman" w:hAnsi="Times New Roman" w:eastAsia="宋体" w:cs="Times New Roman"/>
                                        <w:color w:val="auto"/>
                                        <w:kern w:val="0"/>
                                        <w:sz w:val="21"/>
                                        <w:szCs w:val="21"/>
                                      </w:rPr>
                                      <w:t>.2</w:t>
                                    </w:r>
                                  </w:p>
                                </w:txbxContent>
                              </v:textbox>
                            </v:rect>
                            <v:line id="直接连接符 153" o:spid="_x0000_s1026" o:spt="20" style="position:absolute;left:8004;top:6535;height:0;width:1797;" filled="f" stroked="t" coordsize="21600,21600" o:gfxdata="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2tnzm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rect id="矩形 43" o:spid="_x0000_s1026" o:spt="1" style="position:absolute;left:4484;top:5073;height:719;width:1836;" fillcolor="#FFFFFF" filled="t" stroked="t" coordsize="21600,21600" o:gfxdata="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aHBhL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E6281BE">
                                    <w:pPr>
                                      <w:keepNext w:val="0"/>
                                      <w:keepLines w:val="0"/>
                                      <w:pageBreakBefore w:val="0"/>
                                      <w:widowControl/>
                                      <w:kinsoku/>
                                      <w:wordWrap/>
                                      <w:overflowPunct/>
                                      <w:topLinePunct w:val="0"/>
                                      <w:bidi w:val="0"/>
                                      <w:adjustRightInd/>
                                      <w:snapToGrid/>
                                      <w:spacing w:line="240" w:lineRule="exact"/>
                                      <w:ind w:left="0" w:leftChars="0" w:firstLine="0" w:firstLineChars="0"/>
                                      <w:jc w:val="center"/>
                                      <w:textAlignment w:val="auto"/>
                                      <w:rPr>
                                        <w:rFonts w:hint="eastAsia"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氨水废气治理</w:t>
                                    </w:r>
                                  </w:p>
                                  <w:p w14:paraId="7A98C5B4">
                                    <w:pPr>
                                      <w:pStyle w:val="24"/>
                                      <w:keepNext w:val="0"/>
                                      <w:keepLines w:val="0"/>
                                      <w:pageBreakBefore w:val="0"/>
                                      <w:kinsoku/>
                                      <w:wordWrap/>
                                      <w:overflowPunct/>
                                      <w:topLinePunct w:val="0"/>
                                      <w:bidi w:val="0"/>
                                      <w:adjustRightInd/>
                                      <w:snapToGrid/>
                                      <w:spacing w:after="0" w:line="240" w:lineRule="exact"/>
                                      <w:ind w:left="0" w:leftChars="0" w:firstLine="0" w:firstLineChars="0"/>
                                      <w:jc w:val="center"/>
                                      <w:textAlignment w:val="auto"/>
                                      <w:rPr>
                                        <w:rFonts w:hint="default" w:ascii="Times New Roman" w:hAnsi="Times New Roman" w:cs="Times New Roman"/>
                                        <w:sz w:val="20"/>
                                        <w:szCs w:val="20"/>
                                        <w:lang w:val="en-US" w:eastAsia="zh-CN"/>
                                      </w:rPr>
                                    </w:pPr>
                                    <w:r>
                                      <w:rPr>
                                        <w:rFonts w:hint="default" w:ascii="Times New Roman" w:hAnsi="Times New Roman" w:eastAsia="宋体" w:cs="Times New Roman"/>
                                        <w:kern w:val="0"/>
                                        <w:sz w:val="20"/>
                                        <w:szCs w:val="20"/>
                                        <w:lang w:val="en-US" w:eastAsia="zh-CN"/>
                                      </w:rPr>
                                      <w:t>（-0.1）</w:t>
                                    </w:r>
                                  </w:p>
                                </w:txbxContent>
                              </v:textbox>
                            </v:rect>
                            <v:line id="直接连接符 5" o:spid="_x0000_s1026" o:spt="20" style="position:absolute;left:3807;top:5275;flip:y;height:5;width:667;" filled="f" stroked="t" coordsize="21600,21600" o:gfxdata="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ojfJ&#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43" o:spid="_x0000_s1026" o:spt="1" style="position:absolute;left:7045;top:5102;height:439;width:1111;" fillcolor="#FFFFFF" filled="t" stroked="t" coordsize="21600,21600" o:gfxdata="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fWAP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2B05EEF">
                                    <w:pPr>
                                      <w:widowControl/>
                                      <w:spacing w:line="240" w:lineRule="auto"/>
                                      <w:ind w:firstLine="0" w:firstLineChars="0"/>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吸氨器</w:t>
                                    </w:r>
                                  </w:p>
                                </w:txbxContent>
                              </v:textbox>
                            </v:rect>
                            <v:line id="直接连接符 5" o:spid="_x0000_s1026" o:spt="20" style="position:absolute;left:6429;top:5289;flip:y;height:5;width:606;" filled="f" stroked="t" coordsize="21600,21600" o:gfxdata="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rVlF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152" o:spid="_x0000_s1026" o:spt="1" style="position:absolute;left:6272;top:5763;height:601;width:1150;" filled="f" stroked="f" coordsize="21600,21600" o:gfxdata="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AgLm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79CE58FD">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lang w:val="en-US" w:eastAsia="zh-CN"/>
                                      </w:rPr>
                                      <w:t>302.2</w:t>
                                    </w:r>
                                  </w:p>
                                </w:txbxContent>
                              </v:textbox>
                            </v:rect>
                          </v:group>
                          <v:rect id="矩形 1146" o:spid="_x0000_s1026" o:spt="1" style="position:absolute;left:8439;top:3396782;height:477;width:2031;" filled="f" stroked="f" coordsize="21600,21600" o:gfxdata="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HBYi7sAAADc&#10;AAAADwAAAAAAAAABACAAAAAiAAAAZHJzL2Rvd25yZXYueG1sUEsBAhQAFAAAAAgAh07iQDMvBZ47&#10;AAAAOQAAABAAAAAAAAAAAQAgAAAACgEAAGRycy9zaGFwZXhtbC54bWxQSwUGAAAAAAYABgBbAQAA&#10;tAMAAAAA&#10;">
                            <v:fill on="f" focussize="0,0"/>
                            <v:stroke on="f" joinstyle="miter"/>
                            <v:imagedata o:title=""/>
                            <o:lock v:ext="edit" aspectratio="f"/>
                            <v:textbox>
                              <w:txbxContent>
                                <w:p w14:paraId="72BC0348">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甲醇带走</w:t>
                                  </w:r>
                                  <w:r>
                                    <w:rPr>
                                      <w:rFonts w:hint="default" w:ascii="Times New Roman" w:hAnsi="Times New Roman" w:eastAsia="宋体" w:cs="Times New Roman"/>
                                      <w:kern w:val="0"/>
                                      <w:sz w:val="21"/>
                                      <w:szCs w:val="21"/>
                                    </w:rPr>
                                    <w:t>215</w:t>
                                  </w:r>
                                </w:p>
                              </w:txbxContent>
                            </v:textbox>
                          </v:rect>
                          <v:line id="直接连接符 1" o:spid="_x0000_s1026" o:spt="20" style="position:absolute;left:7777;top:3397061;height:0;width:680;" filled="f" stroked="t" coordsize="21600,21600" o:gfxdata="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fq7Q&#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34" o:spid="_x0000_s1026" o:spt="1" style="position:absolute;left:3707;top:3397614;height:392;width:979;" filled="f" stroked="f" coordsize="21600,21600" o:gfxdata="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Qzzu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5C6C2706">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2.4</w:t>
                                  </w:r>
                                </w:p>
                              </w:txbxContent>
                            </v:textbox>
                          </v:rect>
                          <v:group id="组合 1149" o:spid="_x0000_s1026" o:spt="203" style="position:absolute;left:3765;top:3398656;height:1494;width:3540;" coordorigin="3931,11081" coordsize="3540,1494" o:gfxdata="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G9vgi7AAAA2wAAAA8AAAAAAAAAAQAgAAAAIgAAAGRycy9kb3ducmV2LnhtbFBL&#10;AQIUABQAAAAIAIdO4kAzLwWeOwAAADkAAAAVAAAAAAAAAAEAIAAAAAoBAABkcnMvZ3JvdXBzaGFw&#10;ZXhtbC54bWxQSwUGAAAAAAYABgBgAQAAxwMAAAAA&#10;">
                            <o:lock v:ext="edit" aspectratio="f"/>
                            <v:rect id="矩形 60" o:spid="_x0000_s1026" o:spt="1" style="position:absolute;left:3931;top:12043;height:410;width:1770;" filled="f" stroked="f" coordsize="21600,21600" o:gfxdata="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pLIV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3A252954">
                                    <w:pPr>
                                      <w:widowControl w:val="0"/>
                                      <w:autoSpaceDE w:val="0"/>
                                      <w:autoSpaceDN w:val="0"/>
                                      <w:spacing w:line="240" w:lineRule="exact"/>
                                      <w:ind w:left="-120" w:leftChars="-50" w:right="-120" w:rightChars="-50" w:firstLine="0" w:firstLineChars="0"/>
                                      <w:jc w:val="center"/>
                                      <w:rPr>
                                        <w:rFonts w:hint="default" w:ascii="宋体" w:hAnsi="宋体" w:eastAsia="宋体" w:cs="宋体"/>
                                        <w:color w:val="auto"/>
                                        <w:kern w:val="0"/>
                                        <w:lang w:val="en-US" w:eastAsia="zh-CN"/>
                                      </w:rPr>
                                    </w:pPr>
                                    <w:r>
                                      <w:rPr>
                                        <w:rFonts w:hint="eastAsia" w:ascii="Times New Roman" w:hAnsi="Times New Roman" w:eastAsia="宋体" w:cs="Times New Roman"/>
                                        <w:color w:val="auto"/>
                                        <w:kern w:val="0"/>
                                        <w:sz w:val="21"/>
                                        <w:szCs w:val="21"/>
                                      </w:rPr>
                                      <w:t>蒸汽带</w:t>
                                    </w:r>
                                    <w:r>
                                      <w:rPr>
                                        <w:rFonts w:hint="default" w:ascii="Times New Roman" w:hAnsi="Times New Roman" w:eastAsia="宋体" w:cs="Times New Roman"/>
                                        <w:color w:val="auto"/>
                                        <w:kern w:val="0"/>
                                        <w:sz w:val="21"/>
                                        <w:szCs w:val="21"/>
                                      </w:rPr>
                                      <w:t>入</w:t>
                                    </w:r>
                                    <w:r>
                                      <w:rPr>
                                        <w:rFonts w:hint="default" w:ascii="Times New Roman" w:hAnsi="Times New Roman" w:eastAsia="宋体" w:cs="Times New Roman"/>
                                        <w:color w:val="auto"/>
                                        <w:kern w:val="0"/>
                                        <w:sz w:val="21"/>
                                        <w:szCs w:val="21"/>
                                        <w:lang w:val="en-US" w:eastAsia="zh-CN"/>
                                      </w:rPr>
                                      <w:t>25</w:t>
                                    </w:r>
                                  </w:p>
                                </w:txbxContent>
                              </v:textbox>
                            </v:rect>
                            <v:line id="直接连接符 65" o:spid="_x0000_s1026" o:spt="20" style="position:absolute;left:6087;top:12256;flip:x;height:319;width:0;" filled="f" stroked="t" coordsize="21600,21600" o:gfxdata="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VD64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直接连接符 66" o:spid="_x0000_s1026" o:spt="20" style="position:absolute;left:5594;top:12254;flip:y;height:1;width:508;" filled="f" stroked="t" coordsize="21600,21600" o:gfxdata="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tgEU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65" o:spid="_x0000_s1026" o:spt="20" style="position:absolute;left:7471;top:11081;flip:x;height:319;width:0;" filled="f" stroked="t" coordsize="21600,21600" o:gfxdata="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FesuugAAANwA&#10;AAAPAAAAAAAAAAEAIAAAACIAAABkcnMvZG93bnJldi54bWxQSwECFAAUAAAACACHTuJAMy8FnjsA&#10;AAA5AAAAEAAAAAAAAAABACAAAAAJAQAAZHJzL3NoYXBleG1sLnhtbFBLBQYAAAAABgAGAFsBAACz&#10;AwAAAAA=&#10;">
                              <v:fill on="f" focussize="0,0"/>
                              <v:stroke weight="0.5pt" color="#000000 [3213]" miterlimit="8" joinstyle="miter" dashstyle="dash" endarrow="block"/>
                              <v:imagedata o:title=""/>
                              <o:lock v:ext="edit" aspectratio="f"/>
                            </v:line>
                          </v:group>
                          <v:line id="直接连接符 125" o:spid="_x0000_s1026" o:spt="20" style="position:absolute;left:9743;top:3400387;flip:y;height:7624;width:28;" filled="f" stroked="t" coordsize="21600,21600" o:gfxdata="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0kFOK8AAAA&#10;3AAAAA8AAAAAAAAAAQAgAAAAIgAAAGRycy9kb3ducmV2LnhtbFBLAQIUABQAAAAIAIdO4kAzLwWe&#10;OwAAADkAAAAQAAAAAAAAAAEAIAAAAAsBAABkcnMvc2hhcGV4bWwueG1sUEsFBgAAAAAGAAYAWwEA&#10;ALUDAAAAAA==&#10;">
                            <v:fill on="f" focussize="0,0"/>
                            <v:stroke color="#000000" joinstyle="round" startarrow="block"/>
                            <v:imagedata o:title=""/>
                            <o:lock v:ext="edit" aspectratio="f"/>
                          </v:line>
                          <v:group id="组合 1157" o:spid="_x0000_s1026" o:spt="203" style="position:absolute;left:3686;top:3400762;height:598;width:6016;" coordorigin="3837,5432" coordsize="6016,598" o:gfxdata="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xG5O+AAAA2wAAAA8AAAAAAAAAAQAgAAAAIgAAAGRycy9kb3ducmV2Lnht&#10;bFBLAQIUABQAAAAIAIdO4kAzLwWeOwAAADkAAAAVAAAAAAAAAAEAIAAAAA0BAABkcnMvZ3JvdXBz&#10;aGFwZXhtbC54bWxQSwUGAAAAAAYABgBgAQAAygMAAAAA&#10;">
                            <o:lock v:ext="edit" aspectratio="f"/>
                            <v:rect id="矩形 42" o:spid="_x0000_s1026" o:spt="1" style="position:absolute;left:3837;top:5434;height:433;width:978;" filled="f" stroked="f" coordsize="21600,21600" o:gfxdata="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NfJUO/&#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7840192">
                                    <w:pPr>
                                      <w:widowControl w:val="0"/>
                                      <w:autoSpaceDE w:val="0"/>
                                      <w:autoSpaceDN w:val="0"/>
                                      <w:spacing w:line="240" w:lineRule="exact"/>
                                      <w:ind w:left="-120" w:leftChars="-50" w:right="-120" w:rightChars="-5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21</w:t>
                                    </w:r>
                                  </w:p>
                                </w:txbxContent>
                              </v:textbox>
                            </v:rect>
                            <v:group id="组合 44" o:spid="_x0000_s1026" o:spt="203" style="position:absolute;left:3897;top:5432;height:598;width:5956;" coordorigin="3897,5432" coordsize="5956,598" o:gfxdata="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4XkvwAAANsAAAAPAAAAAAAAAAEAIAAAACIAAABkcnMvZG93bnJldi54&#10;bWxQSwECFAAUAAAACACHTuJAMy8FnjsAAAA5AAAAFQAAAAAAAAABACAAAAAOAQAAZHJzL2dyb3Vw&#10;c2hhcGV4bWwueG1sUEsFBgAAAAAGAAYAYAEAAMsDAAAAAA==&#10;">
                              <o:lock v:ext="edit" aspectratio="f"/>
                              <v:rect id="矩形 102" o:spid="_x0000_s1026" o:spt="1" style="position:absolute;left:7754;top:5432;height:493;width:1831;" filled="f" stroked="f" coordsize="21600,21600" o:gfxdata="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zBHq+/&#10;AAAA3AAAAA8AAAAAAAAAAQAgAAAAIgAAAGRycy9kb3ducmV2LnhtbFBLAQIUABQAAAAIAIdO4kAz&#10;LwWeOwAAADkAAAAQAAAAAAAAAAEAIAAAAA4BAABkcnMvc2hhcGV4bWwueG1sUEsFBgAAAAAGAAYA&#10;WwEAALgDAAAAAA==&#10;">
                                <v:fill on="f" focussize="0,0"/>
                                <v:stroke on="f" joinstyle="miter"/>
                                <v:imagedata o:title=""/>
                                <o:lock v:ext="edit" aspectratio="f"/>
                                <v:textbox>
                                  <w:txbxContent>
                                    <w:p w14:paraId="0012A14F">
                                      <w:pPr>
                                        <w:widowControl/>
                                        <w:spacing w:line="240" w:lineRule="auto"/>
                                        <w:ind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20</w:t>
                                      </w:r>
                                    </w:p>
                                  </w:txbxContent>
                                </v:textbox>
                              </v:rect>
                              <v:rect id="矩形 43" o:spid="_x0000_s1026" o:spt="1" style="position:absolute;left:4740;top:5559;height:471;width:2652;" fillcolor="#FFFFFF" filled="t" stroked="t" coordsize="21600,21600" o:gfxdata="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g25d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16F8744C">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精制甘氨酸用水</w:t>
                                      </w:r>
                                      <w:r>
                                        <w:rPr>
                                          <w:rFonts w:hint="default" w:ascii="Times New Roman" w:hAnsi="Times New Roman" w:eastAsia="宋体" w:cs="Times New Roman"/>
                                          <w:kern w:val="0"/>
                                          <w:sz w:val="21"/>
                                          <w:szCs w:val="21"/>
                                        </w:rPr>
                                        <w:t>（-1）</w:t>
                                      </w:r>
                                    </w:p>
                                  </w:txbxContent>
                                </v:textbox>
                              </v:rect>
                              <v:line id="直接连接符 44" o:spid="_x0000_s1026" o:spt="20" style="position:absolute;left:3897;top:5774;flip:y;height:1;width:850;" filled="f" stroked="t" coordsize="21600,21600" o:gfxdata="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1PUH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45" o:spid="_x0000_s1026" o:spt="20" style="position:absolute;left:7218;top:5807;flip:y;height:10;width:2635;" filled="f" stroked="t" coordsize="21600,21600" o:gfxdata="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efp+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v:group>
                          <v:group id="组合 1162" o:spid="_x0000_s1026" o:spt="203" style="position:absolute;left:3765;top:3401303;height:2905;width:6017;" coordorigin="3181,9287" coordsize="6017,2905" o:gfxdata="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W8gf70AAADbAAAADwAAAAAAAAABACAAAAAiAAAAZHJzL2Rvd25yZXYueG1s&#10;UEsBAhQAFAAAAAgAh07iQDMvBZ47AAAAOQAAABUAAAAAAAAAAQAgAAAADAEAAGRycy9ncm91cHNo&#10;YXBleG1sLnhtbFBLBQYAAAAABgAGAGABAADJAwAAAAA=&#10;">
                            <o:lock v:ext="edit" aspectratio="f"/>
                            <v:group id="组合 56" o:spid="_x0000_s1026" o:spt="203" style="position:absolute;left:5842;top:9744;height:344;width:880;" coordorigin="5854,14117" coordsize="880,344" o:gfxdata="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h2QvwAAANsAAAAPAAAAAAAAAAEAIAAAACIAAABkcnMvZG93bnJldi54&#10;bWxQSwECFAAUAAAACACHTuJAMy8FnjsAAAA5AAAAFQAAAAAAAAABACAAAAAOAQAAZHJzL2dyb3Vw&#10;c2hhcGV4bWwueG1sUEsFBgAAAAAGAAYAYAEAAMsDAAAAAA==&#10;">
                              <o:lock v:ext="edit" aspectratio="f"/>
                              <v:line id="直接连接符 82" o:spid="_x0000_s1026" o:spt="20" style="position:absolute;left:5884;top:14117;height:11;width:850;" filled="f" stroked="t" coordsize="21600,21600" o:gfxdata="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suxY&#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82" o:spid="_x0000_s1026" o:spt="20" style="position:absolute;left:5854;top:14122;flip:y;height:339;width:10;" filled="f" stroked="t" coordsize="21600,21600" o:gfxdata="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SXn7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id="组合 59" o:spid="_x0000_s1026" o:spt="203" style="position:absolute;left:3181;top:9287;height:2905;width:6017;" coordorigin="3215,8975" coordsize="6017,2905" o:gfxdata="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RiD570AAADbAAAADwAAAAAAAAABACAAAAAiAAAAZHJzL2Rvd25yZXYueG1s&#10;UEsBAhQAFAAAAAgAh07iQDMvBZ47AAAAOQAAABUAAAAAAAAAAQAgAAAADAEAAGRycy9ncm91cHNo&#10;YXBleG1sLnhtbFBLBQYAAAAABgAGAGABAADJAwAAAAA=&#10;">
                              <o:lock v:ext="edit" aspectratio="f"/>
                              <v:group id="组合 31" o:spid="_x0000_s1026" o:spt="203" style="position:absolute;left:3215;top:8975;height:2905;width:6017;" coordorigin="3170,7426" coordsize="6017,2584" o:gfxdata="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VCZ8vwAAANsAAAAPAAAAAAAAAAEAIAAAACIAAABkcnMvZG93bnJldi54&#10;bWxQSwECFAAUAAAACACHTuJAMy8FnjsAAAA5AAAAFQAAAAAAAAABACAAAAAOAQAAZHJzL2dyb3Vw&#10;c2hhcGV4bWwueG1sUEsFBgAAAAAGAAYAYAEAAMsDAAAAAA==&#10;">
                                <o:lock v:ext="edit" aspectratio="f"/>
                                <v:rect id="矩形 59" o:spid="_x0000_s1026" o:spt="1" style="position:absolute;left:4114;top:8138;height:380;width:2679;" fillcolor="#FFFFFF" filled="t" stroked="t" coordsize="21600,21600" o:gfxdata="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cVs8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4930A23">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螯合物车间</w:t>
                                        </w:r>
                                        <w:r>
                                          <w:rPr>
                                            <w:rFonts w:hint="default" w:ascii="Times New Roman" w:hAnsi="Times New Roman" w:eastAsia="宋体" w:cs="Times New Roman"/>
                                            <w:color w:val="auto"/>
                                            <w:kern w:val="0"/>
                                            <w:sz w:val="21"/>
                                            <w:szCs w:val="21"/>
                                          </w:rPr>
                                          <w:t>（-</w:t>
                                        </w:r>
                                        <w:r>
                                          <w:rPr>
                                            <w:rFonts w:hint="eastAsia" w:cs="Times New Roman"/>
                                            <w:color w:val="auto"/>
                                            <w:kern w:val="0"/>
                                            <w:sz w:val="21"/>
                                            <w:szCs w:val="21"/>
                                            <w:lang w:val="en-US" w:eastAsia="zh-CN"/>
                                          </w:rPr>
                                          <w:t>34.5</w:t>
                                        </w:r>
                                        <w:r>
                                          <w:rPr>
                                            <w:rFonts w:hint="default" w:ascii="Times New Roman" w:hAnsi="Times New Roman" w:eastAsia="宋体" w:cs="Times New Roman"/>
                                            <w:color w:val="auto"/>
                                            <w:kern w:val="0"/>
                                            <w:sz w:val="21"/>
                                            <w:szCs w:val="21"/>
                                          </w:rPr>
                                          <w:t>）</w:t>
                                        </w:r>
                                      </w:p>
                                    </w:txbxContent>
                                  </v:textbox>
                                </v:rect>
                                <v:rect id="矩形 60" o:spid="_x0000_s1026" o:spt="1" style="position:absolute;left:3308;top:7426;height:613;width:1648;" filled="f" stroked="f" coordsize="21600,21600" o:gfxdata="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HHAC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087D6C2">
                                        <w:pPr>
                                          <w:widowControl w:val="0"/>
                                          <w:autoSpaceDE w:val="0"/>
                                          <w:autoSpaceDN w:val="0"/>
                                          <w:spacing w:line="240" w:lineRule="exact"/>
                                          <w:ind w:left="-120" w:leftChars="-50" w:right="-120" w:rightChars="-50" w:firstLine="0" w:firstLineChars="0"/>
                                          <w:jc w:val="center"/>
                                          <w:rPr>
                                            <w:rFonts w:hint="default" w:ascii="宋体" w:hAnsi="宋体" w:eastAsia="宋体" w:cs="宋体"/>
                                            <w:kern w:val="0"/>
                                            <w:lang w:val="en-US" w:eastAsia="zh-CN"/>
                                          </w:rPr>
                                        </w:pPr>
                                        <w:r>
                                          <w:rPr>
                                            <w:rFonts w:ascii="Times New Roman" w:hAnsi="Times New Roman" w:eastAsia="宋体" w:cs="Times New Roman"/>
                                            <w:kern w:val="0"/>
                                            <w:sz w:val="21"/>
                                            <w:szCs w:val="21"/>
                                          </w:rPr>
                                          <w:t>原料带入</w:t>
                                        </w:r>
                                        <w:r>
                                          <w:rPr>
                                            <w:rFonts w:hint="eastAsia" w:cs="Times New Roman"/>
                                            <w:kern w:val="0"/>
                                            <w:sz w:val="21"/>
                                            <w:szCs w:val="21"/>
                                            <w:lang w:val="en-US" w:eastAsia="zh-CN"/>
                                          </w:rPr>
                                          <w:t>及反应生成</w:t>
                                        </w:r>
                                        <w:r>
                                          <w:rPr>
                                            <w:rFonts w:hint="eastAsia" w:cs="Times New Roman"/>
                                            <w:color w:val="auto"/>
                                            <w:kern w:val="0"/>
                                            <w:sz w:val="21"/>
                                            <w:szCs w:val="21"/>
                                            <w:lang w:val="en-US" w:eastAsia="zh-CN"/>
                                          </w:rPr>
                                          <w:t>21.9</w:t>
                                        </w:r>
                                      </w:p>
                                    </w:txbxContent>
                                  </v:textbox>
                                </v:rect>
                                <v:rect id="矩形 61" o:spid="_x0000_s1026" o:spt="1" style="position:absolute;left:7890;top:7964;height:549;width:1052;" filled="f" stroked="f" coordsize="21600,21600" o:gfxdata="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fs4K/&#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2C2D9E5">
                                        <w:pPr>
                                          <w:widowControl/>
                                          <w:spacing w:line="240" w:lineRule="auto"/>
                                          <w:ind w:firstLine="0" w:firstLineChars="0"/>
                                          <w:jc w:val="left"/>
                                          <w:rPr>
                                            <w:rFonts w:hint="default" w:ascii="Times New Roman" w:hAnsi="Times New Roman" w:eastAsia="宋体" w:cs="Times New Roman"/>
                                            <w:color w:val="auto"/>
                                            <w:kern w:val="0"/>
                                            <w:sz w:val="21"/>
                                            <w:szCs w:val="21"/>
                                            <w:lang w:val="en-US"/>
                                          </w:rPr>
                                        </w:pPr>
                                        <w:r>
                                          <w:rPr>
                                            <w:rFonts w:hint="eastAsia" w:cs="Times New Roman"/>
                                            <w:color w:val="auto"/>
                                            <w:kern w:val="0"/>
                                            <w:sz w:val="21"/>
                                            <w:szCs w:val="21"/>
                                            <w:lang w:val="en-US" w:eastAsia="zh-CN"/>
                                          </w:rPr>
                                          <w:t>44.3</w:t>
                                        </w:r>
                                      </w:p>
                                    </w:txbxContent>
                                  </v:textbox>
                                </v:rect>
                                <v:rect id="矩形 62" o:spid="_x0000_s1026" o:spt="1" style="position:absolute;left:3264;top:7977;height:421;width:997;" filled="f" stroked="f" coordsize="21600,21600" o:gfxdata="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id2ru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CB9EE9D">
                                        <w:pPr>
                                          <w:widowControl/>
                                          <w:spacing w:line="240" w:lineRule="auto"/>
                                          <w:ind w:firstLine="0" w:firstLineChars="0"/>
                                          <w:jc w:val="left"/>
                                          <w:rPr>
                                            <w:rFonts w:hint="default" w:ascii="Times New Roman" w:hAnsi="Times New Roman" w:eastAsia="宋体" w:cs="Times New Roman"/>
                                            <w:color w:val="FF0000"/>
                                            <w:kern w:val="0"/>
                                            <w:sz w:val="21"/>
                                            <w:szCs w:val="21"/>
                                            <w:lang w:val="en-US" w:eastAsia="zh-CN"/>
                                          </w:rPr>
                                        </w:pPr>
                                        <w:r>
                                          <w:rPr>
                                            <w:rFonts w:hint="eastAsia" w:cs="Times New Roman"/>
                                            <w:color w:val="auto"/>
                                            <w:kern w:val="0"/>
                                            <w:sz w:val="21"/>
                                            <w:szCs w:val="21"/>
                                            <w:lang w:val="en-US" w:eastAsia="zh-CN"/>
                                          </w:rPr>
                                          <w:t>62</w:t>
                                        </w:r>
                                      </w:p>
                                    </w:txbxContent>
                                  </v:textbox>
                                </v:rect>
                                <v:line id="直接连接符 63" o:spid="_x0000_s1026" o:spt="20" style="position:absolute;left:6806;top:8327;flip:y;height:0;width:2381;" filled="f" stroked="t" coordsize="21600,21600" o:gfxdata="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D+Eb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64" o:spid="_x0000_s1026" o:spt="20" style="position:absolute;left:3170;top:8310;height:1;width:963;" filled="f" stroked="t" coordsize="21600,21600" o:gfxdata="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mSg36/&#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id="组合 67" o:spid="_x0000_s1026" o:spt="203" style="position:absolute;left:4880;top:7829;height:2181;width:508;" coordorigin="2786,7829" coordsize="1725,2181" o:gfxdata="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ZGQo1boAAADbAAAADwAAAAAAAAABACAAAAAiAAAAZHJzL2Rvd25yZXYueG1sUEsB&#10;AhQAFAAAAAgAh07iQDMvBZ47AAAAOQAAABUAAAAAAAAAAQAgAAAACQEAAGRycy9ncm91cHNoYXBl&#10;eG1sLnhtbFBLBQYAAAAABgAGAGABAADGAwAAAAA=&#10;">
                                  <o:lock v:ext="edit" aspectratio="f"/>
                                  <v:line id="直接连接符 65" o:spid="_x0000_s1026" o:spt="20" style="position:absolute;left:4511;top:7829;flip:x;height:283;width:0;" filled="f" stroked="t" coordsize="21600,21600" o:gfxdata="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ibI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66" o:spid="_x0000_s1026" o:spt="20" style="position:absolute;left:2786;top:10010;flip:y;height:0;width:1725;" filled="f" stroked="t" coordsize="21600,21600" o:gfxdata="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WIy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v:rect id="矩形 81" o:spid="_x0000_s1026" o:spt="1" style="position:absolute;left:6494;top:9189;height:459;width:2549;" filled="f" stroked="f" coordsize="21600,21600" o:gfxdata="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g451S/&#10;AAAA3AAAAA8AAAAAAAAAAQAgAAAAIgAAAGRycy9kb3ducmV2LnhtbFBLAQIUABQAAAAIAIdO4kAz&#10;LwWeOwAAADkAAAAQAAAAAAAAAAEAIAAAAA4BAABkcnMvc2hhcGV4bWwueG1sUEsFBgAAAAAGAAYA&#10;WwEAALgDAAAAAA==&#10;">
                                <v:fill on="f" focussize="0,0"/>
                                <v:stroke on="f" joinstyle="miter"/>
                                <v:imagedata o:title=""/>
                                <o:lock v:ext="edit" aspectratio="f"/>
                                <v:textbox>
                                  <w:txbxContent>
                                    <w:p w14:paraId="6771019B">
                                      <w:pPr>
                                        <w:widowControl/>
                                        <w:spacing w:line="240" w:lineRule="auto"/>
                                        <w:ind w:firstLine="0" w:firstLineChars="0"/>
                                        <w:jc w:val="center"/>
                                        <w:rPr>
                                          <w:rFonts w:hint="default" w:ascii="Times New Roman" w:hAnsi="Times New Roman" w:eastAsia="宋体" w:cs="Times New Roman"/>
                                          <w:kern w:val="0"/>
                                          <w:sz w:val="21"/>
                                          <w:szCs w:val="21"/>
                                        </w:rPr>
                                      </w:pPr>
                                      <w:r>
                                        <w:rPr>
                                          <w:rFonts w:hint="eastAsia" w:ascii="宋体" w:hAnsi="宋体" w:eastAsia="宋体" w:cs="宋体"/>
                                          <w:kern w:val="0"/>
                                          <w:sz w:val="21"/>
                                          <w:szCs w:val="21"/>
                                          <w:lang w:val="en-US" w:eastAsia="zh-CN"/>
                                        </w:rPr>
                                        <w:t>甘氨酸螯合物</w:t>
                                      </w:r>
                                      <w:r>
                                        <w:rPr>
                                          <w:rFonts w:hint="default" w:ascii="Times New Roman" w:hAnsi="Times New Roman" w:eastAsia="宋体" w:cs="Times New Roman"/>
                                          <w:kern w:val="0"/>
                                          <w:sz w:val="21"/>
                                          <w:szCs w:val="21"/>
                                        </w:rPr>
                                        <w:t>5.1</w:t>
                                      </w:r>
                                    </w:p>
                                  </w:txbxContent>
                                </v:textbox>
                              </v:rect>
                            </v:group>
                          </v:group>
                          <v:rect id="矩形 280" o:spid="_x0000_s1026" o:spt="1" style="position:absolute;left:2416;top:3401527;height:905;width:1256;" filled="f" stroked="f" coordsize="21600,21600" o:gfxdata="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dELP&#10;wAAAANw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9C51F58">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rPr>
                                    <w:t>新鲜水</w:t>
                                  </w:r>
                                  <w:r>
                                    <w:rPr>
                                      <w:rFonts w:hint="eastAsia" w:cs="Times New Roman"/>
                                      <w:color w:val="auto"/>
                                      <w:kern w:val="0"/>
                                      <w:sz w:val="21"/>
                                      <w:szCs w:val="21"/>
                                      <w:lang w:val="en-US" w:eastAsia="zh-CN"/>
                                    </w:rPr>
                                    <w:t>2096.59</w:t>
                                  </w:r>
                                </w:p>
                                <w:p w14:paraId="44178DED">
                                  <w:pPr>
                                    <w:widowControl w:val="0"/>
                                    <w:autoSpaceDE w:val="0"/>
                                    <w:autoSpaceDN w:val="0"/>
                                    <w:adjustRightInd w:val="0"/>
                                    <w:rPr>
                                      <w:rFonts w:hint="default" w:ascii="Times New Roman" w:hAnsi="Times New Roman" w:eastAsia="宋体" w:cs="Times New Roman"/>
                                      <w:color w:val="000000"/>
                                      <w:kern w:val="2"/>
                                      <w:sz w:val="24"/>
                                      <w:szCs w:val="24"/>
                                      <w:lang w:val="en-US" w:eastAsia="zh-CN" w:bidi="ar-SA"/>
                                    </w:rPr>
                                  </w:pPr>
                                </w:p>
                              </w:txbxContent>
                            </v:textbox>
                          </v:rect>
                          <v:line id="直接连接符 125" o:spid="_x0000_s1026" o:spt="20" style="position:absolute;left:2191;top:3401924;flip:y;height:1;width:1531;" filled="f" stroked="t" coordsize="21600,21600" o:gfxdata="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EuC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id="组合 1178" o:spid="_x0000_s1026" o:spt="203" style="position:absolute;left:3694;top:3402491;height:623;width:6051;" coordorigin="4134,4333" coordsize="6051,623"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group id="组合 10" o:spid="_x0000_s1026" o:spt="203" style="position:absolute;left:4134;top:4395;height:561;width:4199;" coordorigin="3165,3172" coordsize="4199,561"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rect id="矩形 43" o:spid="_x0000_s1026" o:spt="1" style="position:absolute;left:4107;top:3311;height:422;width:3257;" fillcolor="#FFFFFF" filled="t" stroked="t" coordsize="21600,21600" o:gfxdata="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tUNf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3A13098">
                                      <w:pPr>
                                        <w:widowControl/>
                                        <w:spacing w:line="260" w:lineRule="exact"/>
                                        <w:ind w:firstLine="0" w:firstLineChars="0"/>
                                        <w:jc w:val="center"/>
                                        <w:rPr>
                                          <w:rFonts w:ascii="Times New Roman" w:hAnsi="Times New Roman" w:eastAsia="宋体" w:cs="Times New Roman"/>
                                          <w:kern w:val="0"/>
                                          <w:sz w:val="21"/>
                                          <w:szCs w:val="21"/>
                                        </w:rPr>
                                      </w:pPr>
                                      <w:r>
                                        <w:rPr>
                                          <w:rFonts w:ascii="Times New Roman" w:hAnsi="Times New Roman" w:eastAsia="宋体" w:cs="Times New Roman"/>
                                          <w:kern w:val="0"/>
                                          <w:sz w:val="21"/>
                                          <w:szCs w:val="21"/>
                                        </w:rPr>
                                        <w:t>10000氨基乙酸（-9.7）</w:t>
                                      </w:r>
                                    </w:p>
                                  </w:txbxContent>
                                </v:textbox>
                              </v:rect>
                              <v:line id="直接连接符 44" o:spid="_x0000_s1026" o:spt="20" style="position:absolute;left:3236;top:3521;flip:y;height:1;width:907;" filled="f" stroked="t" coordsize="21600,21600" o:gfxdata="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9RkT&#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34" o:spid="_x0000_s1026" o:spt="1" style="position:absolute;left:3165;top:3172;height:392;width:979;" filled="f" stroked="f" coordsize="21600,21600" o:gfxdata="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2W0hG/&#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F50E8A5">
                                      <w:pPr>
                                        <w:widowControl w:val="0"/>
                                        <w:autoSpaceDE w:val="0"/>
                                        <w:autoSpaceDN w:val="0"/>
                                        <w:spacing w:line="240" w:lineRule="exact"/>
                                        <w:ind w:left="-120" w:leftChars="-50" w:right="-120" w:rightChars="-5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27.1</w:t>
                                      </w:r>
                                    </w:p>
                                  </w:txbxContent>
                                </v:textbox>
                              </v:rect>
                            </v:group>
                            <v:line id="直接连接符 45" o:spid="_x0000_s1026" o:spt="20" style="position:absolute;left:8370;top:4741;height:2;width:1815;" filled="f" stroked="t" coordsize="21600,21600" o:gfxdata="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zuKE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 o:spid="_x0000_s1026" o:spt="1" style="position:absolute;left:8932;top:4333;height:475;width:839;" filled="f" stroked="f" coordsize="21600,21600" o:gfxdata="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0z7/6/&#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740986C6">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17.4</w:t>
                                    </w:r>
                                  </w:p>
                                </w:txbxContent>
                              </v:textbox>
                            </v:rect>
                          </v:group>
                          <v:group id="组合 1187" o:spid="_x0000_s1026" o:spt="203" style="position:absolute;left:3761;top:3403175;height:685;width:5983;" coordorigin="3838,3845" coordsize="5983,685" o:gfxdata="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VER/O+AAAA2wAAAA8AAAAAAAAAAQAgAAAAIgAAAGRycy9kb3ducmV2Lnht&#10;bFBLAQIUABQAAAAIAIdO4kAzLwWeOwAAADkAAAAVAAAAAAAAAAEAIAAAAA0BAABkcnMvZ3JvdXBz&#10;aGFwZXhtbC54bWxQSwUGAAAAAAYABgBgAQAAygMAAAAA&#10;">
                            <o:lock v:ext="edit" aspectratio="f"/>
                            <v:line id="直接连接符 1" o:spid="_x0000_s1026" o:spt="20" style="position:absolute;left:6980;top:4268;flip:y;height:13;width:2841;" filled="f" stroked="t" coordsize="21600,21600" o:gfxdata="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lgrqL&#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4" o:spid="_x0000_s1026" o:spt="1" style="position:absolute;left:4855;top:4102;height:428;width:2121;" fillcolor="#FFFFFF" filled="t" stroked="t" coordsize="21600,21600" o:gfxdata="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76Tg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66C58F22">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海因车间</w:t>
                                    </w:r>
                                    <w:r>
                                      <w:rPr>
                                        <w:rFonts w:hint="default" w:ascii="Times New Roman" w:hAnsi="Times New Roman" w:eastAsia="宋体" w:cs="Times New Roman"/>
                                        <w:kern w:val="0"/>
                                        <w:sz w:val="21"/>
                                        <w:szCs w:val="21"/>
                                      </w:rPr>
                                      <w:t>（-1.7）</w:t>
                                    </w:r>
                                  </w:p>
                                </w:txbxContent>
                              </v:textbox>
                            </v:rect>
                            <v:line id="直接连接符 5" o:spid="_x0000_s1026" o:spt="20" style="position:absolute;left:3838;top:4300;height:1;width:1020;" filled="f" stroked="t" coordsize="21600,21600" o:gfxdata="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74fS&#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6" o:spid="_x0000_s1026" o:spt="1" style="position:absolute;left:3843;top:3945;height:505;width:927;" filled="f" stroked="f" coordsize="21600,21600" o:gfxdata="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JE8Q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297211AA">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15.7</w:t>
                                    </w:r>
                                  </w:p>
                                </w:txbxContent>
                              </v:textbox>
                            </v:rect>
                            <v:rect id="矩形 24" o:spid="_x0000_s1026" o:spt="1" style="position:absolute;left:8007;top:3845;height:431;width:1798;" filled="f" stroked="f" coordsize="21600,21600" o:gfxdata="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3ZnavQAA&#10;ANwAAAAPAAAAAAAAAAEAIAAAACIAAABkcnMvZG93bnJldi54bWxQSwECFAAUAAAACACHTuJAMy8F&#10;njsAAAA5AAAAEAAAAAAAAAABACAAAAAMAQAAZHJzL3NoYXBleG1sLnhtbFBLBQYAAAAABgAGAFsB&#10;AAC2AwAAAAA=&#10;">
                              <v:fill on="f" focussize="0,0"/>
                              <v:stroke on="f" joinstyle="miter"/>
                              <v:imagedata o:title=""/>
                              <o:lock v:ext="edit" aspectratio="f"/>
                              <v:textbox>
                                <w:txbxContent>
                                  <w:p w14:paraId="60BE4E4E">
                                    <w:pPr>
                                      <w:widowControl/>
                                      <w:spacing w:line="240" w:lineRule="auto"/>
                                      <w:ind w:firstLine="0" w:firstLineChars="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14</w:t>
                                    </w:r>
                                  </w:p>
                                  <w:p w14:paraId="5916A327">
                                    <w:pPr>
                                      <w:widowControl w:val="0"/>
                                      <w:autoSpaceDE w:val="0"/>
                                      <w:autoSpaceDN w:val="0"/>
                                      <w:adjustRightInd w:val="0"/>
                                      <w:rPr>
                                        <w:rFonts w:hint="default" w:ascii="Times New Roman" w:hAnsi="Times New Roman" w:eastAsia="宋体" w:cs="Times New Roman"/>
                                        <w:color w:val="000000"/>
                                        <w:kern w:val="2"/>
                                        <w:sz w:val="21"/>
                                        <w:szCs w:val="21"/>
                                        <w:lang w:val="en-US" w:eastAsia="zh-CN" w:bidi="ar-SA"/>
                                      </w:rPr>
                                    </w:pPr>
                                  </w:p>
                                </w:txbxContent>
                              </v:textbox>
                            </v:rect>
                          </v:group>
                          <v:group id="组合 1193" o:spid="_x0000_s1026" o:spt="203" style="position:absolute;left:3739;top:3403831;height:1119;width:5983;" coordorigin="4120,18416" coordsize="5983,1119"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line id="直接连接符 281" o:spid="_x0000_s1026" o:spt="20" style="position:absolute;left:7438;top:18828;height:0;width:2665;" filled="f" stroked="t" coordsize="21600,21600" o:gfxdata="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LNe0&#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group id="组合 63" o:spid="_x0000_s1026" o:spt="203" style="position:absolute;left:4120;top:18416;height:1119;width:5789;" coordorigin="5066,18392" coordsize="5789,1119" o:gfxdata="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6bXLb0AAADbAAAADwAAAAAAAAABACAAAAAiAAAAZHJzL2Rvd25yZXYueG1s&#10;UEsBAhQAFAAAAAgAh07iQDMvBZ47AAAAOQAAABUAAAAAAAAAAQAgAAAADAEAAGRycy9ncm91cHNo&#10;YXBleG1sLnhtbFBLBQYAAAAABgAGAGABAADJAwAAAAA=&#10;">
                              <o:lock v:ext="edit" aspectratio="f"/>
                              <v:rect id="矩形 97" o:spid="_x0000_s1026" o:spt="1" style="position:absolute;left:5108;top:18434;height:471;width:1007;" filled="f" stroked="f" coordsize="21600,21600" o:gfxdata="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hrOe&#10;wAAAANw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54EDDE34">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344.4</w:t>
                                      </w:r>
                                    </w:p>
                                  </w:txbxContent>
                                </v:textbox>
                              </v:rect>
                              <v:rect id="矩形 98" o:spid="_x0000_s1026" o:spt="1" style="position:absolute;left:5897;top:18606;height:502;width:3123;" fillcolor="#FFFFFF" filled="t" stroked="t" coordsize="21600,21600" o:gfxdata="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Dp5S6/&#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64B7A0A">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循环冷却水系统</w:t>
                                      </w:r>
                                      <w:r>
                                        <w:rPr>
                                          <w:rFonts w:hint="default" w:ascii="Times New Roman" w:hAnsi="Times New Roman" w:eastAsia="宋体" w:cs="Times New Roman"/>
                                          <w:kern w:val="0"/>
                                          <w:sz w:val="21"/>
                                          <w:szCs w:val="21"/>
                                        </w:rPr>
                                        <w:t>（</w:t>
                                      </w:r>
                                      <w:r>
                                        <w:rPr>
                                          <w:rFonts w:hint="default" w:ascii="Times New Roman" w:hAnsi="Times New Roman" w:eastAsia="宋体" w:cs="Times New Roman"/>
                                          <w:color w:val="auto"/>
                                          <w:kern w:val="0"/>
                                          <w:sz w:val="21"/>
                                          <w:szCs w:val="21"/>
                                        </w:rPr>
                                        <w:t>-</w:t>
                                      </w:r>
                                      <w:r>
                                        <w:rPr>
                                          <w:rFonts w:hint="eastAsia" w:cs="Times New Roman"/>
                                          <w:color w:val="auto"/>
                                          <w:kern w:val="0"/>
                                          <w:sz w:val="21"/>
                                          <w:szCs w:val="21"/>
                                          <w:lang w:val="en-US" w:eastAsia="zh-CN"/>
                                        </w:rPr>
                                        <w:t>173.6</w:t>
                                      </w:r>
                                      <w:r>
                                        <w:rPr>
                                          <w:rFonts w:hint="default" w:ascii="Times New Roman" w:hAnsi="Times New Roman" w:eastAsia="宋体" w:cs="Times New Roman"/>
                                          <w:kern w:val="0"/>
                                          <w:sz w:val="21"/>
                                          <w:szCs w:val="21"/>
                                        </w:rPr>
                                        <w:t>）</w:t>
                                      </w:r>
                                    </w:p>
                                  </w:txbxContent>
                                </v:textbox>
                              </v:rect>
                              <v:line id="直接连接符 104" o:spid="_x0000_s1026" o:spt="20" style="position:absolute;left:5066;top:18838;height:1;width:837;" filled="f" stroked="t" coordsize="21600,21600" o:gfxdata="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FT8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id="组合 61" o:spid="_x0000_s1026" o:spt="203" style="position:absolute;left:8047;top:18952;height:559;width:1327;" coordorigin="8462,19392" coordsize="1327,559" o:gfxdata="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dElavwAAANsAAAAPAAAAAAAAAAEAIAAAACIAAABkcnMvZG93bnJldi54&#10;bWxQSwECFAAUAAAACACHTuJAMy8FnjsAAAA5AAAAFQAAAAAAAAABACAAAAAOAQAAZHJzL2dyb3Vw&#10;c2hhcGV4bWwueG1sUEsFBgAAAAAGAAYAYAEAAMsDAAAAAA==&#10;">
                                <o:lock v:ext="edit" aspectratio="f"/>
                                <v:group id="组合 103" o:spid="_x0000_s1026" o:spt="203" style="position:absolute;left:8462;top:19392;height:406;width:1243;" coordorigin="5593,870172" coordsize="1206,343" o:gfxdata="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Djswb0AAADbAAAADwAAAAAAAAABACAAAAAiAAAAZHJzL2Rvd25yZXYueG1s&#10;UEsBAhQAFAAAAAgAh07iQDMvBZ47AAAAOQAAABUAAAAAAAAAAQAgAAAADAEAAGRycy9ncm91cHNo&#10;YXBleG1sLnhtbFBLBQYAAAAABgAGAGABAADJAwAAAAA=&#10;">
                                  <o:lock v:ext="edit" aspectratio="f"/>
                                  <v:line id="直接连接符 99" o:spid="_x0000_s1026" o:spt="20" style="position:absolute;left:6525;top:870183;height:3;width:274;" filled="f" stroked="t" coordsize="21600,21600" o:gfxdata="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VSd6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直接连接符 100" o:spid="_x0000_s1026" o:spt="20" style="position:absolute;left:6775;top:870172;height:337;width:0;" filled="f" stroked="t" coordsize="21600,21600" o:gfxdata="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wdDG/&#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101" o:spid="_x0000_s1026" o:spt="20" style="position:absolute;left:5593;top:870501;flip:x;height:0;width:1169;" filled="f" stroked="t" coordsize="21600,21600" o:gfxdata="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0zBb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102" o:spid="_x0000_s1026" o:spt="20" style="position:absolute;left:5605;top:870275;flip:y;height:240;width:1;" filled="f" stroked="t" coordsize="21600,21600" o:gfxdata="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Hw9S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v:rect id="矩形 105" o:spid="_x0000_s1026" o:spt="1" style="position:absolute;left:8538;top:19457;height:494;width:1251;" filled="f" stroked="f" coordsize="21600,21600" o:gfxdata="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gMql2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169A4560">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color w:val="auto"/>
                                            <w:kern w:val="0"/>
                                            <w:sz w:val="21"/>
                                            <w:szCs w:val="21"/>
                                          </w:rPr>
                                          <w:t>120</w:t>
                                        </w:r>
                                        <w:r>
                                          <w:rPr>
                                            <w:rFonts w:hint="eastAsia" w:cs="Times New Roman"/>
                                            <w:color w:val="auto"/>
                                            <w:kern w:val="0"/>
                                            <w:sz w:val="21"/>
                                            <w:szCs w:val="21"/>
                                            <w:lang w:val="en-US" w:eastAsia="zh-CN"/>
                                          </w:rPr>
                                          <w:t>960</w:t>
                                        </w:r>
                                      </w:p>
                                    </w:txbxContent>
                                  </v:textbox>
                                </v:rect>
                              </v:group>
                              <v:rect id="矩形 97" o:spid="_x0000_s1026" o:spt="1" style="position:absolute;left:9813;top:18392;height:508;width:1042;" filled="f" stroked="f" coordsize="21600,21600" o:gfxdata="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Wy0q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A3B81ED">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170.8</w:t>
                                      </w:r>
                                    </w:p>
                                  </w:txbxContent>
                                </v:textbox>
                              </v:rect>
                            </v:group>
                          </v:group>
                          <v:group id="组合 1203" o:spid="_x0000_s1026" o:spt="203" style="position:absolute;left:3954;top:3401762;height:3537;width:2161;" coordorigin="3957,7647" coordsize="2161,3537" o:gfxdata="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GneLO7AAAA2wAAAA8AAAAAAAAAAQAgAAAAIgAAAGRycy9kb3ducmV2LnhtbFBL&#10;AQIUABQAAAAIAIdO4kAzLwWeOwAAADkAAAAVAAAAAAAAAAEAIAAAAAoBAABkcnMvZ3JvdXBzaGFw&#10;ZXhtbC54bWxQSwUGAAAAAAYABgBgAQAAxwMAAAAA&#10;">
                            <o:lock v:ext="edit" aspectratio="f"/>
                            <v:rect id="矩形 60" o:spid="_x0000_s1026" o:spt="1" style="position:absolute;left:3957;top:10711;height:410;width:1771;" filled="f" stroked="f" coordsize="21600,21600" o:gfxdata="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EB+b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78CB4D5A">
                                    <w:pPr>
                                      <w:widowControl w:val="0"/>
                                      <w:autoSpaceDE w:val="0"/>
                                      <w:autoSpaceDN w:val="0"/>
                                      <w:spacing w:line="240" w:lineRule="exact"/>
                                      <w:ind w:left="-120" w:leftChars="-50" w:right="-120" w:rightChars="-50" w:firstLine="0" w:firstLineChars="0"/>
                                      <w:jc w:val="center"/>
                                      <w:rPr>
                                        <w:rFonts w:ascii="宋体" w:hAnsi="宋体" w:eastAsia="宋体" w:cs="宋体"/>
                                        <w:kern w:val="0"/>
                                      </w:rPr>
                                    </w:pPr>
                                    <w:r>
                                      <w:rPr>
                                        <w:rFonts w:ascii="Times New Roman" w:hAnsi="Times New Roman" w:eastAsia="宋体" w:cs="Times New Roman"/>
                                        <w:kern w:val="0"/>
                                        <w:sz w:val="21"/>
                                        <w:szCs w:val="21"/>
                                      </w:rPr>
                                      <w:t>原料带入</w:t>
                                    </w:r>
                                    <w:r>
                                      <w:rPr>
                                        <w:rFonts w:hint="default" w:ascii="Times New Roman" w:hAnsi="Times New Roman" w:eastAsia="宋体" w:cs="Times New Roman"/>
                                        <w:kern w:val="0"/>
                                        <w:sz w:val="21"/>
                                        <w:szCs w:val="21"/>
                                      </w:rPr>
                                      <w:t>22.8</w:t>
                                    </w:r>
                                  </w:p>
                                </w:txbxContent>
                              </v:textbox>
                            </v:rect>
                            <v:line id="直接连接符 65" o:spid="_x0000_s1026" o:spt="20" style="position:absolute;left:6102;top:10865;flip:x;height:319;width:0;" filled="f" stroked="t" coordsize="21600,21600" o:gfxdata="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z1J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66" o:spid="_x0000_s1026" o:spt="20" style="position:absolute;left:5610;top:10863;flip:y;height:1;width:508;" filled="f" stroked="t" coordsize="21600,21600" o:gfxdata="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HVn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直接连接符 66" o:spid="_x0000_s1026" o:spt="20" style="position:absolute;left:5459;top:7647;flip:y;height:0;width:508;" filled="f" stroked="t" coordsize="21600,21600" o:gfxdata="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JNV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line id="直接连接符 82" o:spid="_x0000_s1026" o:spt="20" style="position:absolute;left:6956;top:3405029;flip:y;height:283;width:1;" filled="f" stroked="t" coordsize="21600,21600" o:gfxdata="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LXAF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直接连接符 82" o:spid="_x0000_s1026" o:spt="20" style="position:absolute;left:6960;top:3405042;height:11;width:510;" filled="f" stroked="t" coordsize="21600,21600" o:gfxdata="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G6e7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81" o:spid="_x0000_s1026" o:spt="1" style="position:absolute;left:7383;top:3404787;height:460;width:1913;" filled="f" stroked="f" coordsize="21600,21600" o:gfxdata="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Z7wDvQAA&#10;ANwAAAAPAAAAAAAAAAEAIAAAACIAAABkcnMvZG93bnJldi54bWxQSwECFAAUAAAACACHTuJAMy8F&#10;njsAAAA5AAAAEAAAAAAAAAABACAAAAAMAQAAZHJzL3NoYXBleG1sLnhtbFBLBQYAAAAABgAGAFsB&#10;AAC2AwAAAAA=&#10;">
                            <v:fill on="f" focussize="0,0"/>
                            <v:stroke on="f" joinstyle="miter"/>
                            <v:imagedata o:title=""/>
                            <o:lock v:ext="edit" aspectratio="f"/>
                            <v:textbox>
                              <w:txbxContent>
                                <w:p w14:paraId="40A1A6D2">
                                  <w:pPr>
                                    <w:widowControl/>
                                    <w:spacing w:line="240" w:lineRule="auto"/>
                                    <w:ind w:firstLine="0" w:firstLineChars="0"/>
                                    <w:jc w:val="center"/>
                                    <w:rPr>
                                      <w:rFonts w:hint="default" w:ascii="宋体" w:hAnsi="宋体" w:eastAsia="宋体" w:cs="宋体"/>
                                      <w:kern w:val="0"/>
                                      <w:sz w:val="21"/>
                                      <w:szCs w:val="21"/>
                                      <w:lang w:val="en-US" w:eastAsia="zh-CN"/>
                                    </w:rPr>
                                  </w:pPr>
                                  <w:r>
                                    <w:rPr>
                                      <w:rFonts w:hint="eastAsia" w:ascii="宋体" w:hAnsi="宋体" w:eastAsia="宋体" w:cs="宋体"/>
                                      <w:kern w:val="0"/>
                                      <w:sz w:val="21"/>
                                      <w:szCs w:val="21"/>
                                    </w:rPr>
                                    <w:t>进入产品</w:t>
                                  </w:r>
                                  <w:r>
                                    <w:rPr>
                                      <w:rFonts w:hint="eastAsia" w:cs="Times New Roman"/>
                                      <w:kern w:val="0"/>
                                      <w:sz w:val="21"/>
                                      <w:szCs w:val="21"/>
                                      <w:lang w:val="en-US" w:eastAsia="zh-CN"/>
                                    </w:rPr>
                                    <w:t>26.5</w:t>
                                  </w:r>
                                </w:p>
                              </w:txbxContent>
                            </v:textbox>
                          </v:rect>
                          <v:rect id="矩形 1210" o:spid="_x0000_s1026" o:spt="1" style="position:absolute;left:3886;top:3405119;height:458;width:1037;" filled="f" stroked="f" coordsize="21600,21600" o:gfxdata="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tSJ0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0217273">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55.83</w:t>
                                  </w:r>
                                </w:p>
                              </w:txbxContent>
                            </v:textbox>
                          </v:rect>
                          <v:group id="组合 87" o:spid="_x0000_s1026" o:spt="203" style="position:absolute;left:3737;top:3405113;height:1184;width:5936;" coordorigin="2999,12124" coordsize="5936,1184" o:gfxdata="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90ovwAAANsAAAAPAAAAAAAAAAEAIAAAACIAAABkcnMvZG93bnJldi54&#10;bWxQSwECFAAUAAAACACHTuJAMy8FnjsAAAA5AAAAFQAAAAAAAAABACAAAAAOAQAAZHJzL2dyb3Vw&#10;c2hhcGV4bWwueG1sUEsFBgAAAAAGAAYAYAEAAMsDAAAAAA==&#10;">
                            <o:lock v:ext="edit" aspectratio="f"/>
                            <v:line id="直接连接符 125" o:spid="_x0000_s1026" o:spt="20" style="position:absolute;left:7178;top:12500;flip:y;height:1;width:1757;" filled="f" stroked="t" coordsize="21600,21600" o:gfxdata="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lJf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id="组合 138" o:spid="_x0000_s1026" o:spt="203" style="position:absolute;left:2999;top:12124;height:1184;width:5603;" coordorigin="3141,14458" coordsize="5603,1184" o:gfxdata="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oEBJK7AAAA2wAAAA8AAAAAAAAAAQAgAAAAIgAAAGRycy9kb3ducmV2LnhtbFBL&#10;AQIUABQAAAAIAIdO4kAzLwWeOwAAADkAAAAVAAAAAAAAAAEAIAAAAAoBAABkcnMvZ3JvdXBzaGFw&#10;ZXhtbC54bWxQSwUGAAAAAAYABgBgAQAAxwMAAAAA&#10;">
                              <o:lock v:ext="edit" aspectratio="f"/>
                              <v:group id="组合 130" o:spid="_x0000_s1026" o:spt="203" style="position:absolute;left:3141;top:14643;height:530;width:4191;" coordorigin="2477,869165" coordsize="4191,530" o:gfxdata="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VIoQm+AAAA2wAAAA8AAAAAAAAAAQAgAAAAIgAAAGRycy9kb3ducmV2Lnht&#10;bFBLAQIUABQAAAAIAIdO4kAzLwWeOwAAADkAAAAVAAAAAAAAAAEAIAAAAA0BAABkcnMvZ3JvdXBz&#10;aGFwZXhtbC54bWxQSwUGAAAAAAYABgBgAQAAygMAAAAA&#10;">
                                <o:lock v:ext="edit" aspectratio="f"/>
                                <v:rect id="矩形 127" o:spid="_x0000_s1026" o:spt="1" style="position:absolute;left:4041;top:869165;height:530;width:2627;" fillcolor="#FFFFFF" filled="t" stroked="t" coordsize="21600,21600" o:gfxdata="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2UP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9F87608">
                                        <w:pPr>
                                          <w:widowControl/>
                                          <w:spacing w:line="240" w:lineRule="auto"/>
                                          <w:ind w:firstLine="0" w:firstLineChars="0"/>
                                          <w:jc w:val="center"/>
                                          <w:rPr>
                                            <w:rFonts w:ascii="宋体" w:hAnsi="宋体" w:eastAsia="宋体" w:cs="宋体"/>
                                            <w:color w:val="auto"/>
                                            <w:kern w:val="0"/>
                                            <w:sz w:val="20"/>
                                            <w:szCs w:val="20"/>
                                          </w:rPr>
                                        </w:pPr>
                                        <w:r>
                                          <w:rPr>
                                            <w:rFonts w:hint="eastAsia" w:ascii="宋体" w:hAnsi="宋体" w:eastAsia="宋体" w:cs="宋体"/>
                                            <w:color w:val="auto"/>
                                            <w:kern w:val="0"/>
                                            <w:sz w:val="20"/>
                                            <w:szCs w:val="20"/>
                                          </w:rPr>
                                          <w:t>废气治理系统</w:t>
                                        </w:r>
                                        <w:r>
                                          <w:rPr>
                                            <w:rFonts w:hint="default" w:ascii="Times New Roman" w:hAnsi="Times New Roman" w:eastAsia="宋体" w:cs="Times New Roman"/>
                                            <w:color w:val="auto"/>
                                            <w:kern w:val="0"/>
                                            <w:sz w:val="20"/>
                                            <w:szCs w:val="20"/>
                                          </w:rPr>
                                          <w:t>（-</w:t>
                                        </w:r>
                                        <w:r>
                                          <w:rPr>
                                            <w:rFonts w:hint="eastAsia" w:cs="Times New Roman"/>
                                            <w:color w:val="auto"/>
                                            <w:kern w:val="0"/>
                                            <w:sz w:val="20"/>
                                            <w:szCs w:val="20"/>
                                            <w:lang w:val="en-US" w:eastAsia="zh-CN"/>
                                          </w:rPr>
                                          <w:t>11.36</w:t>
                                        </w:r>
                                        <w:r>
                                          <w:rPr>
                                            <w:rFonts w:hint="default" w:ascii="Times New Roman" w:hAnsi="Times New Roman" w:eastAsia="宋体" w:cs="Times New Roman"/>
                                            <w:color w:val="auto"/>
                                            <w:kern w:val="0"/>
                                            <w:sz w:val="20"/>
                                            <w:szCs w:val="20"/>
                                          </w:rPr>
                                          <w:t>）</w:t>
                                        </w:r>
                                      </w:p>
                                    </w:txbxContent>
                                  </v:textbox>
                                </v:rect>
                                <v:line id="直接连接符 128" o:spid="_x0000_s1026" o:spt="20" style="position:absolute;left:2477;top:869372;height:1;width:1587;" filled="f" stroked="t" coordsize="21600,21600" o:gfxdata="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9zjO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v:rect id="矩形 131" o:spid="_x0000_s1026" o:spt="1" style="position:absolute;left:7777;top:14458;height:543;width:967;" filled="f" stroked="f" coordsize="21600,21600" o:gfxdata="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q5LU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F71F112">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40.77</w:t>
                                      </w:r>
                                    </w:p>
                                  </w:txbxContent>
                                </v:textbox>
                              </v:rect>
                              <v:rect id="矩形 132" o:spid="_x0000_s1026" o:spt="1" style="position:absolute;left:6513;top:15092;height:550;width:1141;" filled="f" stroked="f" coordsize="21600,21600" o:gfxdata="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UfTJ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1311B475">
                                      <w:pPr>
                                        <w:widowControl/>
                                        <w:spacing w:line="240" w:lineRule="auto"/>
                                        <w:ind w:firstLine="0" w:firstLineChars="0"/>
                                        <w:jc w:val="left"/>
                                        <w:rPr>
                                          <w:rFonts w:hint="default" w:ascii="Times New Roman" w:hAnsi="Times New Roman" w:eastAsia="宋体" w:cs="Times New Roman"/>
                                          <w:kern w:val="0"/>
                                          <w:sz w:val="21"/>
                                          <w:szCs w:val="21"/>
                                          <w:lang w:val="en-US" w:eastAsia="zh-CN"/>
                                        </w:rPr>
                                      </w:pPr>
                                      <w:r>
                                        <w:rPr>
                                          <w:rFonts w:hint="eastAsia" w:cs="Times New Roman"/>
                                          <w:kern w:val="0"/>
                                          <w:sz w:val="21"/>
                                          <w:szCs w:val="21"/>
                                          <w:lang w:val="en-US" w:eastAsia="zh-CN"/>
                                        </w:rPr>
                                        <w:t>14600</w:t>
                                      </w:r>
                                    </w:p>
                                  </w:txbxContent>
                                </v:textbox>
                              </v:rect>
                              <v:group id="组合 137" o:spid="_x0000_s1026" o:spt="203" style="position:absolute;left:6466;top:14946;height:537;width:1193;" coordorigin="5607,870130" coordsize="1454,454" o:gfxdata="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WaP36+AAAA2wAAAA8AAAAAAAAAAQAgAAAAIgAAAGRycy9kb3ducmV2Lnht&#10;bFBLAQIUABQAAAAIAIdO4kAzLwWeOwAAADkAAAAVAAAAAAAAAAEAIAAAAA0BAABkcnMvZ3JvdXBz&#10;aGFwZXhtbC54bWxQSwUGAAAAAAYABgBgAQAAygMAAAAA&#10;">
                                <o:lock v:ext="edit" aspectratio="f"/>
                                <v:line id="直接连接符 133" o:spid="_x0000_s1026" o:spt="20" style="position:absolute;left:6644;top:870146;height:3;width:417;" filled="f" stroked="t" coordsize="21600,21600" o:gfxdata="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1ESOq/&#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134" o:spid="_x0000_s1026" o:spt="20" style="position:absolute;left:7057;top:870130;height:454;width:0;" filled="f" stroked="t" coordsize="21600,21600" o:gfxdata="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XeQ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直接连接符 135" o:spid="_x0000_s1026" o:spt="20" style="position:absolute;left:5607;top:870573;flip:x;height:2;width:1451;" filled="f" stroked="t" coordsize="21600,21600" o:gfxdata="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0qyE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136" o:spid="_x0000_s1026" o:spt="20" style="position:absolute;left:5627;top:870222;flip:y;height:346;width:0;" filled="f" stroked="t" coordsize="21600,21600" o:gfxdata="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GiP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v:group>
                          </v:group>
                          <v:group id="组合 1218" o:spid="_x0000_s1026" o:spt="203" style="position:absolute;left:3739;top:3406293;height:625;width:6021;" coordorigin="4653,14719" coordsize="6021,625" o:gfxdata="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taa5b0AAADbAAAADwAAAAAAAAABACAAAAAiAAAAZHJzL2Rvd25yZXYueG1s&#10;UEsBAhQAFAAAAAgAh07iQDMvBZ47AAAAOQAAABUAAAAAAAAAAQAgAAAADAEAAGRycy9ncm91cHNo&#10;YXBleG1sLnhtbFBLBQYAAAAABgAGAGABAADJAwAAAAA=&#10;">
                            <o:lock v:ext="edit" aspectratio="f"/>
                            <v:rect id="矩形 91" o:spid="_x0000_s1026" o:spt="1" style="position:absolute;left:9628;top:14719;height:550;width:875;" filled="f" stroked="f" coordsize="21600,21600" o:gfxdata="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SeRfi/&#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235EB76A">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22.1</w:t>
                                    </w:r>
                                  </w:p>
                                </w:txbxContent>
                              </v:textbox>
                            </v:rect>
                            <v:rect id="矩形 72" o:spid="_x0000_s1026" o:spt="1" style="position:absolute;left:4907;top:14758;height:550;width:875;" filled="f" stroked="f" coordsize="21600,21600" o:gfxdata="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0uBj&#10;wAAAANw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65560251">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25</w:t>
                                    </w:r>
                                  </w:p>
                                </w:txbxContent>
                              </v:textbox>
                            </v:rect>
                            <v:rect id="矩形 73" o:spid="_x0000_s1026" o:spt="1" style="position:absolute;left:5649;top:14887;height:457;width:3520;" fillcolor="#FFFFFF" filled="t" stroked="t" coordsize="21600,21600" o:gfxdata="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kT8P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60D708E">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设备及车间地面冲洗水</w:t>
                                    </w:r>
                                    <w:r>
                                      <w:rPr>
                                        <w:rFonts w:hint="default" w:ascii="Times New Roman" w:hAnsi="Times New Roman" w:eastAsia="宋体" w:cs="Times New Roman"/>
                                        <w:color w:val="auto"/>
                                        <w:kern w:val="0"/>
                                        <w:sz w:val="21"/>
                                        <w:szCs w:val="21"/>
                                      </w:rPr>
                                      <w:t>（-2</w:t>
                                    </w:r>
                                    <w:r>
                                      <w:rPr>
                                        <w:rFonts w:hint="eastAsia" w:cs="Times New Roman"/>
                                        <w:color w:val="auto"/>
                                        <w:kern w:val="0"/>
                                        <w:sz w:val="21"/>
                                        <w:szCs w:val="21"/>
                                        <w:lang w:val="en-US" w:eastAsia="zh-CN"/>
                                      </w:rPr>
                                      <w:t>.9</w:t>
                                    </w:r>
                                    <w:r>
                                      <w:rPr>
                                        <w:rFonts w:hint="default" w:ascii="Times New Roman" w:hAnsi="Times New Roman" w:eastAsia="宋体" w:cs="Times New Roman"/>
                                        <w:color w:val="auto"/>
                                        <w:kern w:val="0"/>
                                        <w:sz w:val="21"/>
                                        <w:szCs w:val="21"/>
                                      </w:rPr>
                                      <w:t>）</w:t>
                                    </w:r>
                                  </w:p>
                                </w:txbxContent>
                              </v:textbox>
                            </v:rect>
                            <v:line id="直接连接符 74" o:spid="_x0000_s1026" o:spt="20" style="position:absolute;left:9067;top:15110;height:0;width:1607;" filled="f" stroked="t" coordsize="21600,21600" o:gfxdata="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DohP&#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75" o:spid="_x0000_s1026" o:spt="20" style="position:absolute;left:4653;top:15099;flip:y;height:1;width:1020;" filled="f" stroked="t" coordsize="21600,21600" o:gfxdata="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fXUW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v:group id="组合 1221" o:spid="_x0000_s1026" o:spt="203" style="position:absolute;left:3732;top:3406798;height:639;width:6018;" coordorigin="1199,9397" coordsize="6018,639" o:gfxdata="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ZT8Ckb0AAADbAAAADwAAAAAAAAABACAAAAAiAAAAZHJzL2Rvd25yZXYueG1s&#10;UEsBAhQAFAAAAAgAh07iQDMvBZ47AAAAOQAAABUAAAAAAAAAAQAgAAAADAEAAGRycy9ncm91cHNo&#10;YXBleG1sLnhtbFBLBQYAAAAABgAGAGABAADJAwAAAAA=&#10;">
                            <o:lock v:ext="edit" aspectratio="f"/>
                            <v:rect id="矩形 70" o:spid="_x0000_s1026" o:spt="1" style="position:absolute;left:6008;top:9399;height:550;width:875;" filled="f" stroked="f" coordsize="21600,21600" o:gfxdata="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e4IM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49229411">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w:t>
                                    </w:r>
                                  </w:p>
                                </w:txbxContent>
                              </v:textbox>
                            </v:rect>
                            <v:rect id="矩形 72" o:spid="_x0000_s1026" o:spt="1" style="position:absolute;left:1341;top:9397;height:550;width:875;" filled="f" stroked="f" coordsize="21600,21600" o:gfxdata="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6irau/&#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EF0D70C">
                                    <w:pPr>
                                      <w:widowControl/>
                                      <w:spacing w:line="240" w:lineRule="auto"/>
                                      <w:ind w:firstLine="0" w:firstLineChars="0"/>
                                      <w:jc w:val="left"/>
                                      <w:rPr>
                                        <w:rFonts w:ascii="宋体" w:hAnsi="宋体" w:eastAsia="宋体" w:cs="宋体"/>
                                        <w:kern w:val="0"/>
                                        <w:sz w:val="21"/>
                                        <w:szCs w:val="21"/>
                                      </w:rPr>
                                    </w:pPr>
                                    <w:r>
                                      <w:rPr>
                                        <w:rFonts w:hint="default" w:ascii="Times New Roman" w:hAnsi="Times New Roman" w:eastAsia="宋体" w:cs="Times New Roman"/>
                                        <w:kern w:val="0"/>
                                        <w:sz w:val="21"/>
                                        <w:szCs w:val="21"/>
                                      </w:rPr>
                                      <w:t>1</w:t>
                                    </w:r>
                                  </w:p>
                                </w:txbxContent>
                              </v:textbox>
                            </v:rect>
                            <v:rect id="矩形 73" o:spid="_x0000_s1026" o:spt="1" style="position:absolute;left:3966;top:9560;height:476;width:1502;" fillcolor="#FFFFFF" filled="t" stroked="t" coordsize="21600,21600" o:gfxdata="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ZbR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0DDD4FE">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化验室</w:t>
                                    </w:r>
                                  </w:p>
                                </w:txbxContent>
                              </v:textbox>
                            </v:rect>
                            <v:line id="直接连接符 74" o:spid="_x0000_s1026" o:spt="20" style="position:absolute;left:5460;top:9772;flip:y;height:1;width:1757;" filled="f" stroked="t" coordsize="21600,21600" o:gfxdata="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n6YK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75" o:spid="_x0000_s1026" o:spt="20" style="position:absolute;left:1199;top:9771;flip:y;height:0;width:2778;" filled="f" stroked="t" coordsize="21600,21600" o:gfxdata="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tsUx&#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group>
                          <v:group id="组合 1227" o:spid="_x0000_s1026" o:spt="203" style="position:absolute;left:3774;top:3407374;height:677;width:5991;" coordorigin="3211,13716" coordsize="5991,677" o:gfxdata="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pzpwq+AAAA2wAAAA8AAAAAAAAAAQAgAAAAIgAAAGRycy9kb3ducmV2Lnht&#10;bFBLAQIUABQAAAAIAIdO4kAzLwWeOwAAADkAAAAVAAAAAAAAAAEAIAAAAA0BAABkcnMvZ3JvdXBz&#10;aGFwZXhtbC54bWxQSwUGAAAAAAYABgBgAQAAygMAAAAA&#10;">
                            <o:lock v:ext="edit" aspectratio="f"/>
                            <v:rect id="矩形 78" o:spid="_x0000_s1026" o:spt="1" style="position:absolute;left:7359;top:13727;height:400;width:866;" filled="f" stroked="f" coordsize="21600,21600" o:gfxdata="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uppQG8AAAA&#10;3A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09A9741C">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275</w:t>
                                    </w:r>
                                  </w:p>
                                </w:txbxContent>
                              </v:textbox>
                            </v:rect>
                            <v:rect id="矩形 79" o:spid="_x0000_s1026" o:spt="1" style="position:absolute;left:3385;top:13716;height:550;width:875;" filled="f" stroked="f" coordsize="21600,21600" o:gfxdata="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ee7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DA11F59">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310</w:t>
                                    </w:r>
                                  </w:p>
                                </w:txbxContent>
                              </v:textbox>
                            </v:rect>
                            <v:rect id="矩形 81" o:spid="_x0000_s1026" o:spt="1" style="position:absolute;left:4162;top:13868;height:525;width:2128;" fillcolor="#FFFFFF" filled="t" stroked="t" coordsize="21600,21600" o:gfxdata="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Om3/a/&#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1ED892CE">
                                    <w:pPr>
                                      <w:widowControl/>
                                      <w:spacing w:line="260" w:lineRule="exact"/>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生活用水</w:t>
                                    </w:r>
                                    <w:r>
                                      <w:rPr>
                                        <w:rFonts w:hint="default" w:ascii="Times New Roman" w:hAnsi="Times New Roman" w:eastAsia="宋体" w:cs="Times New Roman"/>
                                        <w:kern w:val="0"/>
                                        <w:sz w:val="21"/>
                                        <w:szCs w:val="21"/>
                                      </w:rPr>
                                      <w:t>（-35）</w:t>
                                    </w:r>
                                  </w:p>
                                </w:txbxContent>
                              </v:textbox>
                            </v:rect>
                            <v:line id="直接连接符 82" o:spid="_x0000_s1026" o:spt="20" style="position:absolute;left:6273;top:14057;height:0;width:2929;" filled="f" stroked="t" coordsize="21600,21600" o:gfxdata="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A8Er&#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83" o:spid="_x0000_s1026" o:spt="20" style="position:absolute;left:3211;top:14084;height:1;width:964;" filled="f" stroked="t" coordsize="21600,21600" o:gfxdata="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T2Sw&#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group>
                          <v:group id="组合 1233" o:spid="_x0000_s1026" o:spt="203" style="position:absolute;left:8920;top:3408011;height:1468;width:2368;" coordorigin="9842,13971" coordsize="2368,1468" o:gfxdata="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E5fb0AAADbAAAADwAAAAAAAAABACAAAAAiAAAAZHJzL2Rvd25yZXYueG1s&#10;UEsBAhQAFAAAAAgAh07iQDMvBZ47AAAAOQAAABUAAAAAAAAAAQAgAAAADAEAAGRycy9ncm91cHNo&#10;YXBleG1sLnhtbFBLBQYAAAAABgAGAGABAADJAwAAAAA=&#10;">
                            <o:lock v:ext="edit" aspectratio="f"/>
                            <v:group id="组合 248" o:spid="_x0000_s1026" o:spt="203" style="position:absolute;left:9842;top:13971;height:1469;width:2369;" coordorigin="8510,24078" coordsize="2369,1469" o:gfxdata="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e2c5r0AAADbAAAADwAAAAAAAAABACAAAAAiAAAAZHJzL2Rvd25yZXYueG1s&#10;UEsBAhQAFAAAAAgAh07iQDMvBZ47AAAAOQAAABUAAAAAAAAAAQAgAAAADAEAAGRycy9ncm91cHNo&#10;YXBleG1sLnhtbFBLBQYAAAAABgAGAGABAADJAwAAAAA=&#10;">
                              <o:lock v:ext="edit" aspectratio="f"/>
                              <v:line id="直接连接符 338" o:spid="_x0000_s1026" o:spt="20" style="position:absolute;left:9218;top:24514;height:680;width:1;" filled="f" stroked="t" coordsize="21600,21600" o:gfxdata="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bFraS/&#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13" o:spid="_x0000_s1026" o:spt="1" style="position:absolute;left:8510;top:24078;height:439;width:1510;" fillcolor="#FFFFFF" filled="t" stroked="t" coordsize="21600,21600" o:gfxdata="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LN5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F2110A6">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污水处理站</w:t>
                                      </w:r>
                                    </w:p>
                                  </w:txbxContent>
                                </v:textbox>
                              </v:rect>
                              <v:rect id="矩形 339" o:spid="_x0000_s1026" o:spt="1" style="position:absolute;left:8517;top:25066;height:481;width:2362;" filled="f" stroked="f" coordsize="21600,21600" o:gfxdata="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PHyY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2380A703">
                                      <w:pPr>
                                        <w:widowControl/>
                                        <w:spacing w:line="240" w:lineRule="auto"/>
                                        <w:ind w:firstLine="0" w:firstLineChars="0"/>
                                        <w:jc w:val="center"/>
                                        <w:rPr>
                                          <w:rFonts w:ascii="宋体" w:hAnsi="宋体" w:eastAsia="宋体" w:cs="宋体"/>
                                          <w:kern w:val="0"/>
                                          <w:sz w:val="21"/>
                                          <w:szCs w:val="21"/>
                                        </w:rPr>
                                      </w:pPr>
                                      <w:r>
                                        <w:rPr>
                                          <w:rFonts w:hint="eastAsia" w:ascii="宋体" w:hAnsi="宋体" w:eastAsia="宋体" w:cs="宋体"/>
                                          <w:kern w:val="0"/>
                                          <w:sz w:val="21"/>
                                          <w:szCs w:val="21"/>
                                        </w:rPr>
                                        <w:t>良村南污水处理厂</w:t>
                                      </w:r>
                                    </w:p>
                                  </w:txbxContent>
                                </v:textbox>
                              </v:rect>
                            </v:group>
                            <v:rect id="矩形 99" o:spid="_x0000_s1026" o:spt="1" style="position:absolute;left:10457;top:14520;height:502;width:1083;" filled="f" stroked="f" coordsize="21600,21600" o:gfxdata="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CNsF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8FA7CFD">
                                    <w:pPr>
                                      <w:widowControl/>
                                      <w:spacing w:line="240" w:lineRule="auto"/>
                                      <w:ind w:firstLine="0" w:firstLineChars="0"/>
                                      <w:jc w:val="left"/>
                                      <w:rPr>
                                        <w:rFonts w:hint="default" w:ascii="Times New Roman" w:hAnsi="Times New Roman" w:eastAsia="宋体" w:cs="Times New Roman"/>
                                        <w:color w:val="auto"/>
                                        <w:kern w:val="0"/>
                                        <w:sz w:val="21"/>
                                        <w:szCs w:val="21"/>
                                        <w:lang w:val="en-US" w:eastAsia="zh-CN"/>
                                      </w:rPr>
                                    </w:pPr>
                                    <w:r>
                                      <w:rPr>
                                        <w:rFonts w:hint="eastAsia" w:cs="Times New Roman"/>
                                        <w:color w:val="auto"/>
                                        <w:kern w:val="0"/>
                                        <w:sz w:val="21"/>
                                        <w:szCs w:val="21"/>
                                        <w:lang w:val="en-US" w:eastAsia="zh-CN"/>
                                      </w:rPr>
                                      <w:t>924.32</w:t>
                                    </w:r>
                                  </w:p>
                                </w:txbxContent>
                              </v:textbox>
                            </v:rect>
                          </v:group>
                          <v:group id="组合 1236" o:spid="_x0000_s1026" o:spt="203" style="position:absolute;left:3756;top:3408086;height:645;width:3347;" coordorigin="3211,13716" coordsize="3347,660" o:gfxdata="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ORyCJS7AAAA2wAAAA8AAAAAAAAAAQAgAAAAIgAAAGRycy9kb3ducmV2LnhtbFBL&#10;AQIUABQAAAAIAIdO4kAzLwWeOwAAADkAAAAVAAAAAAAAAAEAIAAAAAoBAABkcnMvZ3JvdXBzaGFw&#10;ZXhtbC54bWxQSwUGAAAAAAYABgBgAQAAxwMAAAAA&#10;">
                            <o:lock v:ext="edit" aspectratio="f"/>
                            <v:rect id="矩形 79" o:spid="_x0000_s1026" o:spt="1" style="position:absolute;left:3385;top:13716;height:550;width:875;" filled="f" stroked="f" coordsize="21600,21600" o:gfxdata="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8F38ugAAANwA&#10;AAAPAAAAAAAAAAEAIAAAACIAAABkcnMvZG93bnJldi54bWxQSwECFAAUAAAACACHTuJAMy8FnjsA&#10;AAA5AAAAEAAAAAAAAAABACAAAAAJAQAAZHJzL3NoYXBleG1sLnhtbFBLBQYAAAAABgAGAFsBAACz&#10;AwAAAAA=&#10;">
                              <v:fill on="f" focussize="0,0"/>
                              <v:stroke on="f"/>
                              <v:imagedata o:title=""/>
                              <o:lock v:ext="edit" aspectratio="f"/>
                              <v:textbox>
                                <w:txbxContent>
                                  <w:p w14:paraId="28B59556">
                                    <w:pPr>
                                      <w:widowControl/>
                                      <w:spacing w:line="240" w:lineRule="auto"/>
                                      <w:ind w:firstLine="0" w:firstLineChars="0"/>
                                      <w:jc w:val="left"/>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20</w:t>
                                    </w:r>
                                  </w:p>
                                </w:txbxContent>
                              </v:textbox>
                            </v:rect>
                            <v:rect id="矩形 81" o:spid="_x0000_s1026" o:spt="1" style="position:absolute;left:4162;top:13868;height:508;width:2396;" fillcolor="#FFFFFF" filled="t" stroked="t" coordsize="21600,21600" o:gfxdata="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Ec5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075DADF">
                                    <w:pPr>
                                      <w:widowControl/>
                                      <w:spacing w:line="260" w:lineRule="exact"/>
                                      <w:ind w:firstLine="0" w:firstLineChars="0"/>
                                      <w:jc w:val="center"/>
                                      <w:rPr>
                                        <w:rFonts w:hint="default" w:ascii="Times New Roman" w:hAnsi="Times New Roman" w:eastAsia="宋体" w:cs="Times New Roman"/>
                                        <w:kern w:val="0"/>
                                        <w:sz w:val="21"/>
                                        <w:szCs w:val="21"/>
                                      </w:rPr>
                                    </w:pPr>
                                    <w:r>
                                      <w:rPr>
                                        <w:rFonts w:hint="eastAsia" w:ascii="宋体" w:hAnsi="宋体" w:eastAsia="宋体" w:cs="宋体"/>
                                        <w:kern w:val="0"/>
                                        <w:sz w:val="21"/>
                                        <w:szCs w:val="21"/>
                                      </w:rPr>
                                      <w:t>绿化喷淋</w:t>
                                    </w:r>
                                    <w:r>
                                      <w:rPr>
                                        <w:rFonts w:hint="default" w:ascii="Times New Roman" w:hAnsi="Times New Roman" w:eastAsia="宋体" w:cs="Times New Roman"/>
                                        <w:kern w:val="0"/>
                                        <w:sz w:val="21"/>
                                        <w:szCs w:val="21"/>
                                      </w:rPr>
                                      <w:t>（-20）</w:t>
                                    </w:r>
                                  </w:p>
                                </w:txbxContent>
                              </v:textbox>
                            </v:rect>
                            <v:line id="直接连接符 83" o:spid="_x0000_s1026" o:spt="20" style="position:absolute;left:3211;top:14084;height:1;width:964;" filled="f" stroked="t" coordsize="21600,21600" o:gfxdata="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86lDr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v:rect id="矩形 34" o:spid="_x0000_s1026" o:spt="1" style="position:absolute;left:3587;top:3398791;height:392;width:979;" filled="f" stroked="f" coordsize="21600,21600" o:gfxdata="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JkwSS/&#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7C42862A">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5.1</w:t>
                                  </w:r>
                                </w:p>
                              </w:txbxContent>
                            </v:textbox>
                          </v:rect>
                          <v:rect id="矩形 34" o:spid="_x0000_s1026" o:spt="1" style="position:absolute;left:6213;top:3398820;height:391;width:979;" filled="f" stroked="f" coordsize="21600,21600" o:gfxdata="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2X1O/&#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1008866F">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155</w:t>
                                  </w:r>
                                </w:p>
                              </w:txbxContent>
                            </v:textbox>
                          </v:rect>
                          <v:rect id="矩形 34" o:spid="_x0000_s1026" o:spt="1" style="position:absolute;left:5390;top:3398358;height:391;width:979;" filled="f" stroked="f" coordsize="21600,21600" o:gfxdata="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f6gB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3A0FE52B">
                                  <w:pPr>
                                    <w:widowControl w:val="0"/>
                                    <w:autoSpaceDE w:val="0"/>
                                    <w:autoSpaceDN w:val="0"/>
                                    <w:spacing w:line="240" w:lineRule="exact"/>
                                    <w:ind w:left="-120" w:leftChars="-50" w:right="-120" w:rightChars="-5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5</w:t>
                                  </w:r>
                                </w:p>
                              </w:txbxContent>
                            </v:textbox>
                          </v:rect>
                        </v:group>
                      </v:group>
                      <v:shape id="_x0000_s1026" o:spid="_x0000_s1026" o:spt="33" type="#_x0000_t33" style="position:absolute;left:6475;top:947306;height:1650;width:265;rotation:-5898240f;" filled="f" stroked="t" coordsize="21600,21600" o:gfxdata="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d/09rsAAADb&#10;AAAADwAAAAAAAAABACAAAAAiAAAAZHJzL2Rvd25yZXYueG1sUEsBAhQAFAAAAAgAh07iQDMvBZ47&#10;AAAAOQAAABAAAAAAAAAAAQAgAAAACgEAAGRycy9zaGFwZXhtbC54bWxQSwUGAAAAAAYABgBbAQAA&#10;tAMAAAAA&#10;">
                        <v:fill on="f" focussize="0,0"/>
                        <v:stroke weight="1pt" color="#000000 [3213]" miterlimit="8" joinstyle="miter" dashstyle="dash"/>
                        <v:imagedata o:title=""/>
                        <o:lock v:ext="edit" aspectratio="f"/>
                      </v:shape>
                    </v:group>
                  </w:pict>
                </mc:Fallback>
              </mc:AlternateContent>
            </w:r>
          </w:p>
          <w:p w14:paraId="4CFCDEF7">
            <w:pPr>
              <w:pStyle w:val="2"/>
              <w:rPr>
                <w:rFonts w:hint="default"/>
                <w:color w:val="auto"/>
                <w:highlight w:val="none"/>
                <w:lang w:val="en-US" w:eastAsia="zh-CN"/>
              </w:rPr>
            </w:pPr>
          </w:p>
          <w:p w14:paraId="2E3035BC">
            <w:pPr>
              <w:pStyle w:val="2"/>
              <w:rPr>
                <w:rFonts w:hint="default"/>
                <w:color w:val="auto"/>
                <w:highlight w:val="none"/>
                <w:lang w:val="en-US" w:eastAsia="zh-CN"/>
              </w:rPr>
            </w:pPr>
          </w:p>
          <w:p w14:paraId="55ECC723">
            <w:pPr>
              <w:pStyle w:val="2"/>
              <w:rPr>
                <w:rFonts w:hint="default"/>
                <w:color w:val="auto"/>
                <w:highlight w:val="none"/>
                <w:lang w:val="en-US" w:eastAsia="zh-CN"/>
              </w:rPr>
            </w:pPr>
          </w:p>
          <w:p w14:paraId="085E4C8C">
            <w:pPr>
              <w:pStyle w:val="2"/>
              <w:rPr>
                <w:rFonts w:hint="default"/>
                <w:color w:val="auto"/>
                <w:highlight w:val="none"/>
                <w:lang w:val="en-US" w:eastAsia="zh-CN"/>
              </w:rPr>
            </w:pPr>
          </w:p>
          <w:p w14:paraId="690B5A69">
            <w:pPr>
              <w:pStyle w:val="2"/>
              <w:rPr>
                <w:rFonts w:hint="default"/>
                <w:color w:val="auto"/>
                <w:highlight w:val="none"/>
                <w:lang w:val="en-US" w:eastAsia="zh-CN"/>
              </w:rPr>
            </w:pPr>
          </w:p>
          <w:p w14:paraId="5FCE8FE3">
            <w:pPr>
              <w:pStyle w:val="2"/>
              <w:rPr>
                <w:rFonts w:hint="default"/>
                <w:color w:val="auto"/>
                <w:highlight w:val="none"/>
                <w:lang w:val="en-US" w:eastAsia="zh-CN"/>
              </w:rPr>
            </w:pPr>
          </w:p>
          <w:p w14:paraId="0D10A4C4">
            <w:pPr>
              <w:pStyle w:val="2"/>
              <w:rPr>
                <w:rFonts w:hint="default"/>
                <w:color w:val="auto"/>
                <w:highlight w:val="none"/>
                <w:lang w:val="en-US" w:eastAsia="zh-CN"/>
              </w:rPr>
            </w:pPr>
          </w:p>
          <w:p w14:paraId="08427408">
            <w:pPr>
              <w:pStyle w:val="2"/>
              <w:rPr>
                <w:rFonts w:hint="default"/>
                <w:color w:val="auto"/>
                <w:highlight w:val="none"/>
                <w:lang w:val="en-US" w:eastAsia="zh-CN"/>
              </w:rPr>
            </w:pPr>
          </w:p>
          <w:p w14:paraId="6A58FC2C">
            <w:pPr>
              <w:pStyle w:val="2"/>
              <w:rPr>
                <w:rFonts w:hint="default"/>
                <w:color w:val="auto"/>
                <w:highlight w:val="none"/>
                <w:lang w:val="en-US" w:eastAsia="zh-CN"/>
              </w:rPr>
            </w:pPr>
          </w:p>
          <w:p w14:paraId="61FA1EF1">
            <w:pPr>
              <w:pStyle w:val="2"/>
              <w:rPr>
                <w:rFonts w:hint="default"/>
                <w:color w:val="auto"/>
                <w:highlight w:val="none"/>
                <w:lang w:val="en-US" w:eastAsia="zh-CN"/>
              </w:rPr>
            </w:pPr>
          </w:p>
          <w:p w14:paraId="573662E8">
            <w:pPr>
              <w:pStyle w:val="2"/>
              <w:rPr>
                <w:rFonts w:hint="default"/>
                <w:color w:val="auto"/>
                <w:highlight w:val="none"/>
                <w:lang w:val="en-US" w:eastAsia="zh-CN"/>
              </w:rPr>
            </w:pPr>
          </w:p>
          <w:p w14:paraId="798C887C">
            <w:pPr>
              <w:pStyle w:val="2"/>
              <w:rPr>
                <w:rFonts w:hint="default"/>
                <w:color w:val="auto"/>
                <w:highlight w:val="none"/>
                <w:lang w:val="en-US" w:eastAsia="zh-CN"/>
              </w:rPr>
            </w:pPr>
          </w:p>
          <w:p w14:paraId="7E230031">
            <w:pPr>
              <w:pStyle w:val="2"/>
              <w:rPr>
                <w:rFonts w:hint="default"/>
                <w:color w:val="auto"/>
                <w:highlight w:val="none"/>
                <w:lang w:val="en-US" w:eastAsia="zh-CN"/>
              </w:rPr>
            </w:pPr>
          </w:p>
          <w:p w14:paraId="76DF6FE8">
            <w:pPr>
              <w:pStyle w:val="2"/>
              <w:rPr>
                <w:rFonts w:hint="default"/>
                <w:color w:val="auto"/>
                <w:highlight w:val="none"/>
                <w:lang w:val="en-US" w:eastAsia="zh-CN"/>
              </w:rPr>
            </w:pPr>
          </w:p>
          <w:p w14:paraId="74ED086C">
            <w:pPr>
              <w:pStyle w:val="2"/>
              <w:rPr>
                <w:rFonts w:hint="default"/>
                <w:color w:val="auto"/>
                <w:highlight w:val="none"/>
                <w:lang w:val="en-US" w:eastAsia="zh-CN"/>
              </w:rPr>
            </w:pPr>
          </w:p>
          <w:p w14:paraId="4617DE28">
            <w:pPr>
              <w:pStyle w:val="2"/>
              <w:rPr>
                <w:rFonts w:hint="default"/>
                <w:color w:val="auto"/>
                <w:highlight w:val="none"/>
                <w:lang w:val="en-US" w:eastAsia="zh-CN"/>
              </w:rPr>
            </w:pPr>
          </w:p>
          <w:p w14:paraId="71FF6B8F">
            <w:pPr>
              <w:pStyle w:val="2"/>
              <w:rPr>
                <w:rFonts w:hint="default"/>
                <w:color w:val="auto"/>
                <w:highlight w:val="none"/>
                <w:lang w:val="en-US" w:eastAsia="zh-CN"/>
              </w:rPr>
            </w:pPr>
          </w:p>
          <w:p w14:paraId="53DFADB4">
            <w:pPr>
              <w:pStyle w:val="2"/>
              <w:rPr>
                <w:rFonts w:hint="default"/>
                <w:color w:val="auto"/>
                <w:highlight w:val="none"/>
                <w:lang w:val="en-US" w:eastAsia="zh-CN"/>
              </w:rPr>
            </w:pPr>
          </w:p>
          <w:p w14:paraId="13171C5B">
            <w:pPr>
              <w:keepNext w:val="0"/>
              <w:keepLines w:val="0"/>
              <w:pageBreakBefore w:val="0"/>
              <w:widowControl w:val="0"/>
              <w:kinsoku/>
              <w:wordWrap/>
              <w:overflowPunct/>
              <w:topLinePunct w:val="0"/>
              <w:autoSpaceDE/>
              <w:autoSpaceDN/>
              <w:bidi w:val="0"/>
              <w:spacing w:line="360" w:lineRule="auto"/>
              <w:ind w:left="0" w:firstLine="480" w:firstLineChars="200"/>
              <w:jc w:val="both"/>
              <w:rPr>
                <w:rFonts w:hint="default"/>
                <w:color w:val="auto"/>
                <w:highlight w:val="none"/>
                <w:lang w:val="en-US" w:eastAsia="zh-CN"/>
              </w:rPr>
            </w:pPr>
          </w:p>
          <w:p w14:paraId="19F057B9">
            <w:pPr>
              <w:pStyle w:val="6"/>
              <w:numPr>
                <w:ilvl w:val="3"/>
                <w:numId w:val="0"/>
              </w:numPr>
              <w:ind w:leftChars="0"/>
              <w:rPr>
                <w:rFonts w:hint="default"/>
                <w:color w:val="auto"/>
                <w:highlight w:val="none"/>
                <w:lang w:val="en-US" w:eastAsia="zh-CN"/>
              </w:rPr>
            </w:pPr>
          </w:p>
          <w:p w14:paraId="4A3DC938">
            <w:pPr>
              <w:pStyle w:val="8"/>
              <w:numPr>
                <w:ilvl w:val="6"/>
                <w:numId w:val="0"/>
              </w:numPr>
              <w:bidi w:val="0"/>
              <w:ind w:leftChars="0"/>
              <w:jc w:val="center"/>
              <w:rPr>
                <w:rFonts w:hint="eastAsia"/>
                <w:color w:val="auto"/>
                <w:highlight w:val="none"/>
                <w:lang w:val="en-US" w:eastAsia="zh-CN"/>
              </w:rPr>
            </w:pPr>
          </w:p>
          <w:p w14:paraId="2AF90248">
            <w:pPr>
              <w:rPr>
                <w:rFonts w:hint="eastAsia"/>
                <w:color w:val="auto"/>
                <w:highlight w:val="none"/>
                <w:lang w:val="en-US" w:eastAsia="zh-CN"/>
              </w:rPr>
            </w:pPr>
          </w:p>
          <w:p w14:paraId="33BA3883">
            <w:pPr>
              <w:pStyle w:val="2"/>
              <w:rPr>
                <w:rFonts w:hint="eastAsia"/>
                <w:color w:val="auto"/>
                <w:highlight w:val="none"/>
                <w:lang w:val="en-US" w:eastAsia="zh-CN"/>
              </w:rPr>
            </w:pPr>
          </w:p>
          <w:p w14:paraId="27139E07">
            <w:pPr>
              <w:pStyle w:val="2"/>
              <w:rPr>
                <w:rFonts w:hint="eastAsia"/>
                <w:color w:val="auto"/>
                <w:highlight w:val="none"/>
                <w:lang w:val="en-US" w:eastAsia="zh-CN"/>
              </w:rPr>
            </w:pPr>
          </w:p>
          <w:p w14:paraId="6C1D0679">
            <w:pPr>
              <w:pStyle w:val="8"/>
              <w:numPr>
                <w:ilvl w:val="6"/>
                <w:numId w:val="0"/>
              </w:numPr>
              <w:bidi w:val="0"/>
              <w:ind w:leftChars="0"/>
              <w:jc w:val="center"/>
              <w:rPr>
                <w:rFonts w:hint="eastAsia"/>
                <w:color w:val="auto"/>
                <w:highlight w:val="none"/>
                <w:lang w:val="en-US" w:eastAsia="zh-CN"/>
              </w:rPr>
            </w:pPr>
          </w:p>
          <w:p w14:paraId="3F0897B3">
            <w:pPr>
              <w:pStyle w:val="8"/>
              <w:numPr>
                <w:ilvl w:val="6"/>
                <w:numId w:val="0"/>
              </w:numPr>
              <w:bidi w:val="0"/>
              <w:ind w:leftChars="0"/>
              <w:jc w:val="center"/>
              <w:rPr>
                <w:rFonts w:hint="eastAsia"/>
                <w:color w:val="auto"/>
                <w:highlight w:val="none"/>
                <w:lang w:val="en-US" w:eastAsia="zh-CN"/>
              </w:rPr>
            </w:pPr>
          </w:p>
          <w:p w14:paraId="63DC1CAE">
            <w:pPr>
              <w:pStyle w:val="8"/>
              <w:numPr>
                <w:ilvl w:val="6"/>
                <w:numId w:val="0"/>
              </w:numPr>
              <w:bidi w:val="0"/>
              <w:ind w:leftChars="0"/>
              <w:jc w:val="center"/>
              <w:rPr>
                <w:rFonts w:hint="eastAsia"/>
                <w:color w:val="auto"/>
                <w:sz w:val="21"/>
                <w:szCs w:val="21"/>
                <w:highlight w:val="none"/>
                <w:lang w:val="en-US" w:eastAsia="zh-CN"/>
              </w:rPr>
            </w:pPr>
            <w:r>
              <w:rPr>
                <w:color w:val="auto"/>
                <w:sz w:val="21"/>
                <w:szCs w:val="21"/>
                <w:highlight w:val="none"/>
              </w:rPr>
              <mc:AlternateContent>
                <mc:Choice Requires="wpg">
                  <w:drawing>
                    <wp:anchor distT="0" distB="0" distL="114300" distR="114300" simplePos="0" relativeHeight="251661312" behindDoc="0" locked="0" layoutInCell="1" allowOverlap="1">
                      <wp:simplePos x="0" y="0"/>
                      <wp:positionH relativeFrom="column">
                        <wp:posOffset>1779905</wp:posOffset>
                      </wp:positionH>
                      <wp:positionV relativeFrom="paragraph">
                        <wp:posOffset>1721485</wp:posOffset>
                      </wp:positionV>
                      <wp:extent cx="1193800" cy="142240"/>
                      <wp:effectExtent l="0" t="4445" r="0" b="5715"/>
                      <wp:wrapNone/>
                      <wp:docPr id="482" name="组合 482"/>
                      <wp:cNvGraphicFramePr/>
                      <a:graphic xmlns:a="http://schemas.openxmlformats.org/drawingml/2006/main">
                        <a:graphicData uri="http://schemas.microsoft.com/office/word/2010/wordprocessingGroup">
                          <wpg:wgp>
                            <wpg:cNvGrpSpPr/>
                            <wpg:grpSpPr>
                              <a:xfrm>
                                <a:off x="0" y="0"/>
                                <a:ext cx="1193800" cy="142240"/>
                                <a:chOff x="6657" y="946370"/>
                                <a:chExt cx="1880" cy="224"/>
                              </a:xfrm>
                            </wpg:grpSpPr>
                            <wps:wsp>
                              <wps:cNvPr id="618" name="直接连接符 618"/>
                              <wps:cNvCnPr/>
                              <wps:spPr>
                                <a:xfrm flipH="1" flipV="1">
                                  <a:off x="6672" y="946376"/>
                                  <a:ext cx="13" cy="219"/>
                                </a:xfrm>
                                <a:prstGeom prst="line">
                                  <a:avLst/>
                                </a:prstGeom>
                                <a:ln w="6350" cap="flat" cmpd="sng" algn="ctr">
                                  <a:solidFill>
                                    <a:schemeClr val="tx1"/>
                                  </a:solidFill>
                                  <a:prstDash val="dash"/>
                                  <a:miter lim="800000"/>
                                </a:ln>
                              </wps:spPr>
                              <wps:style>
                                <a:lnRef idx="0">
                                  <a:schemeClr val="accent1"/>
                                </a:lnRef>
                                <a:fillRef idx="0">
                                  <a:srgbClr val="FFFFFF"/>
                                </a:fillRef>
                                <a:effectRef idx="0">
                                  <a:srgbClr val="FFFFFF"/>
                                </a:effectRef>
                                <a:fontRef idx="minor">
                                  <a:schemeClr val="tx1"/>
                                </a:fontRef>
                              </wps:style>
                              <wps:bodyPr/>
                            </wps:wsp>
                            <wps:wsp>
                              <wps:cNvPr id="619" name="直接连接符 619"/>
                              <wps:cNvCnPr/>
                              <wps:spPr>
                                <a:xfrm flipV="1">
                                  <a:off x="6657" y="946370"/>
                                  <a:ext cx="1881" cy="13"/>
                                </a:xfrm>
                                <a:prstGeom prst="line">
                                  <a:avLst/>
                                </a:prstGeom>
                                <a:ln w="6350" cap="flat" cmpd="sng" algn="ctr">
                                  <a:solidFill>
                                    <a:schemeClr val="tx1"/>
                                  </a:solidFill>
                                  <a:prstDash val="dash"/>
                                  <a:miter lim="800000"/>
                                </a:ln>
                              </wps:spPr>
                              <wps:style>
                                <a:lnRef idx="0">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140.15pt;margin-top:135.55pt;height:11.2pt;width:94pt;z-index:251661312;mso-width-relative:page;mso-height-relative:page;" coordorigin="6657,946370" coordsize="1880,224" o:gfxdata="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CLpoZ9sAAAALAQAADwAAAAAAAAABACAAAAAiAAAAZHJzL2Rvd25yZXYueG1sUEsBAhQAFAAAAAgA&#10;h07iQN6RQqSUAgAA6AYAAA4AAAAAAAAAAQAgAAAAKgEAAGRycy9lMm9Eb2MueG1sUEsFBgAAAAAG&#10;AAYAWQEAADAGAAAAAA==&#10;">
                      <o:lock v:ext="edit" aspectratio="f"/>
                      <v:line id="_x0000_s1026" o:spid="_x0000_s1026" o:spt="20" style="position:absolute;left:6672;top:946376;flip:x y;height:219;width:13;" filled="f" stroked="t" coordsize="21600,21600" o:gfxdata="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xBQQrsAAADc&#10;AAAADwAAAAAAAAABACAAAAAiAAAAZHJzL2Rvd25yZXYueG1sUEsBAhQAFAAAAAgAh07iQDMvBZ47&#10;AAAAOQAAABAAAAAAAAAAAQAgAAAACgEAAGRycy9zaGFwZXhtbC54bWxQSwUGAAAAAAYABgBbAQAA&#10;tAMAAAAA&#10;">
                        <v:fill on="f" focussize="0,0"/>
                        <v:stroke weight="0.5pt" color="#000000 [3213]" miterlimit="8" joinstyle="miter" dashstyle="dash"/>
                        <v:imagedata o:title=""/>
                        <o:lock v:ext="edit" aspectratio="f"/>
                      </v:line>
                      <v:line id="_x0000_s1026" o:spid="_x0000_s1026" o:spt="20" style="position:absolute;left:6657;top:946370;flip:y;height:13;width:1881;" filled="f" stroked="t" coordsize="21600,21600" o:gfxdata="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Mub4A&#10;AADcAAAADwAAAAAAAAABACAAAAAiAAAAZHJzL2Rvd25yZXYueG1sUEsBAhQAFAAAAAgAh07iQDMv&#10;BZ47AAAAOQAAABAAAAAAAAAAAQAgAAAADQEAAGRycy9zaGFwZXhtbC54bWxQSwUGAAAAAAYABgBb&#10;AQAAtwMAAAAA&#10;">
                        <v:fill on="f" focussize="0,0"/>
                        <v:stroke weight="0.5pt" color="#000000 [3213]" miterlimit="8" joinstyle="miter" dashstyle="dash"/>
                        <v:imagedata o:title=""/>
                        <o:lock v:ext="edit" aspectratio="f"/>
                      </v:line>
                    </v:group>
                  </w:pict>
                </mc:Fallback>
              </mc:AlternateContent>
            </w:r>
            <w:r>
              <w:rPr>
                <w:rFonts w:hint="eastAsia"/>
                <w:color w:val="auto"/>
                <w:sz w:val="21"/>
                <w:szCs w:val="21"/>
                <w:highlight w:val="none"/>
                <w:lang w:val="en-US" w:eastAsia="zh-CN"/>
              </w:rPr>
              <w:t xml:space="preserve">图 2-5 </w:t>
            </w:r>
            <w:r>
              <w:rPr>
                <w:rFonts w:hint="default"/>
                <w:color w:val="auto"/>
                <w:sz w:val="21"/>
                <w:szCs w:val="21"/>
                <w:highlight w:val="none"/>
                <w:lang w:val="en-US" w:eastAsia="zh-CN"/>
              </w:rPr>
              <w:t>现有工程水平衡图</w:t>
            </w:r>
            <w:r>
              <w:rPr>
                <w:rFonts w:hint="eastAsia"/>
                <w:color w:val="auto"/>
                <w:sz w:val="21"/>
                <w:szCs w:val="21"/>
                <w:highlight w:val="none"/>
                <w:lang w:val="en-US" w:eastAsia="zh-CN"/>
              </w:rPr>
              <w:t xml:space="preserve">   单位（m</w:t>
            </w:r>
            <w:r>
              <w:rPr>
                <w:rFonts w:hint="eastAsia"/>
                <w:color w:val="auto"/>
                <w:sz w:val="21"/>
                <w:szCs w:val="21"/>
                <w:highlight w:val="none"/>
                <w:vertAlign w:val="superscript"/>
                <w:lang w:val="en-US" w:eastAsia="zh-CN"/>
              </w:rPr>
              <w:t>3</w:t>
            </w:r>
            <w:r>
              <w:rPr>
                <w:rFonts w:hint="eastAsia"/>
                <w:color w:val="auto"/>
                <w:sz w:val="21"/>
                <w:szCs w:val="21"/>
                <w:highlight w:val="none"/>
                <w:lang w:val="en-US" w:eastAsia="zh-CN"/>
              </w:rPr>
              <w:t>/d）</w:t>
            </w:r>
          </w:p>
          <w:p w14:paraId="298AEB1D">
            <w:pPr>
              <w:rPr>
                <w:rFonts w:hint="eastAsia"/>
                <w:color w:val="auto"/>
                <w:highlight w:val="none"/>
                <w:lang w:val="en-US" w:eastAsia="zh-CN"/>
              </w:rPr>
            </w:pPr>
          </w:p>
          <w:p w14:paraId="5BCC969D">
            <w:pPr>
              <w:keepNext w:val="0"/>
              <w:keepLines w:val="0"/>
              <w:pageBreakBefore w:val="0"/>
              <w:widowControl w:val="0"/>
              <w:kinsoku/>
              <w:wordWrap/>
              <w:overflowPunct/>
              <w:topLinePunct w:val="0"/>
              <w:bidi w:val="0"/>
              <w:adjustRightInd w:val="0"/>
              <w:snapToGrid w:val="0"/>
              <w:spacing w:line="360" w:lineRule="auto"/>
              <w:ind w:left="0" w:firstLine="420" w:firstLineChars="200"/>
              <w:jc w:val="both"/>
              <w:textAlignment w:val="baseline"/>
              <w:rPr>
                <w:rFonts w:hint="default"/>
                <w:color w:val="auto"/>
                <w:sz w:val="21"/>
                <w:szCs w:val="21"/>
                <w:highlight w:val="none"/>
                <w:lang w:eastAsia="zh-CN"/>
              </w:rPr>
            </w:pPr>
            <w:r>
              <w:rPr>
                <w:rFonts w:hint="default"/>
                <w:color w:val="auto"/>
                <w:sz w:val="21"/>
                <w:szCs w:val="21"/>
                <w:highlight w:val="none"/>
                <w:lang w:val="en-US" w:eastAsia="zh-CN"/>
              </w:rPr>
              <w:t>现有工程</w:t>
            </w:r>
            <w:r>
              <w:rPr>
                <w:rFonts w:hint="eastAsia"/>
                <w:color w:val="auto"/>
                <w:sz w:val="21"/>
                <w:szCs w:val="21"/>
                <w:highlight w:val="none"/>
                <w:lang w:val="en-US" w:eastAsia="zh-CN"/>
              </w:rPr>
              <w:t>甘氨酸亚铁项目</w:t>
            </w:r>
            <w:r>
              <w:rPr>
                <w:rFonts w:hint="default"/>
                <w:color w:val="auto"/>
                <w:sz w:val="21"/>
                <w:szCs w:val="21"/>
                <w:highlight w:val="none"/>
              </w:rPr>
              <w:t>水平衡图表如下</w:t>
            </w:r>
            <w:r>
              <w:rPr>
                <w:rFonts w:hint="default"/>
                <w:color w:val="auto"/>
                <w:sz w:val="21"/>
                <w:szCs w:val="21"/>
                <w:highlight w:val="none"/>
                <w:lang w:eastAsia="zh-CN"/>
              </w:rPr>
              <w:t>：</w:t>
            </w:r>
          </w:p>
          <w:p w14:paraId="21DB6C9E">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baseline"/>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val="en-US" w:eastAsia="zh-CN"/>
              </w:rPr>
              <w:t xml:space="preserve">表 </w:t>
            </w:r>
            <w:r>
              <w:rPr>
                <w:rFonts w:hint="eastAsia" w:ascii="Times New Roman" w:hAnsi="Times New Roman" w:eastAsia="宋体" w:cs="Times New Roman"/>
                <w:b/>
                <w:bCs/>
                <w:color w:val="auto"/>
                <w:sz w:val="21"/>
                <w:szCs w:val="21"/>
                <w:highlight w:val="none"/>
                <w:lang w:val="en-US" w:eastAsia="zh-CN"/>
              </w:rPr>
              <w:t>2-17</w:t>
            </w:r>
            <w:r>
              <w:rPr>
                <w:rFonts w:hint="default" w:ascii="Times New Roman" w:hAnsi="Times New Roman" w:eastAsia="宋体" w:cs="Times New Roman"/>
                <w:b/>
                <w:bCs/>
                <w:color w:val="auto"/>
                <w:sz w:val="21"/>
                <w:szCs w:val="21"/>
                <w:highlight w:val="none"/>
                <w:lang w:val="en-US" w:eastAsia="zh-CN"/>
              </w:rPr>
              <w:t xml:space="preserve"> 现有工程</w:t>
            </w:r>
            <w:r>
              <w:rPr>
                <w:rFonts w:hint="eastAsia" w:cs="Times New Roman"/>
                <w:b/>
                <w:bCs/>
                <w:i w:val="0"/>
                <w:iCs w:val="0"/>
                <w:color w:val="auto"/>
                <w:kern w:val="2"/>
                <w:sz w:val="21"/>
                <w:szCs w:val="21"/>
                <w:highlight w:val="none"/>
                <w:u w:val="none"/>
                <w:lang w:val="en-US" w:eastAsia="zh-CN" w:bidi="ar"/>
              </w:rPr>
              <w:t>甘氨酸亚铁项目</w:t>
            </w:r>
            <w:r>
              <w:rPr>
                <w:rFonts w:hint="default" w:ascii="Times New Roman" w:hAnsi="Times New Roman" w:eastAsia="宋体" w:cs="Times New Roman"/>
                <w:b/>
                <w:bCs/>
                <w:color w:val="auto"/>
                <w:sz w:val="21"/>
                <w:szCs w:val="21"/>
                <w:highlight w:val="none"/>
                <w:lang w:val="en-US" w:eastAsia="zh-CN"/>
              </w:rPr>
              <w:t>给排水平衡表   单位：m³/d</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4"/>
              <w:gridCol w:w="787"/>
              <w:gridCol w:w="824"/>
              <w:gridCol w:w="668"/>
              <w:gridCol w:w="679"/>
              <w:gridCol w:w="784"/>
              <w:gridCol w:w="705"/>
              <w:gridCol w:w="643"/>
              <w:gridCol w:w="600"/>
              <w:gridCol w:w="750"/>
              <w:gridCol w:w="1071"/>
            </w:tblGrid>
            <w:tr w14:paraId="1D07C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vMerge w:val="restart"/>
                  <w:noWrap w:val="0"/>
                  <w:vAlign w:val="center"/>
                </w:tcPr>
                <w:p w14:paraId="64E5F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bidi="ar"/>
                    </w:rPr>
                  </w:pPr>
                  <w:r>
                    <w:rPr>
                      <w:rFonts w:hint="default" w:ascii="Times New Roman" w:hAnsi="Times New Roman" w:eastAsia="宋体" w:cs="Times New Roman"/>
                      <w:color w:val="auto"/>
                      <w:sz w:val="21"/>
                      <w:szCs w:val="21"/>
                      <w:highlight w:val="none"/>
                      <w:lang w:bidi="ar"/>
                    </w:rPr>
                    <w:t>序号</w:t>
                  </w:r>
                </w:p>
              </w:tc>
              <w:tc>
                <w:tcPr>
                  <w:tcW w:w="495" w:type="pct"/>
                  <w:vMerge w:val="restart"/>
                  <w:noWrap w:val="0"/>
                  <w:vAlign w:val="center"/>
                </w:tcPr>
                <w:p w14:paraId="208AA4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用水单元</w:t>
                  </w:r>
                </w:p>
              </w:tc>
              <w:tc>
                <w:tcPr>
                  <w:tcW w:w="2306" w:type="pct"/>
                  <w:gridSpan w:val="5"/>
                  <w:noWrap w:val="0"/>
                  <w:vAlign w:val="center"/>
                </w:tcPr>
                <w:p w14:paraId="418AECC6">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给水</w:t>
                  </w:r>
                </w:p>
              </w:tc>
              <w:tc>
                <w:tcPr>
                  <w:tcW w:w="405" w:type="pct"/>
                  <w:vMerge w:val="restart"/>
                  <w:noWrap w:val="0"/>
                  <w:vAlign w:val="center"/>
                </w:tcPr>
                <w:p w14:paraId="4A5D13E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损耗量</w:t>
                  </w:r>
                </w:p>
              </w:tc>
              <w:tc>
                <w:tcPr>
                  <w:tcW w:w="850" w:type="pct"/>
                  <w:gridSpan w:val="2"/>
                  <w:noWrap w:val="0"/>
                  <w:vAlign w:val="center"/>
                </w:tcPr>
                <w:p w14:paraId="617F4E7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废水量</w:t>
                  </w:r>
                </w:p>
              </w:tc>
              <w:tc>
                <w:tcPr>
                  <w:tcW w:w="674" w:type="pct"/>
                  <w:vMerge w:val="restart"/>
                  <w:noWrap w:val="0"/>
                  <w:vAlign w:val="center"/>
                </w:tcPr>
                <w:p w14:paraId="7A7CB717">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排放去向</w:t>
                  </w:r>
                </w:p>
              </w:tc>
            </w:tr>
            <w:tr w14:paraId="55933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vMerge w:val="continue"/>
                  <w:noWrap w:val="0"/>
                  <w:vAlign w:val="center"/>
                </w:tcPr>
                <w:p w14:paraId="7C384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bidi="ar"/>
                    </w:rPr>
                  </w:pPr>
                </w:p>
              </w:tc>
              <w:tc>
                <w:tcPr>
                  <w:tcW w:w="495" w:type="pct"/>
                  <w:vMerge w:val="continue"/>
                  <w:noWrap w:val="0"/>
                  <w:vAlign w:val="center"/>
                </w:tcPr>
                <w:p w14:paraId="485AF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p>
              </w:tc>
              <w:tc>
                <w:tcPr>
                  <w:tcW w:w="519" w:type="pct"/>
                  <w:noWrap w:val="0"/>
                  <w:vAlign w:val="center"/>
                </w:tcPr>
                <w:p w14:paraId="661C9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总用水量</w:t>
                  </w:r>
                </w:p>
              </w:tc>
              <w:tc>
                <w:tcPr>
                  <w:tcW w:w="421" w:type="pct"/>
                  <w:noWrap w:val="0"/>
                  <w:vAlign w:val="center"/>
                </w:tcPr>
                <w:p w14:paraId="1FFC7C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新鲜水</w:t>
                  </w:r>
                </w:p>
              </w:tc>
              <w:tc>
                <w:tcPr>
                  <w:tcW w:w="428" w:type="pct"/>
                  <w:noWrap w:val="0"/>
                  <w:vAlign w:val="center"/>
                </w:tcPr>
                <w:p w14:paraId="0139C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串级水</w:t>
                  </w:r>
                </w:p>
              </w:tc>
              <w:tc>
                <w:tcPr>
                  <w:tcW w:w="494" w:type="pct"/>
                  <w:noWrap w:val="0"/>
                  <w:vAlign w:val="center"/>
                </w:tcPr>
                <w:p w14:paraId="41176B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原料带入/反应生成水</w:t>
                  </w:r>
                </w:p>
              </w:tc>
              <w:tc>
                <w:tcPr>
                  <w:tcW w:w="442" w:type="pct"/>
                  <w:noWrap w:val="0"/>
                  <w:vAlign w:val="center"/>
                </w:tcPr>
                <w:p w14:paraId="34958D1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循环水量</w:t>
                  </w:r>
                </w:p>
              </w:tc>
              <w:tc>
                <w:tcPr>
                  <w:tcW w:w="405" w:type="pct"/>
                  <w:vMerge w:val="continue"/>
                  <w:noWrap w:val="0"/>
                  <w:vAlign w:val="center"/>
                </w:tcPr>
                <w:p w14:paraId="2BF41321">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p>
              </w:tc>
              <w:tc>
                <w:tcPr>
                  <w:tcW w:w="378" w:type="pct"/>
                  <w:noWrap w:val="0"/>
                  <w:vAlign w:val="center"/>
                </w:tcPr>
                <w:p w14:paraId="39123782">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串级利用量</w:t>
                  </w:r>
                </w:p>
              </w:tc>
              <w:tc>
                <w:tcPr>
                  <w:tcW w:w="471" w:type="pct"/>
                  <w:noWrap w:val="0"/>
                  <w:vAlign w:val="center"/>
                </w:tcPr>
                <w:p w14:paraId="388E435E">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外排废水</w:t>
                  </w:r>
                </w:p>
              </w:tc>
              <w:tc>
                <w:tcPr>
                  <w:tcW w:w="674" w:type="pct"/>
                  <w:vMerge w:val="continue"/>
                  <w:noWrap w:val="0"/>
                  <w:vAlign w:val="center"/>
                </w:tcPr>
                <w:p w14:paraId="0F16D70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rPr>
                      <w:rFonts w:hint="default" w:ascii="Times New Roman" w:hAnsi="Times New Roman" w:eastAsia="宋体" w:cs="Times New Roman"/>
                      <w:color w:val="auto"/>
                      <w:spacing w:val="0"/>
                      <w:kern w:val="2"/>
                      <w:sz w:val="21"/>
                      <w:szCs w:val="21"/>
                      <w:highlight w:val="none"/>
                      <w:lang w:val="en-US" w:eastAsia="zh-CN" w:bidi="ar"/>
                    </w:rPr>
                  </w:pPr>
                </w:p>
              </w:tc>
            </w:tr>
            <w:tr w14:paraId="00D10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12EE0E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color w:val="auto"/>
                      <w:sz w:val="21"/>
                      <w:szCs w:val="21"/>
                      <w:highlight w:val="none"/>
                      <w:lang w:bidi="ar"/>
                    </w:rPr>
                    <w:t>1</w:t>
                  </w:r>
                </w:p>
              </w:tc>
              <w:tc>
                <w:tcPr>
                  <w:tcW w:w="495" w:type="pct"/>
                  <w:noWrap w:val="0"/>
                  <w:vAlign w:val="center"/>
                </w:tcPr>
                <w:p w14:paraId="71CCBBC2">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default" w:ascii="Times New Roman" w:hAnsi="Times New Roman" w:eastAsia="宋体" w:cs="Times New Roman"/>
                      <w:i w:val="0"/>
                      <w:iCs w:val="0"/>
                      <w:color w:val="auto"/>
                      <w:kern w:val="2"/>
                      <w:sz w:val="21"/>
                      <w:szCs w:val="21"/>
                      <w:highlight w:val="none"/>
                      <w:u w:val="none"/>
                      <w:lang w:val="en-US" w:eastAsia="zh-CN" w:bidi="ar"/>
                    </w:rPr>
                    <w:t>软水制备</w:t>
                  </w:r>
                </w:p>
              </w:tc>
              <w:tc>
                <w:tcPr>
                  <w:tcW w:w="519" w:type="pct"/>
                  <w:noWrap w:val="0"/>
                  <w:vAlign w:val="center"/>
                </w:tcPr>
                <w:p w14:paraId="3B40EC2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0.96</w:t>
                  </w:r>
                </w:p>
              </w:tc>
              <w:tc>
                <w:tcPr>
                  <w:tcW w:w="421" w:type="pct"/>
                  <w:noWrap w:val="0"/>
                  <w:vAlign w:val="center"/>
                </w:tcPr>
                <w:p w14:paraId="639BC1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0.96</w:t>
                  </w:r>
                </w:p>
              </w:tc>
              <w:tc>
                <w:tcPr>
                  <w:tcW w:w="428" w:type="pct"/>
                  <w:noWrap w:val="0"/>
                  <w:vAlign w:val="center"/>
                </w:tcPr>
                <w:p w14:paraId="5BB83F4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94" w:type="pct"/>
                  <w:noWrap w:val="0"/>
                  <w:vAlign w:val="center"/>
                </w:tcPr>
                <w:p w14:paraId="3F23CE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2" w:type="pct"/>
                  <w:noWrap w:val="0"/>
                  <w:vAlign w:val="center"/>
                </w:tcPr>
                <w:p w14:paraId="21FD26F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5" w:type="pct"/>
                  <w:noWrap w:val="0"/>
                  <w:vAlign w:val="center"/>
                </w:tcPr>
                <w:p w14:paraId="00F8223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378" w:type="pct"/>
                  <w:noWrap w:val="0"/>
                  <w:vAlign w:val="center"/>
                </w:tcPr>
                <w:p w14:paraId="6F7182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0.77</w:t>
                  </w:r>
                </w:p>
              </w:tc>
              <w:tc>
                <w:tcPr>
                  <w:tcW w:w="471" w:type="pct"/>
                  <w:noWrap w:val="0"/>
                  <w:vAlign w:val="center"/>
                </w:tcPr>
                <w:p w14:paraId="0127000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0.19</w:t>
                  </w:r>
                </w:p>
              </w:tc>
              <w:tc>
                <w:tcPr>
                  <w:tcW w:w="674" w:type="pct"/>
                  <w:vMerge w:val="restart"/>
                  <w:noWrap w:val="0"/>
                  <w:vAlign w:val="center"/>
                </w:tcPr>
                <w:p w14:paraId="1023495B">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color w:val="auto"/>
                      <w:spacing w:val="0"/>
                      <w:kern w:val="2"/>
                      <w:sz w:val="21"/>
                      <w:szCs w:val="21"/>
                      <w:highlight w:val="none"/>
                      <w:lang w:val="en-US" w:eastAsia="zh-CN" w:bidi="ar"/>
                    </w:rPr>
                    <w:t>送厂综合污水处理站，处理达标后经园区污水管网排入</w:t>
                  </w:r>
                  <w:r>
                    <w:rPr>
                      <w:rFonts w:hint="eastAsia" w:cs="Times New Roman"/>
                      <w:color w:val="auto"/>
                      <w:spacing w:val="0"/>
                      <w:kern w:val="2"/>
                      <w:sz w:val="21"/>
                      <w:szCs w:val="21"/>
                      <w:highlight w:val="none"/>
                      <w:lang w:val="en-US" w:eastAsia="zh-CN" w:bidi="ar"/>
                    </w:rPr>
                    <w:t>石家庄高新区循化环境水务有限公司（良村南污水处理厂）</w:t>
                  </w:r>
                </w:p>
              </w:tc>
            </w:tr>
            <w:tr w14:paraId="359F7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267" w:type="pct"/>
                  <w:vMerge w:val="restart"/>
                  <w:noWrap w:val="0"/>
                  <w:vAlign w:val="center"/>
                </w:tcPr>
                <w:p w14:paraId="5A30FA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2</w:t>
                  </w:r>
                </w:p>
              </w:tc>
              <w:tc>
                <w:tcPr>
                  <w:tcW w:w="495" w:type="pct"/>
                  <w:noWrap w:val="0"/>
                  <w:vAlign w:val="center"/>
                </w:tcPr>
                <w:p w14:paraId="3C98D7F0">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eastAsia" w:cs="Times New Roman"/>
                      <w:i w:val="0"/>
                      <w:iCs w:val="0"/>
                      <w:color w:val="auto"/>
                      <w:kern w:val="2"/>
                      <w:sz w:val="21"/>
                      <w:szCs w:val="21"/>
                      <w:highlight w:val="none"/>
                      <w:u w:val="none"/>
                      <w:lang w:val="en-US" w:eastAsia="zh-CN" w:bidi="ar"/>
                    </w:rPr>
                    <w:t>生产用水</w:t>
                  </w:r>
                </w:p>
              </w:tc>
              <w:tc>
                <w:tcPr>
                  <w:tcW w:w="519" w:type="pct"/>
                  <w:noWrap w:val="0"/>
                  <w:vAlign w:val="center"/>
                </w:tcPr>
                <w:p w14:paraId="69D570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r>
                    <w:rPr>
                      <w:rFonts w:hint="eastAsia" w:cs="Times New Roman"/>
                      <w:i w:val="0"/>
                      <w:iCs w:val="0"/>
                      <w:color w:val="auto"/>
                      <w:kern w:val="0"/>
                      <w:sz w:val="21"/>
                      <w:szCs w:val="21"/>
                      <w:highlight w:val="none"/>
                      <w:u w:val="none"/>
                      <w:lang w:val="en-US" w:eastAsia="zh-CN" w:bidi="ar"/>
                    </w:rPr>
                    <w:t>67</w:t>
                  </w:r>
                </w:p>
              </w:tc>
              <w:tc>
                <w:tcPr>
                  <w:tcW w:w="421" w:type="pct"/>
                  <w:noWrap w:val="0"/>
                  <w:vAlign w:val="center"/>
                </w:tcPr>
                <w:p w14:paraId="5D552E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28" w:type="pct"/>
                  <w:noWrap w:val="0"/>
                  <w:vAlign w:val="center"/>
                </w:tcPr>
                <w:p w14:paraId="4507E42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0.67</w:t>
                  </w:r>
                </w:p>
              </w:tc>
              <w:tc>
                <w:tcPr>
                  <w:tcW w:w="494" w:type="pct"/>
                  <w:noWrap w:val="0"/>
                  <w:vAlign w:val="center"/>
                </w:tcPr>
                <w:p w14:paraId="31BBE0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i w:val="0"/>
                      <w:iCs w:val="0"/>
                      <w:color w:val="auto"/>
                      <w:kern w:val="2"/>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442" w:type="pct"/>
                  <w:noWrap w:val="0"/>
                  <w:vAlign w:val="center"/>
                </w:tcPr>
                <w:p w14:paraId="3133A8D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5" w:type="pct"/>
                  <w:noWrap w:val="0"/>
                  <w:vAlign w:val="center"/>
                </w:tcPr>
                <w:p w14:paraId="1CE07C4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r>
                    <w:rPr>
                      <w:rFonts w:hint="eastAsia" w:cs="Times New Roman"/>
                      <w:i w:val="0"/>
                      <w:iCs w:val="0"/>
                      <w:color w:val="auto"/>
                      <w:kern w:val="0"/>
                      <w:sz w:val="21"/>
                      <w:szCs w:val="21"/>
                      <w:highlight w:val="none"/>
                      <w:u w:val="none"/>
                      <w:lang w:val="en-US" w:eastAsia="zh-CN" w:bidi="ar"/>
                    </w:rPr>
                    <w:t>03</w:t>
                  </w:r>
                </w:p>
              </w:tc>
              <w:tc>
                <w:tcPr>
                  <w:tcW w:w="378" w:type="pct"/>
                  <w:noWrap w:val="0"/>
                  <w:vAlign w:val="center"/>
                </w:tcPr>
                <w:p w14:paraId="24FE49D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r>
                    <w:rPr>
                      <w:rFonts w:hint="eastAsia" w:cs="Times New Roman"/>
                      <w:i w:val="0"/>
                      <w:iCs w:val="0"/>
                      <w:color w:val="auto"/>
                      <w:kern w:val="0"/>
                      <w:sz w:val="21"/>
                      <w:szCs w:val="21"/>
                      <w:highlight w:val="none"/>
                      <w:u w:val="none"/>
                      <w:lang w:val="en-US" w:eastAsia="zh-CN" w:bidi="ar"/>
                    </w:rPr>
                    <w:t>6</w:t>
                  </w:r>
                  <w:r>
                    <w:rPr>
                      <w:rFonts w:hint="default" w:ascii="Times New Roman" w:hAnsi="Times New Roman" w:eastAsia="宋体" w:cs="Times New Roman"/>
                      <w:i w:val="0"/>
                      <w:iCs w:val="0"/>
                      <w:color w:val="auto"/>
                      <w:kern w:val="0"/>
                      <w:sz w:val="21"/>
                      <w:szCs w:val="21"/>
                      <w:highlight w:val="none"/>
                      <w:u w:val="none"/>
                      <w:lang w:val="en-US" w:eastAsia="zh-CN" w:bidi="ar"/>
                    </w:rPr>
                    <w:t>4</w:t>
                  </w:r>
                </w:p>
              </w:tc>
              <w:tc>
                <w:tcPr>
                  <w:tcW w:w="471" w:type="pct"/>
                  <w:noWrap w:val="0"/>
                  <w:vAlign w:val="center"/>
                </w:tcPr>
                <w:p w14:paraId="1703A1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74" w:type="pct"/>
                  <w:vMerge w:val="continue"/>
                  <w:noWrap w:val="0"/>
                  <w:vAlign w:val="center"/>
                </w:tcPr>
                <w:p w14:paraId="52C0B20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7C0B9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267" w:type="pct"/>
                  <w:vMerge w:val="continue"/>
                  <w:noWrap w:val="0"/>
                  <w:vAlign w:val="center"/>
                </w:tcPr>
                <w:p w14:paraId="63B1D9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p>
              </w:tc>
              <w:tc>
                <w:tcPr>
                  <w:tcW w:w="495" w:type="pct"/>
                  <w:noWrap w:val="0"/>
                  <w:vAlign w:val="center"/>
                </w:tcPr>
                <w:p w14:paraId="303E0559">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eastAsia" w:cs="Times New Roman"/>
                      <w:i w:val="0"/>
                      <w:iCs w:val="0"/>
                      <w:color w:val="auto"/>
                      <w:kern w:val="2"/>
                      <w:sz w:val="21"/>
                      <w:szCs w:val="21"/>
                      <w:highlight w:val="none"/>
                      <w:u w:val="none"/>
                      <w:lang w:val="en-US" w:eastAsia="zh-CN" w:bidi="ar"/>
                    </w:rPr>
                    <w:t>设备冲洗</w:t>
                  </w:r>
                </w:p>
              </w:tc>
              <w:tc>
                <w:tcPr>
                  <w:tcW w:w="519" w:type="pct"/>
                  <w:noWrap w:val="0"/>
                  <w:vAlign w:val="center"/>
                </w:tcPr>
                <w:p w14:paraId="2DCCE6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w:t>
                  </w:r>
                </w:p>
              </w:tc>
              <w:tc>
                <w:tcPr>
                  <w:tcW w:w="421" w:type="pct"/>
                  <w:noWrap w:val="0"/>
                  <w:vAlign w:val="center"/>
                </w:tcPr>
                <w:p w14:paraId="53C8D04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28" w:type="pct"/>
                  <w:noWrap w:val="0"/>
                  <w:vAlign w:val="center"/>
                </w:tcPr>
                <w:p w14:paraId="54F83B7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w:t>
                  </w:r>
                </w:p>
              </w:tc>
              <w:tc>
                <w:tcPr>
                  <w:tcW w:w="494" w:type="pct"/>
                  <w:noWrap w:val="0"/>
                  <w:vAlign w:val="center"/>
                </w:tcPr>
                <w:p w14:paraId="6A9605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2" w:type="pct"/>
                  <w:noWrap w:val="0"/>
                  <w:vAlign w:val="center"/>
                </w:tcPr>
                <w:p w14:paraId="5A648D5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5" w:type="pct"/>
                  <w:noWrap w:val="0"/>
                  <w:vAlign w:val="center"/>
                </w:tcPr>
                <w:p w14:paraId="5F2870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0.02</w:t>
                  </w:r>
                </w:p>
              </w:tc>
              <w:tc>
                <w:tcPr>
                  <w:tcW w:w="378" w:type="pct"/>
                  <w:noWrap w:val="0"/>
                  <w:vAlign w:val="center"/>
                </w:tcPr>
                <w:p w14:paraId="164DE3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71" w:type="pct"/>
                  <w:noWrap w:val="0"/>
                  <w:vAlign w:val="center"/>
                </w:tcPr>
                <w:p w14:paraId="3D91777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0.08</w:t>
                  </w:r>
                </w:p>
              </w:tc>
              <w:tc>
                <w:tcPr>
                  <w:tcW w:w="674" w:type="pct"/>
                  <w:vMerge w:val="continue"/>
                  <w:noWrap w:val="0"/>
                  <w:vAlign w:val="center"/>
                </w:tcPr>
                <w:p w14:paraId="22CB92D9">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5D9D3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2B36C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3</w:t>
                  </w:r>
                </w:p>
              </w:tc>
              <w:tc>
                <w:tcPr>
                  <w:tcW w:w="495" w:type="pct"/>
                  <w:noWrap w:val="0"/>
                  <w:vAlign w:val="center"/>
                </w:tcPr>
                <w:p w14:paraId="7F4F19C5">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eastAsia" w:cs="Times New Roman"/>
                      <w:i w:val="0"/>
                      <w:iCs w:val="0"/>
                      <w:color w:val="auto"/>
                      <w:kern w:val="2"/>
                      <w:sz w:val="21"/>
                      <w:szCs w:val="21"/>
                      <w:highlight w:val="none"/>
                      <w:u w:val="none"/>
                      <w:lang w:val="en-US" w:eastAsia="zh-CN" w:bidi="ar"/>
                    </w:rPr>
                    <w:t>废气治理系统</w:t>
                  </w:r>
                </w:p>
              </w:tc>
              <w:tc>
                <w:tcPr>
                  <w:tcW w:w="519" w:type="pct"/>
                  <w:noWrap w:val="0"/>
                  <w:vAlign w:val="center"/>
                </w:tcPr>
                <w:p w14:paraId="202C77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70.83</w:t>
                  </w:r>
                </w:p>
              </w:tc>
              <w:tc>
                <w:tcPr>
                  <w:tcW w:w="421" w:type="pct"/>
                  <w:noWrap w:val="0"/>
                  <w:vAlign w:val="center"/>
                </w:tcPr>
                <w:p w14:paraId="2E2D50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0.17</w:t>
                  </w:r>
                </w:p>
              </w:tc>
              <w:tc>
                <w:tcPr>
                  <w:tcW w:w="428" w:type="pct"/>
                  <w:noWrap w:val="0"/>
                  <w:vAlign w:val="center"/>
                </w:tcPr>
                <w:p w14:paraId="151D4E0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r>
                    <w:rPr>
                      <w:rFonts w:hint="eastAsia" w:cs="Times New Roman"/>
                      <w:i w:val="0"/>
                      <w:iCs w:val="0"/>
                      <w:color w:val="auto"/>
                      <w:kern w:val="0"/>
                      <w:sz w:val="21"/>
                      <w:szCs w:val="21"/>
                      <w:highlight w:val="none"/>
                      <w:u w:val="none"/>
                      <w:lang w:val="en-US" w:eastAsia="zh-CN" w:bidi="ar"/>
                    </w:rPr>
                    <w:t>64</w:t>
                  </w:r>
                </w:p>
              </w:tc>
              <w:tc>
                <w:tcPr>
                  <w:tcW w:w="494" w:type="pct"/>
                  <w:noWrap w:val="0"/>
                  <w:vAlign w:val="center"/>
                </w:tcPr>
                <w:p w14:paraId="108468A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w:t>
                  </w:r>
                  <w:r>
                    <w:rPr>
                      <w:rFonts w:hint="eastAsia" w:cs="Times New Roman"/>
                      <w:i w:val="0"/>
                      <w:iCs w:val="0"/>
                      <w:color w:val="auto"/>
                      <w:kern w:val="0"/>
                      <w:sz w:val="21"/>
                      <w:szCs w:val="21"/>
                      <w:highlight w:val="none"/>
                      <w:u w:val="none"/>
                      <w:lang w:val="en-US" w:eastAsia="zh-CN" w:bidi="ar"/>
                    </w:rPr>
                    <w:t>2</w:t>
                  </w:r>
                </w:p>
              </w:tc>
              <w:tc>
                <w:tcPr>
                  <w:tcW w:w="442" w:type="pct"/>
                  <w:noWrap w:val="0"/>
                  <w:vAlign w:val="center"/>
                </w:tcPr>
                <w:p w14:paraId="3B9A85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0"/>
                      <w:szCs w:val="20"/>
                      <w:highlight w:val="none"/>
                      <w:u w:val="none"/>
                      <w:lang w:val="en-US" w:eastAsia="zh-CN" w:bidi="ar"/>
                    </w:rPr>
                  </w:pPr>
                  <w:r>
                    <w:rPr>
                      <w:rFonts w:hint="eastAsia" w:cs="Times New Roman"/>
                      <w:i w:val="0"/>
                      <w:iCs w:val="0"/>
                      <w:color w:val="auto"/>
                      <w:kern w:val="0"/>
                      <w:sz w:val="21"/>
                      <w:szCs w:val="21"/>
                      <w:highlight w:val="none"/>
                      <w:u w:val="none"/>
                      <w:lang w:val="en-US" w:eastAsia="zh-CN" w:bidi="ar"/>
                    </w:rPr>
                    <w:t>70</w:t>
                  </w:r>
                </w:p>
              </w:tc>
              <w:tc>
                <w:tcPr>
                  <w:tcW w:w="405" w:type="pct"/>
                  <w:noWrap w:val="0"/>
                  <w:vAlign w:val="center"/>
                </w:tcPr>
                <w:p w14:paraId="3BD2A0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eastAsia" w:cs="Times New Roman"/>
                      <w:i w:val="0"/>
                      <w:iCs w:val="0"/>
                      <w:color w:val="0000FF"/>
                      <w:kern w:val="0"/>
                      <w:sz w:val="21"/>
                      <w:szCs w:val="21"/>
                      <w:highlight w:val="none"/>
                      <w:u w:val="none"/>
                      <w:lang w:val="en-US" w:eastAsia="zh-CN" w:bidi="ar"/>
                    </w:rPr>
                    <w:t>0.35</w:t>
                  </w:r>
                </w:p>
              </w:tc>
              <w:tc>
                <w:tcPr>
                  <w:tcW w:w="378" w:type="pct"/>
                  <w:noWrap w:val="0"/>
                  <w:vAlign w:val="center"/>
                </w:tcPr>
                <w:p w14:paraId="7C2D89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0</w:t>
                  </w:r>
                </w:p>
              </w:tc>
              <w:tc>
                <w:tcPr>
                  <w:tcW w:w="471" w:type="pct"/>
                  <w:noWrap w:val="0"/>
                  <w:vAlign w:val="center"/>
                </w:tcPr>
                <w:p w14:paraId="65244E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0000FF"/>
                      <w:kern w:val="0"/>
                      <w:sz w:val="20"/>
                      <w:szCs w:val="20"/>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0.</w:t>
                  </w:r>
                  <w:r>
                    <w:rPr>
                      <w:rFonts w:hint="eastAsia" w:cs="Times New Roman"/>
                      <w:i w:val="0"/>
                      <w:iCs w:val="0"/>
                      <w:color w:val="0000FF"/>
                      <w:kern w:val="0"/>
                      <w:sz w:val="21"/>
                      <w:szCs w:val="21"/>
                      <w:highlight w:val="none"/>
                      <w:u w:val="none"/>
                      <w:lang w:val="en-US" w:eastAsia="zh-CN" w:bidi="ar"/>
                    </w:rPr>
                    <w:t>48</w:t>
                  </w:r>
                </w:p>
              </w:tc>
              <w:tc>
                <w:tcPr>
                  <w:tcW w:w="674" w:type="pct"/>
                  <w:vMerge w:val="continue"/>
                  <w:noWrap w:val="0"/>
                  <w:vAlign w:val="center"/>
                </w:tcPr>
                <w:p w14:paraId="51CC4CC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35433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57B87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4</w:t>
                  </w:r>
                </w:p>
              </w:tc>
              <w:tc>
                <w:tcPr>
                  <w:tcW w:w="495" w:type="pct"/>
                  <w:noWrap w:val="0"/>
                  <w:vAlign w:val="center"/>
                </w:tcPr>
                <w:p w14:paraId="2F2DD74B">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2"/>
                      <w:sz w:val="21"/>
                      <w:szCs w:val="21"/>
                      <w:highlight w:val="none"/>
                      <w:u w:val="none"/>
                      <w:lang w:val="en-US" w:eastAsia="zh-CN" w:bidi="ar"/>
                    </w:rPr>
                    <w:t>循环冷却水系统</w:t>
                  </w:r>
                </w:p>
              </w:tc>
              <w:tc>
                <w:tcPr>
                  <w:tcW w:w="519" w:type="pct"/>
                  <w:noWrap w:val="0"/>
                  <w:vAlign w:val="center"/>
                </w:tcPr>
                <w:p w14:paraId="23942D5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87.69</w:t>
                  </w:r>
                </w:p>
              </w:tc>
              <w:tc>
                <w:tcPr>
                  <w:tcW w:w="421" w:type="pct"/>
                  <w:noWrap w:val="0"/>
                  <w:vAlign w:val="center"/>
                </w:tcPr>
                <w:p w14:paraId="2564782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1.29</w:t>
                  </w:r>
                </w:p>
              </w:tc>
              <w:tc>
                <w:tcPr>
                  <w:tcW w:w="428" w:type="pct"/>
                  <w:noWrap w:val="0"/>
                  <w:vAlign w:val="center"/>
                </w:tcPr>
                <w:p w14:paraId="1E299C7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94" w:type="pct"/>
                  <w:noWrap w:val="0"/>
                  <w:vAlign w:val="center"/>
                </w:tcPr>
                <w:p w14:paraId="54B116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2" w:type="pct"/>
                  <w:noWrap w:val="0"/>
                  <w:vAlign w:val="center"/>
                </w:tcPr>
                <w:p w14:paraId="6B27802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86.4</w:t>
                  </w:r>
                </w:p>
              </w:tc>
              <w:tc>
                <w:tcPr>
                  <w:tcW w:w="405" w:type="pct"/>
                  <w:noWrap w:val="0"/>
                  <w:vAlign w:val="center"/>
                </w:tcPr>
                <w:p w14:paraId="688BDE6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0.86</w:t>
                  </w:r>
                </w:p>
              </w:tc>
              <w:tc>
                <w:tcPr>
                  <w:tcW w:w="378" w:type="pct"/>
                  <w:noWrap w:val="0"/>
                  <w:vAlign w:val="center"/>
                </w:tcPr>
                <w:p w14:paraId="3D2C081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71" w:type="pct"/>
                  <w:noWrap w:val="0"/>
                  <w:vAlign w:val="center"/>
                </w:tcPr>
                <w:p w14:paraId="769A34E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0"/>
                      <w:szCs w:val="20"/>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0.43</w:t>
                  </w:r>
                </w:p>
              </w:tc>
              <w:tc>
                <w:tcPr>
                  <w:tcW w:w="674" w:type="pct"/>
                  <w:vMerge w:val="continue"/>
                  <w:noWrap w:val="0"/>
                  <w:vAlign w:val="center"/>
                </w:tcPr>
                <w:p w14:paraId="70A3244C">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6EB39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042B87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5</w:t>
                  </w:r>
                </w:p>
              </w:tc>
              <w:tc>
                <w:tcPr>
                  <w:tcW w:w="495" w:type="pct"/>
                  <w:noWrap w:val="0"/>
                  <w:vAlign w:val="center"/>
                </w:tcPr>
                <w:p w14:paraId="3E8CD66C">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生活用水</w:t>
                  </w:r>
                </w:p>
              </w:tc>
              <w:tc>
                <w:tcPr>
                  <w:tcW w:w="519" w:type="pct"/>
                  <w:noWrap w:val="0"/>
                  <w:vAlign w:val="center"/>
                </w:tcPr>
                <w:p w14:paraId="1F4CD61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1.54</w:t>
                  </w:r>
                </w:p>
              </w:tc>
              <w:tc>
                <w:tcPr>
                  <w:tcW w:w="421" w:type="pct"/>
                  <w:noWrap w:val="0"/>
                  <w:vAlign w:val="center"/>
                </w:tcPr>
                <w:p w14:paraId="266703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1.54</w:t>
                  </w:r>
                </w:p>
              </w:tc>
              <w:tc>
                <w:tcPr>
                  <w:tcW w:w="428" w:type="pct"/>
                  <w:noWrap w:val="0"/>
                  <w:vAlign w:val="center"/>
                </w:tcPr>
                <w:p w14:paraId="3326ECC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94" w:type="pct"/>
                  <w:noWrap w:val="0"/>
                  <w:vAlign w:val="center"/>
                </w:tcPr>
                <w:p w14:paraId="0619A5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2" w:type="pct"/>
                  <w:noWrap w:val="0"/>
                  <w:vAlign w:val="center"/>
                </w:tcPr>
                <w:p w14:paraId="7908C8B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5" w:type="pct"/>
                  <w:noWrap w:val="0"/>
                  <w:vAlign w:val="center"/>
                </w:tcPr>
                <w:p w14:paraId="71F78A2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0.31</w:t>
                  </w:r>
                </w:p>
              </w:tc>
              <w:tc>
                <w:tcPr>
                  <w:tcW w:w="378" w:type="pct"/>
                  <w:noWrap w:val="0"/>
                  <w:vAlign w:val="center"/>
                </w:tcPr>
                <w:p w14:paraId="7029A77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71" w:type="pct"/>
                  <w:noWrap w:val="0"/>
                  <w:vAlign w:val="center"/>
                </w:tcPr>
                <w:p w14:paraId="1201748F">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1.23</w:t>
                  </w:r>
                </w:p>
              </w:tc>
              <w:tc>
                <w:tcPr>
                  <w:tcW w:w="674" w:type="pct"/>
                  <w:vMerge w:val="continue"/>
                  <w:noWrap w:val="0"/>
                  <w:vAlign w:val="center"/>
                </w:tcPr>
                <w:p w14:paraId="75DE5B3F">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42916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67" w:type="pct"/>
                  <w:noWrap w:val="0"/>
                  <w:vAlign w:val="center"/>
                </w:tcPr>
                <w:p w14:paraId="1A6D9B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lang w:val="en-US" w:eastAsia="zh-CN" w:bidi="ar"/>
                    </w:rPr>
                  </w:pPr>
                  <w:r>
                    <w:rPr>
                      <w:rFonts w:hint="eastAsia" w:cs="Times New Roman"/>
                      <w:color w:val="auto"/>
                      <w:sz w:val="21"/>
                      <w:szCs w:val="21"/>
                      <w:highlight w:val="none"/>
                      <w:lang w:val="en-US" w:eastAsia="zh-CN" w:bidi="ar"/>
                    </w:rPr>
                    <w:t>6</w:t>
                  </w:r>
                </w:p>
              </w:tc>
              <w:tc>
                <w:tcPr>
                  <w:tcW w:w="495" w:type="pct"/>
                  <w:noWrap w:val="0"/>
                  <w:vAlign w:val="center"/>
                </w:tcPr>
                <w:p w14:paraId="50D6B877">
                  <w:pPr>
                    <w:keepNext w:val="0"/>
                    <w:keepLines w:val="0"/>
                    <w:pageBreakBefore w:val="0"/>
                    <w:widowControl w:val="0"/>
                    <w:suppressLineNumbers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i w:val="0"/>
                      <w:iCs w:val="0"/>
                      <w:color w:val="auto"/>
                      <w:kern w:val="2"/>
                      <w:sz w:val="21"/>
                      <w:szCs w:val="21"/>
                      <w:highlight w:val="none"/>
                      <w:u w:val="none"/>
                      <w:lang w:val="en-US" w:eastAsia="zh-CN" w:bidi="ar"/>
                    </w:rPr>
                  </w:pPr>
                  <w:r>
                    <w:rPr>
                      <w:rFonts w:hint="default" w:ascii="Times New Roman" w:hAnsi="Times New Roman" w:eastAsia="宋体" w:cs="Times New Roman"/>
                      <w:b w:val="0"/>
                      <w:bCs/>
                      <w:color w:val="auto"/>
                      <w:kern w:val="2"/>
                      <w:sz w:val="21"/>
                      <w:szCs w:val="21"/>
                      <w:highlight w:val="none"/>
                      <w:lang w:val="en-US" w:eastAsia="zh-CN" w:bidi="ar-SA"/>
                    </w:rPr>
                    <w:t>车间</w:t>
                  </w:r>
                  <w:r>
                    <w:rPr>
                      <w:rFonts w:hint="eastAsia" w:cs="Times New Roman"/>
                      <w:b w:val="0"/>
                      <w:bCs/>
                      <w:color w:val="auto"/>
                      <w:kern w:val="2"/>
                      <w:sz w:val="21"/>
                      <w:szCs w:val="21"/>
                      <w:highlight w:val="none"/>
                      <w:lang w:val="en-US" w:eastAsia="zh-CN" w:bidi="ar-SA"/>
                    </w:rPr>
                    <w:t>地面冲洗</w:t>
                  </w:r>
                </w:p>
              </w:tc>
              <w:tc>
                <w:tcPr>
                  <w:tcW w:w="519" w:type="pct"/>
                  <w:noWrap w:val="0"/>
                  <w:vAlign w:val="center"/>
                </w:tcPr>
                <w:p w14:paraId="153D719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w:t>
                  </w:r>
                </w:p>
              </w:tc>
              <w:tc>
                <w:tcPr>
                  <w:tcW w:w="421" w:type="pct"/>
                  <w:noWrap w:val="0"/>
                  <w:vAlign w:val="center"/>
                </w:tcPr>
                <w:p w14:paraId="3084454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w:t>
                  </w:r>
                </w:p>
              </w:tc>
              <w:tc>
                <w:tcPr>
                  <w:tcW w:w="428" w:type="pct"/>
                  <w:noWrap w:val="0"/>
                  <w:vAlign w:val="center"/>
                </w:tcPr>
                <w:p w14:paraId="3086787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94" w:type="pct"/>
                  <w:noWrap w:val="0"/>
                  <w:vAlign w:val="center"/>
                </w:tcPr>
                <w:p w14:paraId="2402D3F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42" w:type="pct"/>
                  <w:noWrap w:val="0"/>
                  <w:vAlign w:val="center"/>
                </w:tcPr>
                <w:p w14:paraId="0381292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05" w:type="pct"/>
                  <w:noWrap w:val="0"/>
                  <w:vAlign w:val="center"/>
                </w:tcPr>
                <w:p w14:paraId="3C9AB3B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0.4</w:t>
                  </w:r>
                </w:p>
              </w:tc>
              <w:tc>
                <w:tcPr>
                  <w:tcW w:w="378" w:type="pct"/>
                  <w:noWrap w:val="0"/>
                  <w:vAlign w:val="center"/>
                </w:tcPr>
                <w:p w14:paraId="06D434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471" w:type="pct"/>
                  <w:noWrap w:val="0"/>
                  <w:vAlign w:val="center"/>
                </w:tcPr>
                <w:p w14:paraId="6DAEE1D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spacing w:val="0"/>
                      <w:kern w:val="2"/>
                      <w:sz w:val="21"/>
                      <w:szCs w:val="21"/>
                      <w:highlight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1.6</w:t>
                  </w:r>
                </w:p>
              </w:tc>
              <w:tc>
                <w:tcPr>
                  <w:tcW w:w="674" w:type="pct"/>
                  <w:vMerge w:val="continue"/>
                  <w:noWrap w:val="0"/>
                  <w:vAlign w:val="center"/>
                </w:tcPr>
                <w:p w14:paraId="42BF1ED0">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0"/>
                      <w:kern w:val="2"/>
                      <w:sz w:val="21"/>
                      <w:szCs w:val="21"/>
                      <w:highlight w:val="none"/>
                      <w:lang w:val="en-US" w:eastAsia="zh-CN" w:bidi="ar"/>
                    </w:rPr>
                  </w:pPr>
                </w:p>
              </w:tc>
            </w:tr>
            <w:tr w14:paraId="7F46C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63" w:type="pct"/>
                  <w:gridSpan w:val="2"/>
                  <w:noWrap w:val="0"/>
                  <w:vAlign w:val="center"/>
                </w:tcPr>
                <w:p w14:paraId="678AF5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bidi="ar"/>
                    </w:rPr>
                  </w:pPr>
                  <w:r>
                    <w:rPr>
                      <w:rFonts w:hint="default" w:ascii="Times New Roman" w:hAnsi="Times New Roman" w:eastAsia="宋体" w:cs="Times New Roman"/>
                      <w:color w:val="auto"/>
                      <w:sz w:val="21"/>
                      <w:szCs w:val="21"/>
                      <w:highlight w:val="none"/>
                      <w:lang w:val="en-US" w:eastAsia="zh-CN" w:bidi="ar"/>
                    </w:rPr>
                    <w:t>合计</w:t>
                  </w:r>
                </w:p>
              </w:tc>
              <w:tc>
                <w:tcPr>
                  <w:tcW w:w="824" w:type="dxa"/>
                  <w:noWrap w:val="0"/>
                  <w:vAlign w:val="center"/>
                </w:tcPr>
                <w:p w14:paraId="6EAD6F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163.79</w:t>
                  </w:r>
                </w:p>
              </w:tc>
              <w:tc>
                <w:tcPr>
                  <w:tcW w:w="668" w:type="dxa"/>
                  <w:noWrap w:val="0"/>
                  <w:vAlign w:val="center"/>
                </w:tcPr>
                <w:p w14:paraId="5196B0F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5.96</w:t>
                  </w:r>
                </w:p>
              </w:tc>
              <w:tc>
                <w:tcPr>
                  <w:tcW w:w="679" w:type="dxa"/>
                  <w:noWrap w:val="0"/>
                  <w:vAlign w:val="center"/>
                </w:tcPr>
                <w:p w14:paraId="4F163B1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1.41</w:t>
                  </w:r>
                </w:p>
              </w:tc>
              <w:tc>
                <w:tcPr>
                  <w:tcW w:w="784" w:type="dxa"/>
                  <w:noWrap w:val="0"/>
                  <w:vAlign w:val="center"/>
                </w:tcPr>
                <w:p w14:paraId="69AB4EB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0.02</w:t>
                  </w:r>
                </w:p>
              </w:tc>
              <w:tc>
                <w:tcPr>
                  <w:tcW w:w="705" w:type="dxa"/>
                  <w:noWrap w:val="0"/>
                  <w:vAlign w:val="center"/>
                </w:tcPr>
                <w:p w14:paraId="2DCB2EF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156.4</w:t>
                  </w:r>
                </w:p>
              </w:tc>
              <w:tc>
                <w:tcPr>
                  <w:tcW w:w="643" w:type="dxa"/>
                  <w:noWrap w:val="0"/>
                  <w:vAlign w:val="center"/>
                </w:tcPr>
                <w:p w14:paraId="7DC819F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1.97</w:t>
                  </w:r>
                </w:p>
              </w:tc>
              <w:tc>
                <w:tcPr>
                  <w:tcW w:w="600" w:type="dxa"/>
                  <w:noWrap w:val="0"/>
                  <w:vAlign w:val="center"/>
                </w:tcPr>
                <w:p w14:paraId="504AB3E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1.41</w:t>
                  </w:r>
                </w:p>
              </w:tc>
              <w:tc>
                <w:tcPr>
                  <w:tcW w:w="750" w:type="dxa"/>
                  <w:noWrap w:val="0"/>
                  <w:vAlign w:val="center"/>
                </w:tcPr>
                <w:p w14:paraId="5A62EFA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4.01</w:t>
                  </w:r>
                </w:p>
              </w:tc>
              <w:tc>
                <w:tcPr>
                  <w:tcW w:w="674" w:type="pct"/>
                  <w:noWrap w:val="0"/>
                  <w:vAlign w:val="center"/>
                </w:tcPr>
                <w:p w14:paraId="34967E85">
                  <w:pPr>
                    <w:keepNext w:val="0"/>
                    <w:keepLines w:val="0"/>
                    <w:pageBreakBefore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val="en-US" w:eastAsia="zh-CN" w:bidi="ar"/>
                    </w:rPr>
                  </w:pPr>
                  <w:r>
                    <w:rPr>
                      <w:rFonts w:hint="default" w:ascii="Times New Roman" w:hAnsi="Times New Roman" w:eastAsia="宋体" w:cs="Times New Roman"/>
                      <w:color w:val="auto"/>
                      <w:sz w:val="21"/>
                      <w:szCs w:val="21"/>
                      <w:highlight w:val="none"/>
                      <w:lang w:val="en-US" w:eastAsia="zh-CN" w:bidi="ar"/>
                    </w:rPr>
                    <w:t>/</w:t>
                  </w:r>
                </w:p>
              </w:tc>
            </w:tr>
          </w:tbl>
          <w:p w14:paraId="6BBB18EB">
            <w:pPr>
              <w:rPr>
                <w:rFonts w:hint="default"/>
                <w:color w:val="auto"/>
                <w:highlight w:val="none"/>
                <w:lang w:val="en-US" w:eastAsia="zh-CN"/>
              </w:rPr>
            </w:pPr>
          </w:p>
          <w:p w14:paraId="2F1F5C50">
            <w:pPr>
              <w:pStyle w:val="2"/>
              <w:rPr>
                <w:rFonts w:hint="default"/>
                <w:color w:val="auto"/>
                <w:highlight w:val="none"/>
                <w:lang w:val="en-US" w:eastAsia="zh-CN"/>
              </w:rPr>
            </w:pPr>
          </w:p>
          <w:p w14:paraId="1F19A63F">
            <w:pPr>
              <w:pStyle w:val="2"/>
              <w:rPr>
                <w:rFonts w:hint="default"/>
                <w:color w:val="auto"/>
                <w:highlight w:val="none"/>
                <w:lang w:val="en-US" w:eastAsia="zh-CN"/>
              </w:rPr>
            </w:pPr>
          </w:p>
          <w:p w14:paraId="39A80F6F">
            <w:pPr>
              <w:pStyle w:val="2"/>
              <w:rPr>
                <w:rFonts w:hint="default"/>
                <w:color w:val="auto"/>
                <w:highlight w:val="none"/>
                <w:lang w:val="en-US" w:eastAsia="zh-CN"/>
              </w:rPr>
            </w:pPr>
          </w:p>
          <w:p w14:paraId="6446E7F4">
            <w:pPr>
              <w:pStyle w:val="2"/>
              <w:rPr>
                <w:rFonts w:hint="default"/>
                <w:color w:val="auto"/>
                <w:highlight w:val="none"/>
                <w:lang w:val="en-US" w:eastAsia="zh-CN"/>
              </w:rPr>
            </w:pPr>
          </w:p>
          <w:p w14:paraId="59019DB4">
            <w:pPr>
              <w:pStyle w:val="2"/>
              <w:rPr>
                <w:rFonts w:hint="default"/>
                <w:color w:val="auto"/>
                <w:highlight w:val="none"/>
                <w:lang w:val="en-US" w:eastAsia="zh-CN"/>
              </w:rPr>
            </w:pPr>
          </w:p>
          <w:p w14:paraId="65B58D3C">
            <w:pPr>
              <w:pStyle w:val="2"/>
              <w:rPr>
                <w:rFonts w:hint="default"/>
                <w:color w:val="auto"/>
                <w:highlight w:val="none"/>
                <w:lang w:val="en-US" w:eastAsia="zh-CN"/>
              </w:rPr>
            </w:pPr>
          </w:p>
          <w:p w14:paraId="3F52A07E">
            <w:pPr>
              <w:pStyle w:val="2"/>
              <w:rPr>
                <w:rFonts w:hint="default"/>
                <w:color w:val="auto"/>
                <w:highlight w:val="none"/>
                <w:lang w:val="en-US" w:eastAsia="zh-CN"/>
              </w:rPr>
            </w:pPr>
          </w:p>
          <w:p w14:paraId="46B09811">
            <w:pPr>
              <w:pStyle w:val="2"/>
              <w:rPr>
                <w:rFonts w:hint="default"/>
                <w:color w:val="auto"/>
                <w:highlight w:val="none"/>
                <w:lang w:val="en-US" w:eastAsia="zh-CN"/>
              </w:rPr>
            </w:pPr>
          </w:p>
          <w:p w14:paraId="6FC232CE">
            <w:pPr>
              <w:pStyle w:val="2"/>
              <w:rPr>
                <w:rFonts w:hint="default"/>
                <w:color w:val="auto"/>
                <w:highlight w:val="none"/>
                <w:lang w:val="en-US" w:eastAsia="zh-CN"/>
              </w:rPr>
            </w:pPr>
          </w:p>
          <w:p w14:paraId="1A22FA6F">
            <w:pPr>
              <w:pStyle w:val="2"/>
              <w:rPr>
                <w:rFonts w:hint="default"/>
                <w:color w:val="auto"/>
                <w:highlight w:val="none"/>
                <w:lang w:val="en-US" w:eastAsia="zh-CN"/>
              </w:rPr>
            </w:pPr>
          </w:p>
          <w:p w14:paraId="5502D470">
            <w:pPr>
              <w:rPr>
                <w:rFonts w:hint="default"/>
                <w:color w:val="auto"/>
                <w:highlight w:val="none"/>
                <w:lang w:val="en-US" w:eastAsia="zh-CN"/>
              </w:rPr>
            </w:pPr>
            <w:r>
              <w:rPr>
                <w:color w:val="auto"/>
                <w:sz w:val="21"/>
                <w:highlight w:val="none"/>
              </w:rPr>
              <mc:AlternateContent>
                <mc:Choice Requires="wpg">
                  <w:drawing>
                    <wp:anchor distT="0" distB="0" distL="114300" distR="114300" simplePos="0" relativeHeight="251669504" behindDoc="0" locked="0" layoutInCell="1" allowOverlap="1">
                      <wp:simplePos x="0" y="0"/>
                      <wp:positionH relativeFrom="column">
                        <wp:posOffset>-99695</wp:posOffset>
                      </wp:positionH>
                      <wp:positionV relativeFrom="paragraph">
                        <wp:posOffset>-248920</wp:posOffset>
                      </wp:positionV>
                      <wp:extent cx="5093970" cy="3826510"/>
                      <wp:effectExtent l="0" t="0" r="11430" b="21590"/>
                      <wp:wrapNone/>
                      <wp:docPr id="341" name="组合 341"/>
                      <wp:cNvGraphicFramePr/>
                      <a:graphic xmlns:a="http://schemas.openxmlformats.org/drawingml/2006/main">
                        <a:graphicData uri="http://schemas.microsoft.com/office/word/2010/wordprocessingGroup">
                          <wpg:wgp>
                            <wpg:cNvGrpSpPr/>
                            <wpg:grpSpPr>
                              <a:xfrm>
                                <a:off x="0" y="0"/>
                                <a:ext cx="5093970" cy="3826510"/>
                                <a:chOff x="2857" y="669744"/>
                                <a:chExt cx="8022" cy="6026"/>
                              </a:xfrm>
                            </wpg:grpSpPr>
                            <wps:wsp>
                              <wps:cNvPr id="178" name="流程图: 过程 33"/>
                              <wps:cNvSpPr/>
                              <wps:spPr>
                                <a:xfrm>
                                  <a:off x="7840" y="675245"/>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306D9F7">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1.23</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42" name="组合 258"/>
                              <wpg:cNvGrpSpPr/>
                              <wpg:grpSpPr>
                                <a:xfrm>
                                  <a:off x="2857" y="669744"/>
                                  <a:ext cx="8022" cy="6026"/>
                                  <a:chOff x="2857" y="669744"/>
                                  <a:chExt cx="8022" cy="6026"/>
                                </a:xfrm>
                              </wpg:grpSpPr>
                              <wps:wsp>
                                <wps:cNvPr id="166" name="流程图: 过程 33"/>
                                <wps:cNvSpPr/>
                                <wps:spPr>
                                  <a:xfrm>
                                    <a:off x="4100" y="675205"/>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A48F171">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1.54</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43" name="组合 257"/>
                                <wpg:cNvGrpSpPr/>
                                <wpg:grpSpPr>
                                  <a:xfrm>
                                    <a:off x="2857" y="669744"/>
                                    <a:ext cx="8022" cy="6026"/>
                                    <a:chOff x="2857" y="669744"/>
                                    <a:chExt cx="8022" cy="6026"/>
                                  </a:xfrm>
                                </wpg:grpSpPr>
                                <wps:wsp>
                                  <wps:cNvPr id="90" name="流程图: 过程 48"/>
                                  <wps:cNvSpPr/>
                                  <wps:spPr>
                                    <a:xfrm>
                                      <a:off x="8642" y="672157"/>
                                      <a:ext cx="715"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10ADBB5">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0.48</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44" name="组合 256"/>
                                  <wpg:cNvGrpSpPr/>
                                  <wpg:grpSpPr>
                                    <a:xfrm>
                                      <a:off x="2857" y="669744"/>
                                      <a:ext cx="8022" cy="6026"/>
                                      <a:chOff x="2857" y="669744"/>
                                      <a:chExt cx="8022" cy="6026"/>
                                    </a:xfrm>
                                  </wpg:grpSpPr>
                                  <wps:wsp>
                                    <wps:cNvPr id="154" name="直接箭头连接符 52"/>
                                    <wps:cNvCnPr>
                                      <a:endCxn id="607" idx="1"/>
                                    </wps:cNvCnPr>
                                    <wps:spPr>
                                      <a:xfrm>
                                        <a:off x="3894" y="672626"/>
                                        <a:ext cx="1368" cy="17"/>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cNvPr id="345" name="组合 252"/>
                                    <wpg:cNvGrpSpPr/>
                                    <wpg:grpSpPr>
                                      <a:xfrm>
                                        <a:off x="2857" y="669744"/>
                                        <a:ext cx="8022" cy="6026"/>
                                        <a:chOff x="2857" y="669744"/>
                                        <a:chExt cx="8022" cy="6026"/>
                                      </a:xfrm>
                                    </wpg:grpSpPr>
                                    <wps:wsp>
                                      <wps:cNvPr id="73" name="流程图: 过程 32"/>
                                      <wps:cNvSpPr/>
                                      <wps:spPr>
                                        <a:xfrm>
                                          <a:off x="7913" y="672914"/>
                                          <a:ext cx="889"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DFB95D8">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70</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46" name="组合 250"/>
                                      <wpg:cNvGrpSpPr/>
                                      <wpg:grpSpPr>
                                        <a:xfrm>
                                          <a:off x="2857" y="669744"/>
                                          <a:ext cx="8022" cy="6027"/>
                                          <a:chOff x="2857" y="669744"/>
                                          <a:chExt cx="8022" cy="6027"/>
                                        </a:xfrm>
                                      </wpg:grpSpPr>
                                      <wps:wsp>
                                        <wps:cNvPr id="167" name="直接箭头连接符 52"/>
                                        <wps:cNvCnPr/>
                                        <wps:spPr>
                                          <a:xfrm flipV="1">
                                            <a:off x="8781" y="670611"/>
                                            <a:ext cx="898" cy="317"/>
                                          </a:xfrm>
                                          <a:prstGeom prst="straightConnector1">
                                            <a:avLst/>
                                          </a:prstGeom>
                                          <a:ln w="12700">
                                            <a:solidFill>
                                              <a:schemeClr val="tx1"/>
                                            </a:solidFill>
                                            <a:prstDash val="dash"/>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cNvPr id="348" name="组合 248"/>
                                        <wpg:cNvGrpSpPr/>
                                        <wpg:grpSpPr>
                                          <a:xfrm>
                                            <a:off x="2857" y="669744"/>
                                            <a:ext cx="8022" cy="6027"/>
                                            <a:chOff x="2857" y="669744"/>
                                            <a:chExt cx="8022" cy="6027"/>
                                          </a:xfrm>
                                        </wpg:grpSpPr>
                                        <wps:wsp>
                                          <wps:cNvPr id="37" name="直接箭头连接符 37"/>
                                          <wps:cNvCnPr/>
                                          <wps:spPr>
                                            <a:xfrm flipH="1">
                                              <a:off x="7828" y="671193"/>
                                              <a:ext cx="6" cy="1183"/>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g:cNvPr id="349" name="组合 179"/>
                                          <wpg:cNvGrpSpPr/>
                                          <wpg:grpSpPr>
                                            <a:xfrm>
                                              <a:off x="2857" y="669744"/>
                                              <a:ext cx="8022" cy="6027"/>
                                              <a:chOff x="2857" y="669744"/>
                                              <a:chExt cx="8022" cy="6027"/>
                                            </a:xfrm>
                                          </wpg:grpSpPr>
                                          <wps:wsp>
                                            <wps:cNvPr id="165" name="直接箭头连接符 52"/>
                                            <wps:cNvCnPr/>
                                            <wps:spPr>
                                              <a:xfrm flipV="1">
                                                <a:off x="7631" y="675572"/>
                                                <a:ext cx="1795" cy="3"/>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cNvPr id="350" name="组合 177"/>
                                            <wpg:cNvGrpSpPr/>
                                            <wpg:grpSpPr>
                                              <a:xfrm>
                                                <a:off x="2857" y="669744"/>
                                                <a:ext cx="8022" cy="6027"/>
                                                <a:chOff x="2857" y="670157"/>
                                                <a:chExt cx="8022" cy="6027"/>
                                              </a:xfrm>
                                            </wpg:grpSpPr>
                                            <wps:wsp>
                                              <wps:cNvPr id="155" name="流程图: 过程 33"/>
                                              <wps:cNvSpPr/>
                                              <wps:spPr>
                                                <a:xfrm>
                                                  <a:off x="4183" y="672653"/>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9F54F6B">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0.17</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52" name="组合 164"/>
                                              <wpg:cNvGrpSpPr/>
                                              <wpg:grpSpPr>
                                                <a:xfrm rot="0">
                                                  <a:off x="2857" y="670157"/>
                                                  <a:ext cx="8022" cy="6027"/>
                                                  <a:chOff x="2518" y="670157"/>
                                                  <a:chExt cx="8022" cy="6027"/>
                                                </a:xfrm>
                                              </wpg:grpSpPr>
                                              <wps:wsp>
                                                <wps:cNvPr id="160" name="流程图: 过程 33"/>
                                                <wps:cNvSpPr/>
                                                <wps:spPr>
                                                  <a:xfrm>
                                                    <a:off x="7774" y="673769"/>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10312C3">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1.6</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cNvPr id="353" name="组合 163"/>
                                                <wpg:cNvGrpSpPr/>
                                                <wpg:grpSpPr>
                                                  <a:xfrm>
                                                    <a:off x="2518" y="670157"/>
                                                    <a:ext cx="8022" cy="6027"/>
                                                    <a:chOff x="2857" y="670157"/>
                                                    <a:chExt cx="8022" cy="6027"/>
                                                  </a:xfrm>
                                                </wpg:grpSpPr>
                                                <wpg:grpSp>
                                                  <wpg:cNvPr id="354" name="组合 72"/>
                                                  <wpg:cNvGrpSpPr/>
                                                  <wpg:grpSpPr>
                                                    <a:xfrm rot="0">
                                                      <a:off x="2857" y="670157"/>
                                                      <a:ext cx="8022" cy="5865"/>
                                                      <a:chOff x="2702" y="688850"/>
                                                      <a:chExt cx="8022" cy="5865"/>
                                                    </a:xfrm>
                                                  </wpg:grpSpPr>
                                                  <wpg:grpSp>
                                                    <wpg:cNvPr id="355" name="组合 67"/>
                                                    <wpg:cNvGrpSpPr/>
                                                    <wpg:grpSpPr>
                                                      <a:xfrm>
                                                        <a:off x="2702" y="688850"/>
                                                        <a:ext cx="8022" cy="5865"/>
                                                        <a:chOff x="2702" y="688850"/>
                                                        <a:chExt cx="8022" cy="5865"/>
                                                      </a:xfrm>
                                                    </wpg:grpSpPr>
                                                    <wps:wsp>
                                                      <wps:cNvPr id="56" name="肘形连接符 250"/>
                                                      <wps:cNvCnPr/>
                                                      <wps:spPr>
                                                        <a:xfrm flipV="1">
                                                          <a:off x="5821" y="692046"/>
                                                          <a:ext cx="546" cy="237"/>
                                                        </a:xfrm>
                                                        <a:prstGeom prst="bentConnector2">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cNvPr id="356" name="组合 66"/>
                                                      <wpg:cNvGrpSpPr/>
                                                      <wpg:grpSpPr>
                                                        <a:xfrm>
                                                          <a:off x="2702" y="688850"/>
                                                          <a:ext cx="8022" cy="5865"/>
                                                          <a:chOff x="2702" y="688850"/>
                                                          <a:chExt cx="8022" cy="5865"/>
                                                        </a:xfrm>
                                                      </wpg:grpSpPr>
                                                      <wpg:grpSp>
                                                        <wpg:cNvPr id="357" name="组合 14"/>
                                                        <wpg:cNvGrpSpPr/>
                                                        <wpg:grpSpPr>
                                                          <a:xfrm rot="0">
                                                            <a:off x="2702" y="688850"/>
                                                            <a:ext cx="8022" cy="5865"/>
                                                            <a:chOff x="4565" y="688887"/>
                                                            <a:chExt cx="8022" cy="5865"/>
                                                          </a:xfrm>
                                                        </wpg:grpSpPr>
                                                        <wpg:grpSp>
                                                          <wpg:cNvPr id="358" name="组合 7"/>
                                                          <wpg:cNvGrpSpPr/>
                                                          <wpg:grpSpPr>
                                                            <a:xfrm>
                                                              <a:off x="4565" y="688887"/>
                                                              <a:ext cx="8022" cy="5865"/>
                                                              <a:chOff x="2427" y="687232"/>
                                                              <a:chExt cx="8022" cy="5865"/>
                                                            </a:xfrm>
                                                          </wpg:grpSpPr>
                                                          <wpg:grpSp>
                                                            <wpg:cNvPr id="359" name="组合 703"/>
                                                            <wpg:cNvGrpSpPr/>
                                                            <wpg:grpSpPr>
                                                              <a:xfrm rot="0">
                                                                <a:off x="2427" y="687232"/>
                                                                <a:ext cx="8022" cy="5865"/>
                                                                <a:chOff x="8802" y="738475"/>
                                                                <a:chExt cx="8022" cy="5865"/>
                                                              </a:xfrm>
                                                            </wpg:grpSpPr>
                                                            <wps:wsp>
                                                              <wps:cNvPr id="600" name="流程图: 过程 9"/>
                                                              <wps:cNvSpPr/>
                                                              <wps:spPr>
                                                                <a:xfrm>
                                                                  <a:off x="10576" y="738920"/>
                                                                  <a:ext cx="1187" cy="532"/>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B97EF6A">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宋体"/>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软水制备</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07" name="流程图: 过程 10"/>
                                                              <wps:cNvSpPr/>
                                                              <wps:spPr>
                                                                <a:xfrm>
                                                                  <a:off x="11207" y="741109"/>
                                                                  <a:ext cx="3329" cy="530"/>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EEE5BF6">
                                                                    <w:pPr>
                                                                      <w:widowControl/>
                                                                      <w:spacing w:line="240" w:lineRule="auto"/>
                                                                      <w:ind w:firstLine="0" w:firstLineChars="0"/>
                                                                      <w:jc w:val="center"/>
                                                                      <w:rPr>
                                                                        <w:rFonts w:hint="eastAsia"/>
                                                                        <w:lang w:eastAsia="zh-CN"/>
                                                                      </w:rPr>
                                                                    </w:pPr>
                                                                    <w:r>
                                                                      <w:rPr>
                                                                        <w:rFonts w:hint="eastAsia"/>
                                                                        <w:color w:val="000000" w:themeColor="text1"/>
                                                                        <w:sz w:val="21"/>
                                                                        <w:szCs w:val="21"/>
                                                                        <w:lang w:val="en-US" w:eastAsia="zh-CN"/>
                                                                        <w14:textFill>
                                                                          <w14:solidFill>
                                                                            <w14:schemeClr w14:val="tx1"/>
                                                                          </w14:solidFill>
                                                                        </w14:textFill>
                                                                      </w:rPr>
                                                                      <w:t>废气治理</w:t>
                                                                    </w:r>
                                                                    <w:r>
                                                                      <w:rPr>
                                                                        <w:rFonts w:hint="eastAsia"/>
                                                                        <w:color w:val="000000" w:themeColor="text1"/>
                                                                        <w:sz w:val="21"/>
                                                                        <w:szCs w:val="21"/>
                                                                        <w:lang w:eastAsia="zh-CN"/>
                                                                        <w14:textFill>
                                                                          <w14:solidFill>
                                                                            <w14:schemeClr w14:val="tx1"/>
                                                                          </w14:solidFill>
                                                                        </w14:textFill>
                                                                      </w:rPr>
                                                                      <w:t>系统</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r>
                                                                      <w:rPr>
                                                                        <w:rFonts w:hint="eastAsia" w:cs="Times New Roman"/>
                                                                        <w:color w:val="0000FF"/>
                                                                        <w:sz w:val="21"/>
                                                                        <w:szCs w:val="21"/>
                                                                        <w:lang w:val="en-US" w:eastAsia="zh-CN"/>
                                                                      </w:rPr>
                                                                      <w:t>-0.35</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29" name="直接箭头连接符 15"/>
                                                              <wps:cNvCnPr/>
                                                              <wps:spPr>
                                                                <a:xfrm>
                                                                  <a:off x="8868" y="740954"/>
                                                                  <a:ext cx="968" cy="0"/>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33" name="流程图: 过程 16"/>
                                                              <wps:cNvSpPr/>
                                                              <wps:spPr>
                                                                <a:xfrm>
                                                                  <a:off x="12644" y="738591"/>
                                                                  <a:ext cx="2045"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EB6A767">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设备冲洗（</w:t>
                                                                    </w:r>
                                                                    <w:r>
                                                                      <w:rPr>
                                                                        <w:rFonts w:hint="eastAsia"/>
                                                                        <w:color w:val="000000" w:themeColor="text1"/>
                                                                        <w:sz w:val="21"/>
                                                                        <w:szCs w:val="21"/>
                                                                        <w:lang w:val="en-US" w:eastAsia="zh-CN"/>
                                                                        <w14:textFill>
                                                                          <w14:solidFill>
                                                                            <w14:schemeClr w14:val="tx1"/>
                                                                          </w14:solidFill>
                                                                        </w14:textFill>
                                                                      </w:rPr>
                                                                      <w:t>-0.02</w:t>
                                                                    </w:r>
                                                                    <w:r>
                                                                      <w:rPr>
                                                                        <w:rFonts w:hint="eastAsia"/>
                                                                        <w:color w:val="000000" w:themeColor="text1"/>
                                                                        <w:sz w:val="21"/>
                                                                        <w:szCs w:val="21"/>
                                                                        <w:lang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34" name="直接箭头连接符 17"/>
                                                              <wps:cNvCnPr/>
                                                              <wps:spPr>
                                                                <a:xfrm>
                                                                  <a:off x="9833" y="739192"/>
                                                                  <a:ext cx="735" cy="13"/>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35" name="直接连接符 18"/>
                                                              <wps:cNvCnPr/>
                                                              <wps:spPr>
                                                                <a:xfrm>
                                                                  <a:off x="9842" y="739201"/>
                                                                  <a:ext cx="13" cy="5123"/>
                                                                </a:xfrm>
                                                                <a:prstGeom prst="line">
                                                                  <a:avLst/>
                                                                </a:prstGeom>
                                                                <a:ln w="12700">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637" name="流程图: 过程 27"/>
                                                              <wps:cNvSpPr/>
                                                              <wps:spPr>
                                                                <a:xfrm>
                                                                  <a:off x="9809" y="738772"/>
                                                                  <a:ext cx="728" cy="53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4545B2C">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0.96</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38" name="肘形连接符 31"/>
                                                              <wps:cNvCnPr/>
                                                              <wps:spPr>
                                                                <a:xfrm flipH="1">
                                                                  <a:off x="13388" y="741419"/>
                                                                  <a:ext cx="1199" cy="266"/>
                                                                </a:xfrm>
                                                                <a:prstGeom prst="bentConnector4">
                                                                  <a:avLst>
                                                                    <a:gd name="adj1" fmla="val -31276"/>
                                                                    <a:gd name="adj2" fmla="val 240977"/>
                                                                  </a:avLst>
                                                                </a:prstGeom>
                                                                <a:ln w="9525">
                                                                  <a:solidFill>
                                                                    <a:schemeClr val="tx1"/>
                                                                  </a:solidFill>
                                                                  <a:prstDash val="dash"/>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39" name="流程图: 过程 32"/>
                                                              <wps:cNvSpPr/>
                                                              <wps:spPr>
                                                                <a:xfrm>
                                                                  <a:off x="13013" y="743485"/>
                                                                  <a:ext cx="889"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A4AE170">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86.4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40" name="流程图: 过程 33"/>
                                                              <wps:cNvSpPr/>
                                                              <wps:spPr>
                                                                <a:xfrm>
                                                                  <a:off x="10121" y="742697"/>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B358670">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1.29</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41" name="直接连接符 36"/>
                                                              <wps:cNvCnPr/>
                                                              <wps:spPr>
                                                                <a:xfrm>
                                                                  <a:off x="15329" y="738843"/>
                                                                  <a:ext cx="26" cy="5497"/>
                                                                </a:xfrm>
                                                                <a:prstGeom prst="line">
                                                                  <a:avLst/>
                                                                </a:prstGeom>
                                                                <a:ln w="12700">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643" name="直接箭头连接符 52"/>
                                                              <wps:cNvCnPr/>
                                                              <wps:spPr>
                                                                <a:xfrm flipV="1">
                                                                  <a:off x="14582" y="741259"/>
                                                                  <a:ext cx="783" cy="8"/>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44" name="流程图: 过程 48"/>
                                                              <wps:cNvSpPr/>
                                                              <wps:spPr>
                                                                <a:xfrm>
                                                                  <a:off x="13360" y="740056"/>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625004C">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0.64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45" name="流程图: 过程 51"/>
                                                              <wps:cNvSpPr/>
                                                              <wps:spPr>
                                                                <a:xfrm>
                                                                  <a:off x="14147" y="742727"/>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7220861">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0.43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47" name="流程图: 过程 73"/>
                                                              <wps:cNvSpPr/>
                                                              <wps:spPr>
                                                                <a:xfrm>
                                                                  <a:off x="15378" y="739991"/>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3420BAE">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4.01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0" name="流程图: 过程 71"/>
                                                              <wps:cNvSpPr/>
                                                              <wps:spPr>
                                                                <a:xfrm>
                                                                  <a:off x="15442" y="740743"/>
                                                                  <a:ext cx="1382" cy="2187"/>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5C4D453">
                                                                    <w:pPr>
                                                                      <w:keepNext w:val="0"/>
                                                                      <w:keepLines w:val="0"/>
                                                                      <w:pageBreakBefore w:val="0"/>
                                                                      <w:widowControl w:val="0"/>
                                                                      <w:kinsoku/>
                                                                      <w:wordWrap/>
                                                                      <w:overflowPunct/>
                                                                      <w:topLinePunct w:val="0"/>
                                                                      <w:bidi w:val="0"/>
                                                                      <w:adjustRightInd/>
                                                                      <w:snapToGrid/>
                                                                      <w:spacing w:line="240" w:lineRule="auto"/>
                                                                      <w:textAlignment w:val="auto"/>
                                                                      <w:rPr>
                                                                        <w:rFonts w:hint="eastAsia"/>
                                                                        <w:lang w:eastAsia="zh-CN"/>
                                                                      </w:rPr>
                                                                    </w:pPr>
                                                                    <w:r>
                                                                      <w:rPr>
                                                                        <w:rFonts w:hint="eastAsia" w:cs="Times New Roman"/>
                                                                        <w:color w:val="000000"/>
                                                                        <w:spacing w:val="0"/>
                                                                        <w:kern w:val="2"/>
                                                                        <w:sz w:val="21"/>
                                                                        <w:szCs w:val="21"/>
                                                                        <w:highlight w:val="none"/>
                                                                        <w:lang w:val="en-US" w:eastAsia="zh-CN" w:bidi="ar"/>
                                                                      </w:rPr>
                                                                      <w:t>送</w:t>
                                                                    </w:r>
                                                                    <w:r>
                                                                      <w:rPr>
                                                                        <w:rFonts w:hint="eastAsia" w:ascii="Times New Roman" w:hAnsi="Times New Roman" w:eastAsia="宋体" w:cs="Times New Roman"/>
                                                                        <w:color w:val="000000"/>
                                                                        <w:spacing w:val="0"/>
                                                                        <w:kern w:val="2"/>
                                                                        <w:sz w:val="21"/>
                                                                        <w:szCs w:val="21"/>
                                                                        <w:highlight w:val="none"/>
                                                                        <w:lang w:val="en-US" w:eastAsia="zh-CN" w:bidi="ar"/>
                                                                      </w:rPr>
                                                                      <w:t>厂综合污水处理站，处理达标后经</w:t>
                                                                    </w:r>
                                                                    <w:r>
                                                                      <w:rPr>
                                                                        <w:rFonts w:hint="eastAsia" w:cs="Times New Roman"/>
                                                                        <w:color w:val="000000"/>
                                                                        <w:spacing w:val="0"/>
                                                                        <w:kern w:val="2"/>
                                                                        <w:sz w:val="21"/>
                                                                        <w:szCs w:val="21"/>
                                                                        <w:highlight w:val="none"/>
                                                                        <w:lang w:val="en-US" w:eastAsia="zh-CN" w:bidi="ar"/>
                                                                      </w:rPr>
                                                                      <w:t>园区</w:t>
                                                                    </w:r>
                                                                    <w:r>
                                                                      <w:rPr>
                                                                        <w:rFonts w:hint="eastAsia" w:ascii="Times New Roman" w:hAnsi="Times New Roman" w:eastAsia="宋体" w:cs="Times New Roman"/>
                                                                        <w:color w:val="000000"/>
                                                                        <w:spacing w:val="0"/>
                                                                        <w:kern w:val="2"/>
                                                                        <w:sz w:val="21"/>
                                                                        <w:szCs w:val="21"/>
                                                                        <w:highlight w:val="none"/>
                                                                        <w:lang w:val="en-US" w:eastAsia="zh-CN" w:bidi="ar"/>
                                                                      </w:rPr>
                                                                      <w:t>污水管网排入</w:t>
                                                                    </w:r>
                                                                    <w:r>
                                                                      <w:rPr>
                                                                        <w:rFonts w:hint="eastAsia" w:cs="Times New Roman"/>
                                                                        <w:color w:val="000000"/>
                                                                        <w:spacing w:val="0"/>
                                                                        <w:kern w:val="2"/>
                                                                        <w:sz w:val="21"/>
                                                                        <w:szCs w:val="21"/>
                                                                        <w:highlight w:val="none"/>
                                                                        <w:lang w:val="en-US" w:eastAsia="zh-CN" w:bidi="ar"/>
                                                                      </w:rPr>
                                                                      <w:t>良村南污水处理厂</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3" name="肘形连接符 72"/>
                                                              <wps:cNvCnPr/>
                                                              <wps:spPr>
                                                                <a:xfrm>
                                                                  <a:off x="15333" y="740376"/>
                                                                  <a:ext cx="799" cy="367"/>
                                                                </a:xfrm>
                                                                <a:prstGeom prst="bentConnector2">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54" name="流程图: 过程 147"/>
                                                              <wps:cNvSpPr/>
                                                              <wps:spPr>
                                                                <a:xfrm>
                                                                  <a:off x="8802" y="740547"/>
                                                                  <a:ext cx="1009" cy="887"/>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79F5B9A">
                                                                    <w:pPr>
                                                                      <w:keepNext w:val="0"/>
                                                                      <w:keepLines w:val="0"/>
                                                                      <w:pageBreakBefore w:val="0"/>
                                                                      <w:widowControl w:val="0"/>
                                                                      <w:kinsoku/>
                                                                      <w:wordWrap/>
                                                                      <w:overflowPunct/>
                                                                      <w:topLinePunct w:val="0"/>
                                                                      <w:bidi w:val="0"/>
                                                                      <w:adjustRightInd/>
                                                                      <w:snapToGrid/>
                                                                      <w:spacing w:line="360" w:lineRule="auto"/>
                                                                      <w:jc w:val="center"/>
                                                                      <w:textAlignment w:val="auto"/>
                                                                      <w:rPr>
                                                                        <w:rFonts w:hint="eastAsia"/>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新鲜水</w:t>
                                                                    </w:r>
                                                                  </w:p>
                                                                  <w:p w14:paraId="22C1FE21">
                                                                    <w:pPr>
                                                                      <w:keepNext w:val="0"/>
                                                                      <w:keepLines w:val="0"/>
                                                                      <w:pageBreakBefore w:val="0"/>
                                                                      <w:widowControl w:val="0"/>
                                                                      <w:kinsoku/>
                                                                      <w:wordWrap/>
                                                                      <w:overflowPunct/>
                                                                      <w:topLinePunct w:val="0"/>
                                                                      <w:bidi w:val="0"/>
                                                                      <w:adjustRightInd/>
                                                                      <w:snapToGrid/>
                                                                      <w:spacing w:line="36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5.96</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6" name="流程图: 过程 48"/>
                                                              <wps:cNvSpPr/>
                                                              <wps:spPr>
                                                                <a:xfrm>
                                                                  <a:off x="12078" y="738488"/>
                                                                  <a:ext cx="636"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096C342">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7" name="流程图: 过程 16"/>
                                                              <wps:cNvSpPr/>
                                                              <wps:spPr>
                                                                <a:xfrm>
                                                                  <a:off x="12625" y="739404"/>
                                                                  <a:ext cx="2073"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EEB6561">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生产用水</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 name="直接箭头连接符 44"/>
                                                              <wps:cNvCnPr>
                                                                <a:stCxn id="157" idx="3"/>
                                                              </wps:cNvCnPr>
                                                              <wps:spPr>
                                                                <a:xfrm>
                                                                  <a:off x="14689" y="738850"/>
                                                                  <a:ext cx="628" cy="8"/>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59" name="流程图: 过程 48"/>
                                                              <wps:cNvSpPr/>
                                                              <wps:spPr>
                                                                <a:xfrm>
                                                                  <a:off x="14635" y="738475"/>
                                                                  <a:ext cx="82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4A9174B">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0.08</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60" name="肘形连接符 233"/>
                                                              <wps:cNvCnPr/>
                                                              <wps:spPr>
                                                                <a:xfrm flipV="1">
                                                                  <a:off x="11763" y="738850"/>
                                                                  <a:ext cx="881" cy="336"/>
                                                                </a:xfrm>
                                                                <a:prstGeom prst="bentConnector3">
                                                                  <a:avLst>
                                                                    <a:gd name="adj1" fmla="val 23836"/>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61" name="肘形连接符 241"/>
                                                              <wps:cNvCnPr>
                                                                <a:endCxn id="207" idx="1"/>
                                                              </wps:cNvCnPr>
                                                              <wps:spPr>
                                                                <a:xfrm>
                                                                  <a:off x="11787" y="739181"/>
                                                                  <a:ext cx="838" cy="482"/>
                                                                </a:xfrm>
                                                                <a:prstGeom prst="bentConnector3">
                                                                  <a:avLst>
                                                                    <a:gd name="adj1" fmla="val 22673"/>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62" name="流程图: 过程 48"/>
                                                              <wps:cNvSpPr/>
                                                              <wps:spPr>
                                                                <a:xfrm>
                                                                  <a:off x="12040" y="739294"/>
                                                                  <a:ext cx="800"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5597192">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0.67</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63" name="肘形连接符 249"/>
                                                              <wps:cNvCnPr/>
                                                              <wps:spPr>
                                                                <a:xfrm>
                                                                  <a:off x="11164" y="739491"/>
                                                                  <a:ext cx="4188" cy="1165"/>
                                                                </a:xfrm>
                                                                <a:prstGeom prst="bentConnector3">
                                                                  <a:avLst>
                                                                    <a:gd name="adj1" fmla="val -119"/>
                                                                  </a:avLst>
                                                                </a:prstGeom>
                                                                <a:ln>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665" name="流程图: 过程 48"/>
                                                              <wps:cNvSpPr/>
                                                              <wps:spPr>
                                                                <a:xfrm>
                                                                  <a:off x="14092" y="740307"/>
                                                                  <a:ext cx="715" cy="4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0C461E6">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0.19</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655" name="流程图: 过程 147"/>
                                                            <wps:cNvSpPr/>
                                                            <wps:spPr>
                                                              <a:xfrm>
                                                                <a:off x="8935" y="687827"/>
                                                                <a:ext cx="1458" cy="764"/>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2A00109">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进入甘氨酸亚铁产品0.03</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s:wsp>
                                                          <wps:cNvPr id="9" name="直接连接符 125"/>
                                                          <wps:cNvCnPr/>
                                                          <wps:spPr>
                                                            <a:xfrm>
                                                              <a:off x="9355" y="693461"/>
                                                              <a:ext cx="1692" cy="8"/>
                                                            </a:xfrm>
                                                            <a:prstGeom prst="line">
                                                              <a:avLst/>
                                                            </a:prstGeom>
                                                            <a:ln w="9525" cap="flat" cmpd="sng">
                                                              <a:solidFill>
                                                                <a:srgbClr val="000000"/>
                                                              </a:solidFill>
                                                              <a:prstDash val="solid"/>
                                                              <a:round/>
                                                              <a:headEnd type="none" w="med" len="med"/>
                                                              <a:tailEnd type="triangle" w="med" len="med"/>
                                                            </a:ln>
                                                            <a:effectLst/>
                                                          </wps:spPr>
                                                          <wps:bodyPr/>
                                                        </wps:wsp>
                                                        <wps:wsp>
                                                          <wps:cNvPr id="10" name="矩形 127"/>
                                                          <wps:cNvSpPr/>
                                                          <wps:spPr>
                                                            <a:xfrm>
                                                              <a:off x="7030" y="693218"/>
                                                              <a:ext cx="2403" cy="671"/>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89906B">
                                                                <w:pPr>
                                                                  <w:keepNext w:val="0"/>
                                                                  <w:keepLines w:val="0"/>
                                                                  <w:pageBreakBefore w:val="0"/>
                                                                  <w:widowControl w:val="0"/>
                                                                  <w:kinsoku/>
                                                                  <w:wordWrap/>
                                                                  <w:overflowPunct/>
                                                                  <w:topLinePunct w:val="0"/>
                                                                  <w:bidi w:val="0"/>
                                                                  <w:adjustRightInd/>
                                                                  <w:snapToGrid/>
                                                                  <w:spacing w:line="240" w:lineRule="auto"/>
                                                                  <w:jc w:val="center"/>
                                                                  <w:textAlignment w:val="auto"/>
                                                                </w:pPr>
                                                                <w:r>
                                                                  <w:rPr>
                                                                    <w:rFonts w:hint="eastAsia"/>
                                                                    <w:color w:val="000000" w:themeColor="text1"/>
                                                                    <w:sz w:val="21"/>
                                                                    <w:szCs w:val="21"/>
                                                                    <w:lang w:eastAsia="zh-CN"/>
                                                                    <w14:textFill>
                                                                      <w14:solidFill>
                                                                        <w14:schemeClr w14:val="tx1"/>
                                                                      </w14:solidFill>
                                                                    </w14:textFill>
                                                                  </w:rPr>
                                                                  <w:t>循环冷却水系统（</w:t>
                                                                </w:r>
                                                                <w:r>
                                                                  <w:rPr>
                                                                    <w:rFonts w:hint="eastAsia"/>
                                                                    <w:color w:val="000000" w:themeColor="text1"/>
                                                                    <w:sz w:val="21"/>
                                                                    <w:szCs w:val="21"/>
                                                                    <w:lang w:val="en-US" w:eastAsia="zh-CN"/>
                                                                    <w14:textFill>
                                                                      <w14:solidFill>
                                                                        <w14:schemeClr w14:val="tx1"/>
                                                                      </w14:solidFill>
                                                                    </w14:textFill>
                                                                  </w:rPr>
                                                                  <w:t>-0.86）</w:t>
                                                                </w:r>
                                                              </w:p>
                                                            </w:txbxContent>
                                                          </wps:txbx>
                                                          <wps:bodyPr upright="1"/>
                                                        </wps:wsp>
                                                        <wps:wsp>
                                                          <wps:cNvPr id="11" name="直接连接符 128"/>
                                                          <wps:cNvCnPr/>
                                                          <wps:spPr>
                                                            <a:xfrm flipV="1">
                                                              <a:off x="5618" y="693439"/>
                                                              <a:ext cx="1429" cy="8"/>
                                                            </a:xfrm>
                                                            <a:prstGeom prst="line">
                                                              <a:avLst/>
                                                            </a:prstGeom>
                                                            <a:ln w="9525" cap="flat" cmpd="sng">
                                                              <a:solidFill>
                                                                <a:srgbClr val="000000"/>
                                                              </a:solidFill>
                                                              <a:prstDash val="solid"/>
                                                              <a:round/>
                                                              <a:headEnd type="none" w="med" len="med"/>
                                                              <a:tailEnd type="triangle" w="med" len="med"/>
                                                            </a:ln>
                                                            <a:effectLst/>
                                                          </wps:spPr>
                                                          <wps:bodyPr/>
                                                        </wps:wsp>
                                                      </wpg:grpSp>
                                                      <wps:wsp>
                                                        <wps:cNvPr id="65" name="流程图: 过程 147"/>
                                                        <wps:cNvSpPr/>
                                                        <wps:spPr>
                                                          <a:xfrm>
                                                            <a:off x="4051" y="691953"/>
                                                            <a:ext cx="2040" cy="518"/>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32A458A">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20%硫酸带入0.02</w:t>
                                                              </w:r>
                                                            </w:p>
                                                          </w:txbxContent>
                                                        </wps:txbx>
                                                        <wps:bodyPr rot="0" spcFirstLastPara="0" vertOverflow="overflow" horzOverflow="overflow" vert="horz" wrap="square" lIns="91440" tIns="45720" rIns="91440" bIns="45720" numCol="1" spcCol="0" rtlCol="0" fromWordArt="0" anchor="ctr" anchorCtr="0" forceAA="0" compatLnSpc="1">
                                                          <a:noAutofit/>
                                                        </wps:bodyPr>
                                                      </wps:wsp>
                                                    </wpg:grpSp>
                                                  </wpg:grpSp>
                                                  <wps:wsp>
                                                    <wps:cNvPr id="71" name="肘形连接符 31"/>
                                                    <wps:cNvCnPr/>
                                                    <wps:spPr>
                                                      <a:xfrm flipH="1">
                                                        <a:off x="6390" y="693588"/>
                                                        <a:ext cx="1199" cy="266"/>
                                                      </a:xfrm>
                                                      <a:prstGeom prst="bentConnector4">
                                                        <a:avLst>
                                                          <a:gd name="adj1" fmla="val -31276"/>
                                                          <a:gd name="adj2" fmla="val 240977"/>
                                                        </a:avLst>
                                                      </a:prstGeom>
                                                      <a:ln w="9525">
                                                        <a:solidFill>
                                                          <a:schemeClr val="tx1"/>
                                                        </a:solidFill>
                                                        <a:prstDash val="dash"/>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s:wsp>
                                                  <wps:cNvPr id="156" name="流程图: 过程 16"/>
                                                  <wps:cNvSpPr/>
                                                  <wps:spPr>
                                                    <a:xfrm>
                                                      <a:off x="5257" y="673826"/>
                                                      <a:ext cx="2273"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7100BAC">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车间地面冲洗</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-0.4</w:t>
                                                        </w:r>
                                                        <w:r>
                                                          <w:rPr>
                                                            <w:rFonts w:hint="eastAsia"/>
                                                            <w:color w:val="000000" w:themeColor="text1"/>
                                                            <w:sz w:val="21"/>
                                                            <w:szCs w:val="21"/>
                                                            <w:lang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7" name="直接箭头连接符 52"/>
                                                  <wps:cNvCnPr/>
                                                  <wps:spPr>
                                                    <a:xfrm>
                                                      <a:off x="3901" y="674045"/>
                                                      <a:ext cx="1368" cy="17"/>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158" name="流程图: 过程 33"/>
                                                  <wps:cNvSpPr/>
                                                  <wps:spPr>
                                                    <a:xfrm>
                                                      <a:off x="4140" y="673695"/>
                                                      <a:ext cx="889" cy="472"/>
                                                    </a:xfrm>
                                                    <a:prstGeom prst="flowChartProcess">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399D6DE">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9" name="直接箭头连接符 52"/>
                                                  <wps:cNvCnPr/>
                                                  <wps:spPr>
                                                    <a:xfrm flipV="1">
                                                      <a:off x="7541" y="674039"/>
                                                      <a:ext cx="1869" cy="13"/>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s:wsp>
                                                  <wps:cNvPr id="161" name="流程图: 过程 16"/>
                                                  <wps:cNvSpPr/>
                                                  <wps:spPr>
                                                    <a:xfrm>
                                                      <a:off x="5331" y="675666"/>
                                                      <a:ext cx="2273" cy="518"/>
                                                    </a:xfrm>
                                                    <a:prstGeom prst="flowChartProcess">
                                                      <a:avLst/>
                                                    </a:prstGeom>
                                                    <a:noFill/>
                                                    <a:ln w="952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9BE7C73">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生活用水</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-0.31</w:t>
                                                        </w:r>
                                                        <w:r>
                                                          <w:rPr>
                                                            <w:rFonts w:hint="eastAsia"/>
                                                            <w:color w:val="000000" w:themeColor="text1"/>
                                                            <w:sz w:val="21"/>
                                                            <w:szCs w:val="21"/>
                                                            <w:lang w:eastAsia="zh-CN"/>
                                                            <w14:textFill>
                                                              <w14:solidFill>
                                                                <w14:schemeClr w14:val="tx1"/>
                                                              </w14:solidFill>
                                                            </w14:textFil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2" name="直接箭头连接符 52"/>
                                                  <wps:cNvCnPr/>
                                                  <wps:spPr>
                                                    <a:xfrm>
                                                      <a:off x="3894" y="675988"/>
                                                      <a:ext cx="1400" cy="18"/>
                                                    </a:xfrm>
                                                    <a:prstGeom prst="straightConnector1">
                                                      <a:avLst/>
                                                    </a:prstGeom>
                                                    <a:ln w="12700">
                                                      <a:solidFill>
                                                        <a:schemeClr val="tx1"/>
                                                      </a:solidFill>
                                                      <a:headEnd type="none"/>
                                                      <a:tailEnd type="triangle" w="med" len="med"/>
                                                    </a:ln>
                                                  </wps:spPr>
                                                  <wps:style>
                                                    <a:lnRef idx="2">
                                                      <a:schemeClr val="accent1"/>
                                                    </a:lnRef>
                                                    <a:fillRef idx="0">
                                                      <a:srgbClr val="FFFFFF"/>
                                                    </a:fillRef>
                                                    <a:effectRef idx="0">
                                                      <a:srgbClr val="FFFFFF"/>
                                                    </a:effectRef>
                                                    <a:fontRef idx="minor">
                                                      <a:schemeClr val="tx1"/>
                                                    </a:fontRef>
                                                  </wps:style>
                                                  <wps:bodyPr/>
                                                </wps:wsp>
                                              </wpg:grpSp>
                                            </wpg:grpSp>
                                          </wpg:grpSp>
                                        </wpg:grpSp>
                                      </wpg:grpSp>
                                    </wpg:grpSp>
                                  </wpg:grpSp>
                                </wpg:grpSp>
                              </wpg:grpSp>
                            </wpg:grpSp>
                          </wpg:wgp>
                        </a:graphicData>
                      </a:graphic>
                    </wp:anchor>
                  </w:drawing>
                </mc:Choice>
                <mc:Fallback>
                  <w:pict>
                    <v:group id="_x0000_s1026" o:spid="_x0000_s1026" o:spt="203" style="position:absolute;left:0pt;margin-left:-7.85pt;margin-top:-19.6pt;height:301.3pt;width:401.1pt;z-index:251669504;mso-width-relative:page;mso-height-relative:page;" coordorigin="2857,669744" coordsize="8022,6026" o:gfxdata="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&#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">
                      <o:lock v:ext="edit" aspectratio="f"/>
                      <v:shape id="流程图: 过程 33" o:spid="_x0000_s1026" o:spt="109" type="#_x0000_t109" style="position:absolute;left:7840;top:675245;height:472;width:889;v-text-anchor:middle;" filled="f" stroked="f" coordsize="21600,21600" o:gfxdata="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1ylM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1306D9F7">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1.23</w:t>
                              </w:r>
                            </w:p>
                          </w:txbxContent>
                        </v:textbox>
                      </v:shape>
                      <v:group id="组合 258" o:spid="_x0000_s1026" o:spt="203" style="position:absolute;left:2857;top:669744;height:6026;width:8022;" coordorigin="2857,669744" coordsize="8022,6026" o:gfxdata="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qnEcvwAAANwAAAAPAAAAAAAAAAEAIAAAACIAAABkcnMvZG93bnJldi54&#10;bWxQSwECFAAUAAAACACHTuJAMy8FnjsAAAA5AAAAFQAAAAAAAAABACAAAAAOAQAAZHJzL2dyb3Vw&#10;c2hhcGV4bWwueG1sUEsFBgAAAAAGAAYAYAEAAMsDAAAAAA==&#10;">
                        <o:lock v:ext="edit" aspectratio="f"/>
                        <v:shape id="流程图: 过程 33" o:spid="_x0000_s1026" o:spt="109" type="#_x0000_t109" style="position:absolute;left:4100;top:675205;height:472;width:889;v-text-anchor:middle;" filled="f" stroked="f" coordsize="21600,21600" o:gfxdata="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h3Y54twAAANwAAAAP&#10;AAAAAAAAAAEAIAAAACIAAABkcnMvZG93bnJldi54bWxQSwECFAAUAAAACACHTuJAMy8FnjsAAAA5&#10;AAAAEAAAAAAAAAABACAAAAAGAQAAZHJzL3NoYXBleG1sLnhtbFBLBQYAAAAABgAGAFsBAACwAwAA&#10;AAA=&#10;">
                          <v:fill on="f" focussize="0,0"/>
                          <v:stroke on="f" weight="1pt" miterlimit="8" joinstyle="miter"/>
                          <v:imagedata o:title=""/>
                          <o:lock v:ext="edit" aspectratio="f"/>
                          <v:textbox>
                            <w:txbxContent>
                              <w:p w14:paraId="5A48F171">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1.54</w:t>
                                </w:r>
                              </w:p>
                            </w:txbxContent>
                          </v:textbox>
                        </v:shape>
                        <v:group id="组合 257" o:spid="_x0000_s1026" o:spt="203" style="position:absolute;left:2857;top:669744;height:6026;width:8022;" coordorigin="2857,669744" coordsize="8022,6026" o:gfxdata="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bm1Ie+AAAA3AAAAA8AAAAAAAAAAQAgAAAAIgAAAGRycy9kb3ducmV2Lnht&#10;bFBLAQIUABQAAAAIAIdO4kAzLwWeOwAAADkAAAAVAAAAAAAAAAEAIAAAAA0BAABkcnMvZ3JvdXBz&#10;aGFwZXhtbC54bWxQSwUGAAAAAAYABgBgAQAAygMAAAAA&#10;">
                          <o:lock v:ext="edit" aspectratio="f"/>
                          <v:shape id="流程图: 过程 48" o:spid="_x0000_s1026" o:spt="109" type="#_x0000_t109" style="position:absolute;left:8642;top:672157;height:464;width:715;v-text-anchor:middle;" filled="f" stroked="f" coordsize="21600,21600" o:gfxdata="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CN8+e2AAAA2wAAAA8A&#10;AAAAAAAAAQAgAAAAIgAAAGRycy9kb3ducmV2LnhtbFBLAQIUABQAAAAIAIdO4kAzLwWeOwAAADkA&#10;AAAQAAAAAAAAAAEAIAAAAAUBAABkcnMvc2hhcGV4bWwueG1sUEsFBgAAAAAGAAYAWwEAAK8DAAAA&#10;AA==&#10;">
                            <v:fill on="f" focussize="0,0"/>
                            <v:stroke on="f" weight="1pt" miterlimit="8" joinstyle="miter"/>
                            <v:imagedata o:title=""/>
                            <o:lock v:ext="edit" aspectratio="f"/>
                            <v:textbox>
                              <w:txbxContent>
                                <w:p w14:paraId="510ADBB5">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0.48</w:t>
                                  </w:r>
                                </w:p>
                              </w:txbxContent>
                            </v:textbox>
                          </v:shape>
                          <v:group id="组合 256" o:spid="_x0000_s1026" o:spt="203" style="position:absolute;left:2857;top:669744;height:6026;width:8022;" coordorigin="2857,669744" coordsize="8022,6026" o:gfxdata="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kPTPO+AAAA3AAAAA8AAAAAAAAAAQAgAAAAIgAAAGRycy9kb3ducmV2Lnht&#10;bFBLAQIUABQAAAAIAIdO4kAzLwWeOwAAADkAAAAVAAAAAAAAAAEAIAAAAA0BAABkcnMvZ3JvdXBz&#10;aGFwZXhtbC54bWxQSwUGAAAAAAYABgBgAQAAygMAAAAA&#10;">
                            <o:lock v:ext="edit" aspectratio="f"/>
                            <v:shape id="直接箭头连接符 52" o:spid="_x0000_s1026" o:spt="32" type="#_x0000_t32" style="position:absolute;left:3894;top:672626;height:17;width:1368;" filled="f" stroked="t" coordsize="21600,21600" o:gfxdata="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D1KUvQAA&#10;ANwAAAAPAAAAAAAAAAEAIAAAACIAAABkcnMvZG93bnJldi54bWxQSwECFAAUAAAACACHTuJAMy8F&#10;njsAAAA5AAAAEAAAAAAAAAABACAAAAAMAQAAZHJzL3NoYXBleG1sLnhtbFBLBQYAAAAABgAGAFsB&#10;AAC2AwAAAAA=&#10;">
                              <v:fill on="f" focussize="0,0"/>
                              <v:stroke weight="1pt" color="#000000 [3213]" miterlimit="8" joinstyle="miter" endarrow="block"/>
                              <v:imagedata o:title=""/>
                              <o:lock v:ext="edit" aspectratio="f"/>
                            </v:shape>
                            <v:group id="组合 252" o:spid="_x0000_s1026" o:spt="203" style="position:absolute;left:2857;top:669744;height:6026;width:8022;" coordorigin="2857,669744" coordsize="8022,6026" o:gfxdata="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pkPpaMAAAADcAAAADwAAAAAAAAABACAAAAAiAAAAZHJzL2Rvd25yZXYu&#10;eG1sUEsBAhQAFAAAAAgAh07iQDMvBZ47AAAAOQAAABUAAAAAAAAAAQAgAAAADwEAAGRycy9ncm91&#10;cHNoYXBleG1sLnhtbFBLBQYAAAAABgAGAGABAADMAwAAAAA=&#10;">
                              <o:lock v:ext="edit" aspectratio="f"/>
                              <v:shape id="流程图: 过程 32" o:spid="_x0000_s1026" o:spt="109" type="#_x0000_t109" style="position:absolute;left:7913;top:672914;height:464;width:889;v-text-anchor:middle;" filled="f" stroked="f" coordsize="21600,21600" o:gfxdata="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BTi2q5AAAA2wAA&#10;AA8AAAAAAAAAAQAgAAAAIgAAAGRycy9kb3ducmV2LnhtbFBLAQIUABQAAAAIAIdO4kAzLwWeOwAA&#10;ADkAAAAQAAAAAAAAAAEAIAAAAAgBAABkcnMvc2hhcGV4bWwueG1sUEsFBgAAAAAGAAYAWwEAALID&#10;AAAAAA==&#10;">
                                <v:fill on="f" focussize="0,0"/>
                                <v:stroke on="f" weight="1pt" miterlimit="8" joinstyle="miter"/>
                                <v:imagedata o:title=""/>
                                <o:lock v:ext="edit" aspectratio="f"/>
                                <v:textbox>
                                  <w:txbxContent>
                                    <w:p w14:paraId="1DFB95D8">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70</w:t>
                                      </w:r>
                                    </w:p>
                                  </w:txbxContent>
                                </v:textbox>
                              </v:shape>
                              <v:group id="组合 250" o:spid="_x0000_s1026" o:spt="203" style="position:absolute;left:2857;top:669744;height:6027;width:8022;" coordorigin="2857,669744" coordsize="8022,6027" o:gfxdata="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VpF3H8AAAADcAAAADwAAAAAAAAABACAAAAAiAAAAZHJzL2Rvd25yZXYu&#10;eG1sUEsBAhQAFAAAAAgAh07iQDMvBZ47AAAAOQAAABUAAAAAAAAAAQAgAAAADwEAAGRycy9ncm91&#10;cHNoYXBleG1sLnhtbFBLBQYAAAAABgAGAGABAADMAwAAAAA=&#10;">
                                <o:lock v:ext="edit" aspectratio="f"/>
                                <v:shape id="直接箭头连接符 52" o:spid="_x0000_s1026" o:spt="32" type="#_x0000_t32" style="position:absolute;left:8781;top:670611;flip:y;height:317;width:898;" filled="f" stroked="t" coordsize="21600,21600" o:gfxdata="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TfOAe8AAAA&#10;3AAAAA8AAAAAAAAAAQAgAAAAIgAAAGRycy9kb3ducmV2LnhtbFBLAQIUABQAAAAIAIdO4kAzLwWe&#10;OwAAADkAAAAQAAAAAAAAAAEAIAAAAAsBAABkcnMvc2hhcGV4bWwueG1sUEsFBgAAAAAGAAYAWwEA&#10;ALUDAAAAAA==&#10;">
                                  <v:fill on="f" focussize="0,0"/>
                                  <v:stroke weight="1pt" color="#000000 [3213]" miterlimit="8" joinstyle="miter" dashstyle="dash" endarrow="block"/>
                                  <v:imagedata o:title=""/>
                                  <o:lock v:ext="edit" aspectratio="f"/>
                                </v:shape>
                                <v:group id="组合 248" o:spid="_x0000_s1026" o:spt="203" style="position:absolute;left:2857;top:669744;height:6027;width:8022;" coordorigin="2857,669744" coordsize="8022,6027" o:gfxdata="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IQkb2vAAAANwAAAAPAAAAAAAAAAEAIAAAACIAAABkcnMvZG93bnJldi54bWxQ&#10;SwECFAAUAAAACACHTuJAMy8FnjsAAAA5AAAAFQAAAAAAAAABACAAAAALAQAAZHJzL2dyb3Vwc2hh&#10;cGV4bWwueG1sUEsFBgAAAAAGAAYAYAEAAMgDAAAAAA==&#10;">
                                  <o:lock v:ext="edit" aspectratio="f"/>
                                  <v:shape id="_x0000_s1026" o:spid="_x0000_s1026" o:spt="32" type="#_x0000_t32" style="position:absolute;left:7828;top:671193;flip:x;height:1183;width:6;" filled="f" stroked="t" coordsize="21600,21600" o:gfxdata="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Qj6O/&#10;AAAA2wAAAA8AAAAAAAAAAQAgAAAAIgAAAGRycy9kb3ducmV2LnhtbFBLAQIUABQAAAAIAIdO4kAz&#10;LwWeOwAAADkAAAAQAAAAAAAAAAEAIAAAAA4BAABkcnMvc2hhcGV4bWwueG1sUEsFBgAAAAAGAAYA&#10;WwEAALgDAAAAAA==&#10;">
                                    <v:fill on="f" focussize="0,0"/>
                                    <v:stroke weight="1pt" color="#000000 [3213]" miterlimit="8" joinstyle="miter" endarrow="open"/>
                                    <v:imagedata o:title=""/>
                                    <o:lock v:ext="edit" aspectratio="f"/>
                                  </v:shape>
                                  <v:group id="组合 179" o:spid="_x0000_s1026" o:spt="203" style="position:absolute;left:2857;top:669744;height:6027;width:8022;" coordorigin="2857,669744" coordsize="8022,6027" o:gfxdata="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Jw7jbcAAAADcAAAADwAAAAAAAAABACAAAAAiAAAAZHJzL2Rvd25yZXYu&#10;eG1sUEsBAhQAFAAAAAgAh07iQDMvBZ47AAAAOQAAABUAAAAAAAAAAQAgAAAADwEAAGRycy9ncm91&#10;cHNoYXBleG1sLnhtbFBLBQYAAAAABgAGAGABAADMAwAAAAA=&#10;">
                                    <o:lock v:ext="edit" aspectratio="f"/>
                                    <v:shape id="直接箭头连接符 52" o:spid="_x0000_s1026" o:spt="32" type="#_x0000_t32" style="position:absolute;left:7631;top:675572;flip:y;height:3;width:1795;" filled="f" stroked="t" coordsize="21600,21600" o:gfxdata="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ekZ528AAAA&#10;3AAAAA8AAAAAAAAAAQAgAAAAIgAAAGRycy9kb3ducmV2LnhtbFBLAQIUABQAAAAIAIdO4kAzLwWe&#10;OwAAADkAAAAQAAAAAAAAAAEAIAAAAAsBAABkcnMvc2hhcGV4bWwueG1sUEsFBgAAAAAGAAYAWwEA&#10;ALUDAAAAAA==&#10;">
                                      <v:fill on="f" focussize="0,0"/>
                                      <v:stroke weight="1pt" color="#000000 [3213]" miterlimit="8" joinstyle="miter" endarrow="block"/>
                                      <v:imagedata o:title=""/>
                                      <o:lock v:ext="edit" aspectratio="f"/>
                                    </v:shape>
                                    <v:group id="组合 177" o:spid="_x0000_s1026" o:spt="203" style="position:absolute;left:2857;top:669744;height:6027;width:8022;" coordorigin="2857,670157" coordsize="8022,6027" o:gfxdata="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z7dwtvAAAANwAAAAPAAAAAAAAAAEAIAAAACIAAABkcnMvZG93bnJldi54bWxQ&#10;SwECFAAUAAAACACHTuJAMy8FnjsAAAA5AAAAFQAAAAAAAAABACAAAAALAQAAZHJzL2dyb3Vwc2hh&#10;cGV4bWwueG1sUEsFBgAAAAAGAAYAYAEAAMgDAAAAAA==&#10;">
                                      <o:lock v:ext="edit" aspectratio="f"/>
                                      <v:shape id="流程图: 过程 33" o:spid="_x0000_s1026" o:spt="109" type="#_x0000_t109" style="position:absolute;left:4183;top:672653;height:472;width:889;v-text-anchor:middle;" filled="f" stroked="f" coordsize="21600,21600" o:gfxdata="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fY9qytwAAANwAAAAP&#10;AAAAAAAAAAEAIAAAACIAAABkcnMvZG93bnJldi54bWxQSwECFAAUAAAACACHTuJAMy8FnjsAAAA5&#10;AAAAEAAAAAAAAAABACAAAAAGAQAAZHJzL3NoYXBleG1sLnhtbFBLBQYAAAAABgAGAFsBAACwAwAA&#10;AAA=&#10;">
                                        <v:fill on="f" focussize="0,0"/>
                                        <v:stroke on="f" weight="1pt" miterlimit="8" joinstyle="miter"/>
                                        <v:imagedata o:title=""/>
                                        <o:lock v:ext="edit" aspectratio="f"/>
                                        <v:textbox>
                                          <w:txbxContent>
                                            <w:p w14:paraId="19F54F6B">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0.17</w:t>
                                              </w:r>
                                            </w:p>
                                          </w:txbxContent>
                                        </v:textbox>
                                      </v:shape>
                                      <v:group id="组合 164" o:spid="_x0000_s1026" o:spt="203" style="position:absolute;left:2857;top:670157;height:6027;width:8022;" coordorigin="2518,670157" coordsize="8022,6027" o:gfxdata="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sc+fBvwAAANwAAAAPAAAAAAAAAAEAIAAAACIAAABkcnMvZG93bnJldi54&#10;bWxQSwECFAAUAAAACACHTuJAMy8FnjsAAAA5AAAAFQAAAAAAAAABACAAAAAOAQAAZHJzL2dyb3Vw&#10;c2hhcGV4bWwueG1sUEsFBgAAAAAGAAYAYAEAAMsDAAAAAA==&#10;">
                                        <o:lock v:ext="edit" aspectratio="f"/>
                                        <v:shape id="流程图: 过程 33" o:spid="_x0000_s1026" o:spt="109" type="#_x0000_t109" style="position:absolute;left:7774;top:673769;height:472;width:889;v-text-anchor:middle;" filled="f" stroked="f" coordsize="21600,21600" o:gfxdata="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eLOX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510312C3">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1.6</w:t>
                                                </w:r>
                                              </w:p>
                                            </w:txbxContent>
                                          </v:textbox>
                                        </v:shape>
                                        <v:group id="组合 163" o:spid="_x0000_s1026" o:spt="203" style="position:absolute;left:2518;top:670157;height:6027;width:8022;" coordorigin="2857,670157" coordsize="8022,6027" o:gfxdata="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P0JavwAAANwAAAAPAAAAAAAAAAEAIAAAACIAAABkcnMvZG93bnJldi54&#10;bWxQSwECFAAUAAAACACHTuJAMy8FnjsAAAA5AAAAFQAAAAAAAAABACAAAAAOAQAAZHJzL2dyb3Vw&#10;c2hhcGV4bWwueG1sUEsFBgAAAAAGAAYAYAEAAMsDAAAAAA==&#10;">
                                          <o:lock v:ext="edit" aspectratio="f"/>
                                          <v:group id="组合 72" o:spid="_x0000_s1026" o:spt="203" style="position:absolute;left:2857;top:670157;height:5865;width:8022;" coordorigin="2702,688850" coordsize="8022,5865" o:gfxdata="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NbaLsAAAADcAAAADwAAAAAAAAABACAAAAAiAAAAZHJzL2Rvd25yZXYu&#10;eG1sUEsBAhQAFAAAAAgAh07iQDMvBZ47AAAAOQAAABUAAAAAAAAAAQAgAAAADwEAAGRycy9ncm91&#10;cHNoYXBleG1sLnhtbFBLBQYAAAAABgAGAGABAADMAwAAAAA=&#10;">
                                            <o:lock v:ext="edit" aspectratio="f"/>
                                            <v:group id="组合 67" o:spid="_x0000_s1026" o:spt="203" style="position:absolute;left:2702;top:688850;height:5865;width:8022;" coordorigin="2702,688850" coordsize="8022,5865" o:gfxdata="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jmn+1vwAAANwAAAAPAAAAAAAAAAEAIAAAACIAAABkcnMvZG93bnJldi54&#10;bWxQSwECFAAUAAAACACHTuJAMy8FnjsAAAA5AAAAFQAAAAAAAAABACAAAAAOAQAAZHJzL2dyb3Vw&#10;c2hhcGV4bWwueG1sUEsFBgAAAAAGAAYAYAEAAMsDAAAAAA==&#10;">
                                              <o:lock v:ext="edit" aspectratio="f"/>
                                              <v:shape id="肘形连接符 250" o:spid="_x0000_s1026" o:spt="33" type="#_x0000_t33" style="position:absolute;left:5821;top:692046;flip:y;height:237;width:546;" filled="f" stroked="t" coordsize="21600,21600" o:gfxdata="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g9Nr4A&#10;AADbAAAADwAAAAAAAAABACAAAAAiAAAAZHJzL2Rvd25yZXYueG1sUEsBAhQAFAAAAAgAh07iQDMv&#10;BZ47AAAAOQAAABAAAAAAAAAAAQAgAAAADQEAAGRycy9zaGFwZXhtbC54bWxQSwUGAAAAAAYABgBb&#10;AQAAtwMAAAAA&#10;">
                                                <v:fill on="f" focussize="0,0"/>
                                                <v:stroke weight="1pt" color="#000000 [3213]" miterlimit="8" joinstyle="miter" endarrow="block"/>
                                                <v:imagedata o:title=""/>
                                                <o:lock v:ext="edit" aspectratio="f"/>
                                              </v:shape>
                                              <v:group id="组合 66" o:spid="_x0000_s1026" o:spt="203" style="position:absolute;left:2702;top:688850;height:5865;width:8022;" coordorigin="2702,688850" coordsize="8022,5865" o:gfxdata="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0jhwsAAAADcAAAADwAAAAAAAAABACAAAAAiAAAAZHJzL2Rvd25yZXYu&#10;eG1sUEsBAhQAFAAAAAgAh07iQDMvBZ47AAAAOQAAABUAAAAAAAAAAQAgAAAADwEAAGRycy9ncm91&#10;cHNoYXBleG1sLnhtbFBLBQYAAAAABgAGAGABAADMAwAAAAA=&#10;">
                                                <o:lock v:ext="edit" aspectratio="f"/>
                                                <v:group id="组合 14" o:spid="_x0000_s1026" o:spt="203" style="position:absolute;left:2702;top:688850;height:5865;width:8022;" coordorigin="4565,688887" coordsize="8022,5865" o:gfxdata="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wERFm+AAAA3AAAAA8AAAAAAAAAAQAgAAAAIgAAAGRycy9kb3ducmV2Lnht&#10;bFBLAQIUABQAAAAIAIdO4kAzLwWeOwAAADkAAAAVAAAAAAAAAAEAIAAAAA0BAABkcnMvZ3JvdXBz&#10;aGFwZXhtbC54bWxQSwUGAAAAAAYABgBgAQAAygMAAAAA&#10;">
                                                  <o:lock v:ext="edit" aspectratio="f"/>
                                                  <v:group id="组合 7" o:spid="_x0000_s1026" o:spt="203" style="position:absolute;left:4565;top:688887;height:5865;width:8022;" coordorigin="2427,687232" coordsize="8022,5865" o:gfxdata="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Nm9ArvAAAANwAAAAPAAAAAAAAAAEAIAAAACIAAABkcnMvZG93bnJldi54bWxQ&#10;SwECFAAUAAAACACHTuJAMy8FnjsAAAA5AAAAFQAAAAAAAAABACAAAAALAQAAZHJzL2dyb3Vwc2hh&#10;cGV4bWwueG1sUEsFBgAAAAAGAAYAYAEAAMgDAAAAAA==&#10;">
                                                    <o:lock v:ext="edit" aspectratio="f"/>
                                                    <v:group id="组合 703" o:spid="_x0000_s1026" o:spt="203" style="position:absolute;left:2427;top:687232;height:5865;width:8022;" coordorigin="8802,738475" coordsize="8022,5865" o:gfxdata="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LXdbC+AAAA3AAAAA8AAAAAAAAAAQAgAAAAIgAAAGRycy9kb3ducmV2Lnht&#10;bFBLAQIUABQAAAAIAIdO4kAzLwWeOwAAADkAAAAVAAAAAAAAAAEAIAAAAA0BAABkcnMvZ3JvdXBz&#10;aGFwZXhtbC54bWxQSwUGAAAAAAYABgBgAQAAygMAAAAA&#10;">
                                                      <o:lock v:ext="edit" aspectratio="f"/>
                                                      <v:shape id="流程图: 过程 9" o:spid="_x0000_s1026" o:spt="109" type="#_x0000_t109" style="position:absolute;left:10576;top:738920;height:532;width:1187;v-text-anchor:middle;" filled="f" stroked="t" coordsize="21600,21600" o:gfxdata="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5v3ge5AAAA3AAA&#10;AA8AAAAAAAAAAQAgAAAAIgAAAGRycy9kb3ducmV2LnhtbFBLAQIUABQAAAAIAIdO4kAzLwWeOwAA&#10;ADkAAAAQAAAAAAAAAAEAIAAAAAgBAABkcnMvc2hhcGV4bWwueG1sUEsFBgAAAAAGAAYAWwEAALID&#10;AAAAAA==&#10;">
                                                        <v:fill on="f" focussize="0,0"/>
                                                        <v:stroke color="#000000 [3213]" miterlimit="8" joinstyle="miter"/>
                                                        <v:imagedata o:title=""/>
                                                        <o:lock v:ext="edit" aspectratio="f"/>
                                                        <v:textbox>
                                                          <w:txbxContent>
                                                            <w:p w14:paraId="4B97EF6A">
                                                              <w:pPr>
                                                                <w:keepNext w:val="0"/>
                                                                <w:keepLines w:val="0"/>
                                                                <w:pageBreakBefore w:val="0"/>
                                                                <w:widowControl w:val="0"/>
                                                                <w:kinsoku/>
                                                                <w:wordWrap/>
                                                                <w:overflowPunct/>
                                                                <w:topLinePunct w:val="0"/>
                                                                <w:bidi w:val="0"/>
                                                                <w:adjustRightInd/>
                                                                <w:snapToGrid/>
                                                                <w:spacing w:line="240" w:lineRule="auto"/>
                                                                <w:jc w:val="center"/>
                                                                <w:textAlignment w:val="auto"/>
                                                                <w:rPr>
                                                                  <w:rFonts w:hint="eastAsia" w:eastAsia="宋体"/>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软水制备</w:t>
                                                              </w:r>
                                                            </w:p>
                                                          </w:txbxContent>
                                                        </v:textbox>
                                                      </v:shape>
                                                      <v:shape id="流程图: 过程 10" o:spid="_x0000_s1026" o:spt="109" type="#_x0000_t109" style="position:absolute;left:11207;top:741109;height:530;width:3329;v-text-anchor:middle;" filled="f" stroked="t" coordsize="21600,21600" o:gfxdata="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kZzvQAA&#10;ANwAAAAPAAAAAAAAAAEAIAAAACIAAABkcnMvZG93bnJldi54bWxQSwECFAAUAAAACACHTuJAMy8F&#10;njsAAAA5AAAAEAAAAAAAAAABACAAAAAMAQAAZHJzL3NoYXBleG1sLnhtbFBLBQYAAAAABgAGAFsB&#10;AAC2AwAAAAA=&#10;">
                                                        <v:fill on="f" focussize="0,0"/>
                                                        <v:stroke color="#000000 [3213]" miterlimit="8" joinstyle="miter"/>
                                                        <v:imagedata o:title=""/>
                                                        <o:lock v:ext="edit" aspectratio="f"/>
                                                        <v:textbox>
                                                          <w:txbxContent>
                                                            <w:p w14:paraId="3EEE5BF6">
                                                              <w:pPr>
                                                                <w:widowControl/>
                                                                <w:spacing w:line="240" w:lineRule="auto"/>
                                                                <w:ind w:firstLine="0" w:firstLineChars="0"/>
                                                                <w:jc w:val="center"/>
                                                                <w:rPr>
                                                                  <w:rFonts w:hint="eastAsia"/>
                                                                  <w:lang w:eastAsia="zh-CN"/>
                                                                </w:rPr>
                                                              </w:pPr>
                                                              <w:r>
                                                                <w:rPr>
                                                                  <w:rFonts w:hint="eastAsia"/>
                                                                  <w:color w:val="000000" w:themeColor="text1"/>
                                                                  <w:sz w:val="21"/>
                                                                  <w:szCs w:val="21"/>
                                                                  <w:lang w:val="en-US" w:eastAsia="zh-CN"/>
                                                                  <w14:textFill>
                                                                    <w14:solidFill>
                                                                      <w14:schemeClr w14:val="tx1"/>
                                                                    </w14:solidFill>
                                                                  </w14:textFill>
                                                                </w:rPr>
                                                                <w:t>废气治理</w:t>
                                                              </w:r>
                                                              <w:r>
                                                                <w:rPr>
                                                                  <w:rFonts w:hint="eastAsia"/>
                                                                  <w:color w:val="000000" w:themeColor="text1"/>
                                                                  <w:sz w:val="21"/>
                                                                  <w:szCs w:val="21"/>
                                                                  <w:lang w:eastAsia="zh-CN"/>
                                                                  <w14:textFill>
                                                                    <w14:solidFill>
                                                                      <w14:schemeClr w14:val="tx1"/>
                                                                    </w14:solidFill>
                                                                  </w14:textFill>
                                                                </w:rPr>
                                                                <w:t>系统</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r>
                                                                <w:rPr>
                                                                  <w:rFonts w:hint="eastAsia" w:cs="Times New Roman"/>
                                                                  <w:color w:val="0000FF"/>
                                                                  <w:sz w:val="21"/>
                                                                  <w:szCs w:val="21"/>
                                                                  <w:lang w:val="en-US" w:eastAsia="zh-CN"/>
                                                                </w:rPr>
                                                                <w:t>-0.35</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w:t>
                                                              </w:r>
                                                            </w:p>
                                                          </w:txbxContent>
                                                        </v:textbox>
                                                      </v:shape>
                                                      <v:shape id="直接箭头连接符 15" o:spid="_x0000_s1026" o:spt="32" type="#_x0000_t32" style="position:absolute;left:8868;top:740954;height:0;width:968;" filled="f" stroked="t" coordsize="21600,21600" o:gfxdata="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6JDEr4A&#10;AADcAAAADwAAAAAAAAABACAAAAAiAAAAZHJzL2Rvd25yZXYueG1sUEsBAhQAFAAAAAgAh07iQDMv&#10;BZ47AAAAOQAAABAAAAAAAAAAAQAgAAAADQEAAGRycy9zaGFwZXhtbC54bWxQSwUGAAAAAAYABgBb&#10;AQAAtwMAAAAA&#10;">
                                                        <v:fill on="f" focussize="0,0"/>
                                                        <v:stroke weight="1pt" color="#000000 [3213]" miterlimit="8" joinstyle="miter" endarrow="block"/>
                                                        <v:imagedata o:title=""/>
                                                        <o:lock v:ext="edit" aspectratio="f"/>
                                                      </v:shape>
                                                      <v:shape id="流程图: 过程 16" o:spid="_x0000_s1026" o:spt="109" type="#_x0000_t109" style="position:absolute;left:12644;top:738591;height:518;width:2045;v-text-anchor:middle;" filled="f" stroked="t" coordsize="21600,21600" o:gfxdata="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0YrNvQAA&#10;ANwAAAAPAAAAAAAAAAEAIAAAACIAAABkcnMvZG93bnJldi54bWxQSwECFAAUAAAACACHTuJAMy8F&#10;njsAAAA5AAAAEAAAAAAAAAABACAAAAAMAQAAZHJzL3NoYXBleG1sLnhtbFBLBQYAAAAABgAGAFsB&#10;AAC2AwAAAAA=&#10;">
                                                        <v:fill on="f" focussize="0,0"/>
                                                        <v:stroke color="#000000 [3213]" miterlimit="8" joinstyle="miter"/>
                                                        <v:imagedata o:title=""/>
                                                        <o:lock v:ext="edit" aspectratio="f"/>
                                                        <v:textbox>
                                                          <w:txbxContent>
                                                            <w:p w14:paraId="0EB6A767">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设备冲洗（</w:t>
                                                              </w:r>
                                                              <w:r>
                                                                <w:rPr>
                                                                  <w:rFonts w:hint="eastAsia"/>
                                                                  <w:color w:val="000000" w:themeColor="text1"/>
                                                                  <w:sz w:val="21"/>
                                                                  <w:szCs w:val="21"/>
                                                                  <w:lang w:val="en-US" w:eastAsia="zh-CN"/>
                                                                  <w14:textFill>
                                                                    <w14:solidFill>
                                                                      <w14:schemeClr w14:val="tx1"/>
                                                                    </w14:solidFill>
                                                                  </w14:textFill>
                                                                </w:rPr>
                                                                <w:t>-0.02</w:t>
                                                              </w:r>
                                                              <w:r>
                                                                <w:rPr>
                                                                  <w:rFonts w:hint="eastAsia"/>
                                                                  <w:color w:val="000000" w:themeColor="text1"/>
                                                                  <w:sz w:val="21"/>
                                                                  <w:szCs w:val="21"/>
                                                                  <w:lang w:eastAsia="zh-CN"/>
                                                                  <w14:textFill>
                                                                    <w14:solidFill>
                                                                      <w14:schemeClr w14:val="tx1"/>
                                                                    </w14:solidFill>
                                                                  </w14:textFill>
                                                                </w:rPr>
                                                                <w:t>）</w:t>
                                                              </w:r>
                                                            </w:p>
                                                          </w:txbxContent>
                                                        </v:textbox>
                                                      </v:shape>
                                                      <v:shape id="直接箭头连接符 17" o:spid="_x0000_s1026" o:spt="32" type="#_x0000_t32" style="position:absolute;left:9833;top:739192;height:13;width:735;" filled="f" stroked="t" coordsize="21600,21600" o:gfxdata="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Hp6Ub4A&#10;AADcAAAADwAAAAAAAAABACAAAAAiAAAAZHJzL2Rvd25yZXYueG1sUEsBAhQAFAAAAAgAh07iQDMv&#10;BZ47AAAAOQAAABAAAAAAAAAAAQAgAAAADQEAAGRycy9zaGFwZXhtbC54bWxQSwUGAAAAAAYABgBb&#10;AQAAtwMAAAAA&#10;">
                                                        <v:fill on="f" focussize="0,0"/>
                                                        <v:stroke weight="1pt" color="#000000 [3213]" miterlimit="8" joinstyle="miter" endarrow="block"/>
                                                        <v:imagedata o:title=""/>
                                                        <o:lock v:ext="edit" aspectratio="f"/>
                                                      </v:shape>
                                                      <v:line id="直接连接符 18" o:spid="_x0000_s1026" o:spt="20" style="position:absolute;left:9842;top:739201;height:5123;width:13;" filled="f" stroked="t" coordsize="21600,21600" o:gfxdata="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6Pqxm/&#10;AAAA3AAAAA8AAAAAAAAAAQAgAAAAIgAAAGRycy9kb3ducmV2LnhtbFBLAQIUABQAAAAIAIdO4kAz&#10;LwWeOwAAADkAAAAQAAAAAAAAAAEAIAAAAA4BAABkcnMvc2hhcGV4bWwueG1sUEsFBgAAAAAGAAYA&#10;WwEAALgDAAAAAA==&#10;">
                                                        <v:fill on="f" focussize="0,0"/>
                                                        <v:stroke weight="1pt" color="#000000 [3213]" miterlimit="8" joinstyle="miter"/>
                                                        <v:imagedata o:title=""/>
                                                        <o:lock v:ext="edit" aspectratio="f"/>
                                                      </v:line>
                                                      <v:shape id="流程图: 过程 27" o:spid="_x0000_s1026" o:spt="109" type="#_x0000_t109" style="position:absolute;left:9809;top:738772;height:532;width:728;v-text-anchor:middle;" filled="f" stroked="f" coordsize="21600,21600" o:gfxdata="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iMmb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04545B2C">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0.96</w:t>
                                                              </w:r>
                                                            </w:p>
                                                          </w:txbxContent>
                                                        </v:textbox>
                                                      </v:shape>
                                                      <v:shape id="肘形连接符 31" o:spid="_x0000_s1026" o:spt="35" type="#_x0000_t35" style="position:absolute;left:13388;top:741419;flip:x;height:266;width:1199;" filled="f" stroked="t" coordsize="21600,21600" o:gfxdata="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4ijHugAAANwA&#10;AAAPAAAAAAAAAAEAIAAAACIAAABkcnMvZG93bnJldi54bWxQSwECFAAUAAAACACHTuJAMy8FnjsA&#10;AAA5AAAAEAAAAAAAAAABACAAAAAJAQAAZHJzL3NoYXBleG1sLnhtbFBLBQYAAAAABgAGAFsBAACz&#10;AwAAAAA=&#10;" adj="-6756,52051">
                                                        <v:fill on="f" focussize="0,0"/>
                                                        <v:stroke color="#000000 [3213]" miterlimit="8" joinstyle="miter" dashstyle="dash" endarrow="block"/>
                                                        <v:imagedata o:title=""/>
                                                        <o:lock v:ext="edit" aspectratio="f"/>
                                                      </v:shape>
                                                      <v:shape id="流程图: 过程 32" o:spid="_x0000_s1026" o:spt="109" type="#_x0000_t109" style="position:absolute;left:13013;top:743485;height:464;width:889;v-text-anchor:middle;" filled="f" stroked="f" coordsize="21600,21600" o:gfxdata="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W/hy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1A4AE170">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86.4</w:t>
                                                              </w:r>
                                                            </w:p>
                                                          </w:txbxContent>
                                                        </v:textbox>
                                                      </v:shape>
                                                      <v:shape id="流程图: 过程 33" o:spid="_x0000_s1026" o:spt="109" type="#_x0000_t109" style="position:absolute;left:10121;top:742697;height:472;width:889;v-text-anchor:middle;" filled="f" stroked="f" coordsize="21600,21600" o:gfxdata="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KZyKStwAAANwAAAAP&#10;AAAAAAAAAAEAIAAAACIAAABkcnMvZG93bnJldi54bWxQSwECFAAUAAAACACHTuJAMy8FnjsAAAA5&#10;AAAAEAAAAAAAAAABACAAAAAGAQAAZHJzL3NoYXBleG1sLnhtbFBLBQYAAAAABgAGAFsBAACwAwAA&#10;AAA=&#10;">
                                                        <v:fill on="f" focussize="0,0"/>
                                                        <v:stroke on="f" weight="1pt" miterlimit="8" joinstyle="miter"/>
                                                        <v:imagedata o:title=""/>
                                                        <o:lock v:ext="edit" aspectratio="f"/>
                                                        <v:textbox>
                                                          <w:txbxContent>
                                                            <w:p w14:paraId="3B358670">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1.29</w:t>
                                                              </w:r>
                                                            </w:p>
                                                          </w:txbxContent>
                                                        </v:textbox>
                                                      </v:shape>
                                                      <v:line id="直接连接符 36" o:spid="_x0000_s1026" o:spt="20" style="position:absolute;left:15329;top:738843;height:5497;width:26;" filled="f" stroked="t" coordsize="21600,21600" o:gfxdata="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my3me/&#10;AAAA3AAAAA8AAAAAAAAAAQAgAAAAIgAAAGRycy9kb3ducmV2LnhtbFBLAQIUABQAAAAIAIdO4kAz&#10;LwWeOwAAADkAAAAQAAAAAAAAAAEAIAAAAA4BAABkcnMvc2hhcGV4bWwueG1sUEsFBgAAAAAGAAYA&#10;WwEAALgDAAAAAA==&#10;">
                                                        <v:fill on="f" focussize="0,0"/>
                                                        <v:stroke weight="1pt" color="#000000 [3213]" miterlimit="8" joinstyle="miter"/>
                                                        <v:imagedata o:title=""/>
                                                        <o:lock v:ext="edit" aspectratio="f"/>
                                                      </v:line>
                                                      <v:shape id="直接箭头连接符 52" o:spid="_x0000_s1026" o:spt="32" type="#_x0000_t32" style="position:absolute;left:14582;top:741259;flip:y;height:8;width:783;" filled="f" stroked="t" coordsize="21600,21600" o:gfxdata="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B7Ld74A&#10;AADcAAAADwAAAAAAAAABACAAAAAiAAAAZHJzL2Rvd25yZXYueG1sUEsBAhQAFAAAAAgAh07iQDMv&#10;BZ47AAAAOQAAABAAAAAAAAAAAQAgAAAADQEAAGRycy9zaGFwZXhtbC54bWxQSwUGAAAAAAYABgBb&#10;AQAAtwMAAAAA&#10;">
                                                        <v:fill on="f" focussize="0,0"/>
                                                        <v:stroke weight="1pt" color="#000000 [3213]" miterlimit="8" joinstyle="miter" endarrow="block"/>
                                                        <v:imagedata o:title=""/>
                                                        <o:lock v:ext="edit" aspectratio="f"/>
                                                      </v:shape>
                                                      <v:shape id="流程图: 过程 48" o:spid="_x0000_s1026" o:spt="109" type="#_x0000_t109" style="position:absolute;left:13360;top:740056;height:464;width:820;v-text-anchor:middle;" filled="f" stroked="f" coordsize="21600,21600" o:gfxdata="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XCSR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2625004C">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0.64</w:t>
                                                              </w:r>
                                                            </w:p>
                                                          </w:txbxContent>
                                                        </v:textbox>
                                                      </v:shape>
                                                      <v:shape id="流程图: 过程 51" o:spid="_x0000_s1026" o:spt="109" type="#_x0000_t109" style="position:absolute;left:14147;top:742727;height:464;width:820;v-text-anchor:middle;" filled="f" stroked="f" coordsize="21600,21600" o:gfxdata="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EIEK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37220861">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0.43</w:t>
                                                              </w:r>
                                                            </w:p>
                                                          </w:txbxContent>
                                                        </v:textbox>
                                                      </v:shape>
                                                      <v:shape id="流程图: 过程 73" o:spid="_x0000_s1026" o:spt="109" type="#_x0000_t109" style="position:absolute;left:15378;top:739991;height:464;width:820;v-text-anchor:middle;" filled="f" stroked="f" coordsize="21600,21600" o:gfxdata="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jrrm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33420BAE">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FF"/>
                                                                  <w:sz w:val="21"/>
                                                                  <w:szCs w:val="21"/>
                                                                  <w:lang w:val="en-US" w:eastAsia="zh-CN"/>
                                                                </w:rPr>
                                                              </w:pPr>
                                                              <w:r>
                                                                <w:rPr>
                                                                  <w:rFonts w:hint="eastAsia"/>
                                                                  <w:color w:val="0000FF"/>
                                                                  <w:sz w:val="21"/>
                                                                  <w:szCs w:val="21"/>
                                                                  <w:lang w:val="en-US" w:eastAsia="zh-CN"/>
                                                                </w:rPr>
                                                                <w:t>4.01</w:t>
                                                              </w:r>
                                                            </w:p>
                                                          </w:txbxContent>
                                                        </v:textbox>
                                                      </v:shape>
                                                      <v:shape id="流程图: 过程 71" o:spid="_x0000_s1026" o:spt="109" type="#_x0000_t109" style="position:absolute;left:15442;top:740743;height:2187;width:1382;v-text-anchor:middle;" filled="f" stroked="t" coordsize="21600,21600" o:gfxdata="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3PEaugAAANwA&#10;AAAPAAAAAAAAAAEAIAAAACIAAABkcnMvZG93bnJldi54bWxQSwECFAAUAAAACACHTuJAMy8FnjsA&#10;AAA5AAAAEAAAAAAAAAABACAAAAAJAQAAZHJzL3NoYXBleG1sLnhtbFBLBQYAAAAABgAGAFsBAACz&#10;AwAAAAA=&#10;">
                                                        <v:fill on="f" focussize="0,0"/>
                                                        <v:stroke color="#000000 [3213]" miterlimit="8" joinstyle="miter"/>
                                                        <v:imagedata o:title=""/>
                                                        <o:lock v:ext="edit" aspectratio="f"/>
                                                        <v:textbox>
                                                          <w:txbxContent>
                                                            <w:p w14:paraId="55C4D453">
                                                              <w:pPr>
                                                                <w:keepNext w:val="0"/>
                                                                <w:keepLines w:val="0"/>
                                                                <w:pageBreakBefore w:val="0"/>
                                                                <w:widowControl w:val="0"/>
                                                                <w:kinsoku/>
                                                                <w:wordWrap/>
                                                                <w:overflowPunct/>
                                                                <w:topLinePunct w:val="0"/>
                                                                <w:bidi w:val="0"/>
                                                                <w:adjustRightInd/>
                                                                <w:snapToGrid/>
                                                                <w:spacing w:line="240" w:lineRule="auto"/>
                                                                <w:textAlignment w:val="auto"/>
                                                                <w:rPr>
                                                                  <w:rFonts w:hint="eastAsia"/>
                                                                  <w:lang w:eastAsia="zh-CN"/>
                                                                </w:rPr>
                                                              </w:pPr>
                                                              <w:r>
                                                                <w:rPr>
                                                                  <w:rFonts w:hint="eastAsia" w:cs="Times New Roman"/>
                                                                  <w:color w:val="000000"/>
                                                                  <w:spacing w:val="0"/>
                                                                  <w:kern w:val="2"/>
                                                                  <w:sz w:val="21"/>
                                                                  <w:szCs w:val="21"/>
                                                                  <w:highlight w:val="none"/>
                                                                  <w:lang w:val="en-US" w:eastAsia="zh-CN" w:bidi="ar"/>
                                                                </w:rPr>
                                                                <w:t>送</w:t>
                                                              </w:r>
                                                              <w:r>
                                                                <w:rPr>
                                                                  <w:rFonts w:hint="eastAsia" w:ascii="Times New Roman" w:hAnsi="Times New Roman" w:eastAsia="宋体" w:cs="Times New Roman"/>
                                                                  <w:color w:val="000000"/>
                                                                  <w:spacing w:val="0"/>
                                                                  <w:kern w:val="2"/>
                                                                  <w:sz w:val="21"/>
                                                                  <w:szCs w:val="21"/>
                                                                  <w:highlight w:val="none"/>
                                                                  <w:lang w:val="en-US" w:eastAsia="zh-CN" w:bidi="ar"/>
                                                                </w:rPr>
                                                                <w:t>厂综合污水处理站，处理达标后经</w:t>
                                                              </w:r>
                                                              <w:r>
                                                                <w:rPr>
                                                                  <w:rFonts w:hint="eastAsia" w:cs="Times New Roman"/>
                                                                  <w:color w:val="000000"/>
                                                                  <w:spacing w:val="0"/>
                                                                  <w:kern w:val="2"/>
                                                                  <w:sz w:val="21"/>
                                                                  <w:szCs w:val="21"/>
                                                                  <w:highlight w:val="none"/>
                                                                  <w:lang w:val="en-US" w:eastAsia="zh-CN" w:bidi="ar"/>
                                                                </w:rPr>
                                                                <w:t>园区</w:t>
                                                              </w:r>
                                                              <w:r>
                                                                <w:rPr>
                                                                  <w:rFonts w:hint="eastAsia" w:ascii="Times New Roman" w:hAnsi="Times New Roman" w:eastAsia="宋体" w:cs="Times New Roman"/>
                                                                  <w:color w:val="000000"/>
                                                                  <w:spacing w:val="0"/>
                                                                  <w:kern w:val="2"/>
                                                                  <w:sz w:val="21"/>
                                                                  <w:szCs w:val="21"/>
                                                                  <w:highlight w:val="none"/>
                                                                  <w:lang w:val="en-US" w:eastAsia="zh-CN" w:bidi="ar"/>
                                                                </w:rPr>
                                                                <w:t>污水管网排入</w:t>
                                                              </w:r>
                                                              <w:r>
                                                                <w:rPr>
                                                                  <w:rFonts w:hint="eastAsia" w:cs="Times New Roman"/>
                                                                  <w:color w:val="000000"/>
                                                                  <w:spacing w:val="0"/>
                                                                  <w:kern w:val="2"/>
                                                                  <w:sz w:val="21"/>
                                                                  <w:szCs w:val="21"/>
                                                                  <w:highlight w:val="none"/>
                                                                  <w:lang w:val="en-US" w:eastAsia="zh-CN" w:bidi="ar"/>
                                                                </w:rPr>
                                                                <w:t>良村南污水处理厂</w:t>
                                                              </w:r>
                                                            </w:p>
                                                          </w:txbxContent>
                                                        </v:textbox>
                                                      </v:shape>
                                                      <v:shape id="肘形连接符 72" o:spid="_x0000_s1026" o:spt="33" type="#_x0000_t33" style="position:absolute;left:15333;top:740376;height:367;width:799;" filled="f" stroked="t" coordsize="21600,21600" o:gfxdata="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s2sW8AAAA&#10;3AAAAA8AAAAAAAAAAQAgAAAAIgAAAGRycy9kb3ducmV2LnhtbFBLAQIUABQAAAAIAIdO4kAzLwWe&#10;OwAAADkAAAAQAAAAAAAAAAEAIAAAAAsBAABkcnMvc2hhcGV4bWwueG1sUEsFBgAAAAAGAAYAWwEA&#10;ALUDAAAAAA==&#10;">
                                                        <v:fill on="f" focussize="0,0"/>
                                                        <v:stroke weight="1pt" color="#000000 [3213]" miterlimit="8" joinstyle="miter" endarrow="block"/>
                                                        <v:imagedata o:title=""/>
                                                        <o:lock v:ext="edit" aspectratio="f"/>
                                                      </v:shape>
                                                      <v:shape id="流程图: 过程 147" o:spid="_x0000_s1026" o:spt="109" type="#_x0000_t109" style="position:absolute;left:8802;top:740547;height:887;width:1009;v-text-anchor:middle;" filled="f" stroked="f" coordsize="21600,21600" o:gfxdata="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hbJM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179F5B9A">
                                                              <w:pPr>
                                                                <w:keepNext w:val="0"/>
                                                                <w:keepLines w:val="0"/>
                                                                <w:pageBreakBefore w:val="0"/>
                                                                <w:widowControl w:val="0"/>
                                                                <w:kinsoku/>
                                                                <w:wordWrap/>
                                                                <w:overflowPunct/>
                                                                <w:topLinePunct w:val="0"/>
                                                                <w:bidi w:val="0"/>
                                                                <w:adjustRightInd/>
                                                                <w:snapToGrid/>
                                                                <w:spacing w:line="360" w:lineRule="auto"/>
                                                                <w:jc w:val="center"/>
                                                                <w:textAlignment w:val="auto"/>
                                                                <w:rPr>
                                                                  <w:rFonts w:hint="eastAsia"/>
                                                                  <w:color w:val="000000" w:themeColor="text1"/>
                                                                  <w:sz w:val="21"/>
                                                                  <w:szCs w:val="21"/>
                                                                  <w:lang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新鲜水</w:t>
                                                              </w:r>
                                                            </w:p>
                                                            <w:p w14:paraId="22C1FE21">
                                                              <w:pPr>
                                                                <w:keepNext w:val="0"/>
                                                                <w:keepLines w:val="0"/>
                                                                <w:pageBreakBefore w:val="0"/>
                                                                <w:widowControl w:val="0"/>
                                                                <w:kinsoku/>
                                                                <w:wordWrap/>
                                                                <w:overflowPunct/>
                                                                <w:topLinePunct w:val="0"/>
                                                                <w:bidi w:val="0"/>
                                                                <w:adjustRightInd/>
                                                                <w:snapToGrid/>
                                                                <w:spacing w:line="36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5.96</w:t>
                                                              </w:r>
                                                            </w:p>
                                                          </w:txbxContent>
                                                        </v:textbox>
                                                      </v:shape>
                                                      <v:shape id="流程图: 过程 48" o:spid="_x0000_s1026" o:spt="109" type="#_x0000_t109" style="position:absolute;left:12078;top:738488;height:464;width:636;v-text-anchor:middle;" filled="f" stroked="f" coordsize="21600,21600" o:gfxdata="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G4mg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7096C342">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0.1</w:t>
                                                              </w:r>
                                                            </w:p>
                                                          </w:txbxContent>
                                                        </v:textbox>
                                                      </v:shape>
                                                      <v:shape id="流程图: 过程 16" o:spid="_x0000_s1026" o:spt="109" type="#_x0000_t109" style="position:absolute;left:12625;top:739404;height:518;width:2073;v-text-anchor:middle;" filled="f" stroked="t" coordsize="21600,21600" o:gfxdata="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1aW6/&#10;AAAA3AAAAA8AAAAAAAAAAQAgAAAAIgAAAGRycy9kb3ducmV2LnhtbFBLAQIUABQAAAAIAIdO4kAz&#10;LwWeOwAAADkAAAAQAAAAAAAAAAEAIAAAAA4BAABkcnMvc2hhcGV4bWwueG1sUEsFBgAAAAAGAAYA&#10;WwEAALgDAAAAAA==&#10;">
                                                        <v:fill on="f" focussize="0,0"/>
                                                        <v:stroke color="#000000 [3213]" miterlimit="8" joinstyle="miter"/>
                                                        <v:imagedata o:title=""/>
                                                        <o:lock v:ext="edit" aspectratio="f"/>
                                                        <v:textbox>
                                                          <w:txbxContent>
                                                            <w:p w14:paraId="3EEB6561">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eastAsia="zh-CN"/>
                                                                  <w14:textFill>
                                                                    <w14:solidFill>
                                                                      <w14:schemeClr w14:val="tx1"/>
                                                                    </w14:solidFill>
                                                                  </w14:textFill>
                                                                </w:rPr>
                                                                <w:t>生产用水</w:t>
                                                              </w:r>
                                                            </w:p>
                                                          </w:txbxContent>
                                                        </v:textbox>
                                                      </v:shape>
                                                      <v:shape id="直接箭头连接符 44" o:spid="_x0000_s1026" o:spt="32" type="#_x0000_t32" style="position:absolute;left:14689;top:738850;height:8;width:628;" filled="f" stroked="t" coordsize="21600,21600" o:gfxdata="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OiV9LsAAADc&#10;AAAADwAAAAAAAAABACAAAAAiAAAAZHJzL2Rvd25yZXYueG1sUEsBAhQAFAAAAAgAh07iQDMvBZ47&#10;AAAAOQAAABAAAAAAAAAAAQAgAAAACgEAAGRycy9zaGFwZXhtbC54bWxQSwUGAAAAAAYABgBbAQAA&#10;tAMAAAAA&#10;">
                                                        <v:fill on="f" focussize="0,0"/>
                                                        <v:stroke weight="1pt" color="#000000 [3213]" miterlimit="8" joinstyle="miter" endarrow="block"/>
                                                        <v:imagedata o:title=""/>
                                                        <o:lock v:ext="edit" aspectratio="f"/>
                                                      </v:shape>
                                                      <v:shape id="流程图: 过程 48" o:spid="_x0000_s1026" o:spt="109" type="#_x0000_t109" style="position:absolute;left:14635;top:738475;height:464;width:820;v-text-anchor:middle;" filled="f" stroked="f" coordsize="21600,21600" o:gfxdata="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hB3S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44A9174B">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0.08</w:t>
                                                              </w:r>
                                                            </w:p>
                                                          </w:txbxContent>
                                                        </v:textbox>
                                                      </v:shape>
                                                      <v:shape id="肘形连接符 233" o:spid="_x0000_s1026" o:spt="34" type="#_x0000_t34" style="position:absolute;left:11763;top:738850;flip:y;height:336;width:881;" filled="f" stroked="t" coordsize="21600,21600" o:gfxdata="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1l2/2vQAA&#10;ANwAAAAPAAAAAAAAAAEAIAAAACIAAABkcnMvZG93bnJldi54bWxQSwECFAAUAAAACACHTuJAMy8F&#10;njsAAAA5AAAAEAAAAAAAAAABACAAAAAMAQAAZHJzL3NoYXBleG1sLnhtbFBLBQYAAAAABgAGAFsB&#10;AAC2AwAAAAA=&#10;" adj="5149">
                                                        <v:fill on="f" focussize="0,0"/>
                                                        <v:stroke weight="1pt" color="#000000 [3213]" miterlimit="8" joinstyle="miter" endarrow="block"/>
                                                        <v:imagedata o:title=""/>
                                                        <o:lock v:ext="edit" aspectratio="f"/>
                                                      </v:shape>
                                                      <v:shape id="肘形连接符 241" o:spid="_x0000_s1026" o:spt="34" type="#_x0000_t34" style="position:absolute;left:11787;top:739181;height:482;width:838;" filled="f" stroked="t" coordsize="21600,21600" o:gfxdata="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JjoJr4A&#10;AADcAAAADwAAAAAAAAABACAAAAAiAAAAZHJzL2Rvd25yZXYueG1sUEsBAhQAFAAAAAgAh07iQDMv&#10;BZ47AAAAOQAAABAAAAAAAAAAAQAgAAAADQEAAGRycy9zaGFwZXhtbC54bWxQSwUGAAAAAAYABgBb&#10;AQAAtwMAAAAA&#10;" adj="4897">
                                                        <v:fill on="f" focussize="0,0"/>
                                                        <v:stroke weight="1pt" color="#000000 [3213]" miterlimit="8" joinstyle="miter" endarrow="block"/>
                                                        <v:imagedata o:title=""/>
                                                        <o:lock v:ext="edit" aspectratio="f"/>
                                                      </v:shape>
                                                      <v:shape id="流程图: 过程 48" o:spid="_x0000_s1026" o:spt="109" type="#_x0000_t109" style="position:absolute;left:12040;top:739294;height:464;width:800;v-text-anchor:middle;" filled="f" stroked="f" coordsize="21600,21600" o:gfxdata="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5MRR65AAAA3AAA&#10;AA8AAAAAAAAAAQAgAAAAIgAAAGRycy9kb3ducmV2LnhtbFBLAQIUABQAAAAIAIdO4kAzLwWeOwAA&#10;ADkAAAAQAAAAAAAAAAEAIAAAAAgBAABkcnMvc2hhcGV4bWwueG1sUEsFBgAAAAAGAAYAWwEAALID&#10;AAAAAA==&#10;">
                                                        <v:fill on="f" focussize="0,0"/>
                                                        <v:stroke on="f" weight="1pt" miterlimit="8" joinstyle="miter"/>
                                                        <v:imagedata o:title=""/>
                                                        <o:lock v:ext="edit" aspectratio="f"/>
                                                        <v:textbox>
                                                          <w:txbxContent>
                                                            <w:p w14:paraId="15597192">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0.67</w:t>
                                                              </w:r>
                                                            </w:p>
                                                          </w:txbxContent>
                                                        </v:textbox>
                                                      </v:shape>
                                                      <v:shape id="肘形连接符 249" o:spid="_x0000_s1026" o:spt="34" type="#_x0000_t34" style="position:absolute;left:11164;top:739491;height:1165;width:4188;" filled="f" stroked="t" coordsize="21600,21600" o:gfxdata="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aHiBu/&#10;AAAA3AAAAA8AAAAAAAAAAQAgAAAAIgAAAGRycy9kb3ducmV2LnhtbFBLAQIUABQAAAAIAIdO4kAz&#10;LwWeOwAAADkAAAAQAAAAAAAAAAEAIAAAAA4BAABkcnMvc2hhcGV4bWwueG1sUEsFBgAAAAAGAAYA&#10;WwEAALgDAAAAAA==&#10;" adj="-26">
                                                        <v:fill on="f" focussize="0,0"/>
                                                        <v:stroke weight="1pt" color="#000000 [3213]" miterlimit="8" joinstyle="miter" endarrow="block"/>
                                                        <v:imagedata o:title=""/>
                                                        <o:lock v:ext="edit" aspectratio="f"/>
                                                      </v:shape>
                                                      <v:shape id="流程图: 过程 48" o:spid="_x0000_s1026" o:spt="109" type="#_x0000_t109" style="position:absolute;left:14092;top:740307;height:464;width:715;v-text-anchor:middle;" filled="f" stroked="f" coordsize="21600,21600" o:gfxdata="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pd1q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50C461E6">
                                                              <w:pPr>
                                                                <w:keepNext w:val="0"/>
                                                                <w:keepLines w:val="0"/>
                                                                <w:pageBreakBefore w:val="0"/>
                                                                <w:widowControl w:val="0"/>
                                                                <w:kinsoku/>
                                                                <w:wordWrap/>
                                                                <w:overflowPunct/>
                                                                <w:topLinePunct w:val="0"/>
                                                                <w:bidi w:val="0"/>
                                                                <w:adjustRightInd/>
                                                                <w:snapToGrid/>
                                                                <w:spacing w:line="240" w:lineRule="auto"/>
                                                                <w:jc w:val="left"/>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0.19</w:t>
                                                              </w:r>
                                                            </w:p>
                                                          </w:txbxContent>
                                                        </v:textbox>
                                                      </v:shape>
                                                    </v:group>
                                                    <v:shape id="流程图: 过程 147" o:spid="_x0000_s1026" o:spt="109" type="#_x0000_t109" style="position:absolute;left:8935;top:687827;height:764;width:1458;v-text-anchor:middle;" filled="f" stroked="f" coordsize="21600,21600" o:gfxdata="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fyRfXugAAANwA&#10;AAAPAAAAAAAAAAEAIAAAACIAAABkcnMvZG93bnJldi54bWxQSwECFAAUAAAACACHTuJAMy8FnjsA&#10;AAA5AAAAEAAAAAAAAAABACAAAAAJAQAAZHJzL3NoYXBleG1sLnhtbFBLBQYAAAAABgAGAFsBAACz&#10;AwAAAAA=&#10;">
                                                      <v:fill on="f" focussize="0,0"/>
                                                      <v:stroke on="f" weight="1pt" miterlimit="8" joinstyle="miter"/>
                                                      <v:imagedata o:title=""/>
                                                      <o:lock v:ext="edit" aspectratio="f"/>
                                                      <v:textbox>
                                                        <w:txbxContent>
                                                          <w:p w14:paraId="52A00109">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18"/>
                                                                <w:szCs w:val="18"/>
                                                                <w:lang w:val="en-US" w:eastAsia="zh-CN"/>
                                                                <w14:textFill>
                                                                  <w14:solidFill>
                                                                    <w14:schemeClr w14:val="tx1"/>
                                                                  </w14:solidFill>
                                                                </w14:textFill>
                                                              </w:rPr>
                                                            </w:pPr>
                                                            <w:r>
                                                              <w:rPr>
                                                                <w:rFonts w:hint="eastAsia"/>
                                                                <w:color w:val="000000" w:themeColor="text1"/>
                                                                <w:sz w:val="18"/>
                                                                <w:szCs w:val="18"/>
                                                                <w:lang w:val="en-US" w:eastAsia="zh-CN"/>
                                                                <w14:textFill>
                                                                  <w14:solidFill>
                                                                    <w14:schemeClr w14:val="tx1"/>
                                                                  </w14:solidFill>
                                                                </w14:textFill>
                                                              </w:rPr>
                                                              <w:t>进入甘氨酸亚铁产品0.03</w:t>
                                                            </w:r>
                                                          </w:p>
                                                        </w:txbxContent>
                                                      </v:textbox>
                                                    </v:shape>
                                                  </v:group>
                                                  <v:line id="直接连接符 125" o:spid="_x0000_s1026" o:spt="20" style="position:absolute;left:9355;top:693461;height:8;width:1692;" filled="f" stroked="t" coordsize="21600,21600" o:gfxdata="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T0GL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rect id="矩形 127" o:spid="_x0000_s1026" o:spt="1" style="position:absolute;left:7030;top:693218;height:671;width:2403;" fillcolor="#FFFFFF" filled="t" stroked="t" coordsize="21600,21600" o:gfxdata="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cHpG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4A89906B">
                                                          <w:pPr>
                                                            <w:keepNext w:val="0"/>
                                                            <w:keepLines w:val="0"/>
                                                            <w:pageBreakBefore w:val="0"/>
                                                            <w:widowControl w:val="0"/>
                                                            <w:kinsoku/>
                                                            <w:wordWrap/>
                                                            <w:overflowPunct/>
                                                            <w:topLinePunct w:val="0"/>
                                                            <w:bidi w:val="0"/>
                                                            <w:adjustRightInd/>
                                                            <w:snapToGrid/>
                                                            <w:spacing w:line="240" w:lineRule="auto"/>
                                                            <w:jc w:val="center"/>
                                                            <w:textAlignment w:val="auto"/>
                                                          </w:pPr>
                                                          <w:r>
                                                            <w:rPr>
                                                              <w:rFonts w:hint="eastAsia"/>
                                                              <w:color w:val="000000" w:themeColor="text1"/>
                                                              <w:sz w:val="21"/>
                                                              <w:szCs w:val="21"/>
                                                              <w:lang w:eastAsia="zh-CN"/>
                                                              <w14:textFill>
                                                                <w14:solidFill>
                                                                  <w14:schemeClr w14:val="tx1"/>
                                                                </w14:solidFill>
                                                              </w14:textFill>
                                                            </w:rPr>
                                                            <w:t>循环冷却水系统（</w:t>
                                                          </w:r>
                                                          <w:r>
                                                            <w:rPr>
                                                              <w:rFonts w:hint="eastAsia"/>
                                                              <w:color w:val="000000" w:themeColor="text1"/>
                                                              <w:sz w:val="21"/>
                                                              <w:szCs w:val="21"/>
                                                              <w:lang w:val="en-US" w:eastAsia="zh-CN"/>
                                                              <w14:textFill>
                                                                <w14:solidFill>
                                                                  <w14:schemeClr w14:val="tx1"/>
                                                                </w14:solidFill>
                                                              </w14:textFill>
                                                            </w:rPr>
                                                            <w:t>-0.86）</w:t>
                                                          </w:r>
                                                        </w:p>
                                                      </w:txbxContent>
                                                    </v:textbox>
                                                  </v:rect>
                                                  <v:line id="直接连接符 128" o:spid="_x0000_s1026" o:spt="20" style="position:absolute;left:5618;top:693439;flip:y;height:8;width:1429;" filled="f" stroked="t" coordsize="21600,21600" o:gfxdata="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f+y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v:shape id="流程图: 过程 147" o:spid="_x0000_s1026" o:spt="109" type="#_x0000_t109" style="position:absolute;left:4051;top:691953;height:518;width:2040;v-text-anchor:middle;" filled="f" stroked="f" coordsize="21600,21600" o:gfxdata="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vIFi5AAAA2wAA&#10;AA8AAAAAAAAAAQAgAAAAIgAAAGRycy9kb3ducmV2LnhtbFBLAQIUABQAAAAIAIdO4kAzLwWeOwAA&#10;ADkAAAAQAAAAAAAAAAEAIAAAAAgBAABkcnMvc2hhcGV4bWwueG1sUEsFBgAAAAAGAAYAWwEAALID&#10;AAAAAA==&#10;">
                                                  <v:fill on="f" focussize="0,0"/>
                                                  <v:stroke on="f" weight="1pt" miterlimit="8" joinstyle="miter"/>
                                                  <v:imagedata o:title=""/>
                                                  <o:lock v:ext="edit" aspectratio="f"/>
                                                  <v:textbox>
                                                    <w:txbxContent>
                                                      <w:p w14:paraId="432A458A">
                                                        <w:pPr>
                                                          <w:keepNext w:val="0"/>
                                                          <w:keepLines w:val="0"/>
                                                          <w:pageBreakBefore w:val="0"/>
                                                          <w:widowControl w:val="0"/>
                                                          <w:kinsoku/>
                                                          <w:wordWrap/>
                                                          <w:overflowPunct/>
                                                          <w:topLinePunct w:val="0"/>
                                                          <w:bidi w:val="0"/>
                                                          <w:adjustRightInd/>
                                                          <w:snapToGrid/>
                                                          <w:spacing w:line="288" w:lineRule="auto"/>
                                                          <w:jc w:val="center"/>
                                                          <w:textAlignment w:val="auto"/>
                                                          <w:rPr>
                                                            <w:rFonts w:hint="default"/>
                                                            <w:color w:val="000000" w:themeColor="text1"/>
                                                            <w:sz w:val="21"/>
                                                            <w:szCs w:val="21"/>
                                                            <w:highlight w:val="none"/>
                                                            <w:lang w:val="en-US" w:eastAsia="zh-CN"/>
                                                            <w14:textFill>
                                                              <w14:solidFill>
                                                                <w14:schemeClr w14:val="tx1"/>
                                                              </w14:solidFill>
                                                            </w14:textFill>
                                                          </w:rPr>
                                                        </w:pPr>
                                                        <w:r>
                                                          <w:rPr>
                                                            <w:rFonts w:hint="eastAsia"/>
                                                            <w:color w:val="000000" w:themeColor="text1"/>
                                                            <w:sz w:val="21"/>
                                                            <w:szCs w:val="21"/>
                                                            <w:highlight w:val="none"/>
                                                            <w:lang w:val="en-US" w:eastAsia="zh-CN"/>
                                                            <w14:textFill>
                                                              <w14:solidFill>
                                                                <w14:schemeClr w14:val="tx1"/>
                                                              </w14:solidFill>
                                                            </w14:textFill>
                                                          </w:rPr>
                                                          <w:t>20%硫酸带入0.02</w:t>
                                                        </w:r>
                                                      </w:p>
                                                    </w:txbxContent>
                                                  </v:textbox>
                                                </v:shape>
                                              </v:group>
                                            </v:group>
                                            <v:shape id="肘形连接符 31" o:spid="_x0000_s1026" o:spt="35" type="#_x0000_t35" style="position:absolute;left:6390;top:693588;flip:x;height:266;width:1199;" filled="f" stroked="t" coordsize="21600,21600" o:gfxdata="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dUhHvQAA&#10;ANsAAAAPAAAAAAAAAAEAIAAAACIAAABkcnMvZG93bnJldi54bWxQSwECFAAUAAAACACHTuJAMy8F&#10;njsAAAA5AAAAEAAAAAAAAAABACAAAAAMAQAAZHJzL3NoYXBleG1sLnhtbFBLBQYAAAAABgAGAFsB&#10;AAC2AwAAAAA=&#10;" adj="-6756,52051">
                                              <v:fill on="f" focussize="0,0"/>
                                              <v:stroke color="#000000 [3213]" miterlimit="8" joinstyle="miter" dashstyle="dash" endarrow="block"/>
                                              <v:imagedata o:title=""/>
                                              <o:lock v:ext="edit" aspectratio="f"/>
                                            </v:shape>
                                          </v:group>
                                          <v:shape id="流程图: 过程 16" o:spid="_x0000_s1026" o:spt="109" type="#_x0000_t109" style="position:absolute;left:5257;top:673826;height:518;width:2273;v-text-anchor:middle;" filled="f" stroked="t" coordsize="21600,21600" o:gfxdata="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TAZC8AAAA&#10;3AAAAA8AAAAAAAAAAQAgAAAAIgAAAGRycy9kb3ducmV2LnhtbFBLAQIUABQAAAAIAIdO4kAzLwWe&#10;OwAAADkAAAAQAAAAAAAAAAEAIAAAAAsBAABkcnMvc2hhcGV4bWwueG1sUEsFBgAAAAAGAAYAWwEA&#10;ALUDAAAAAA==&#10;">
                                            <v:fill on="f" focussize="0,0"/>
                                            <v:stroke color="#000000 [3213]" miterlimit="8" joinstyle="miter"/>
                                            <v:imagedata o:title=""/>
                                            <o:lock v:ext="edit" aspectratio="f"/>
                                            <v:textbox>
                                              <w:txbxContent>
                                                <w:p w14:paraId="27100BAC">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车间地面冲洗</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-0.4</w:t>
                                                  </w:r>
                                                  <w:r>
                                                    <w:rPr>
                                                      <w:rFonts w:hint="eastAsia"/>
                                                      <w:color w:val="000000" w:themeColor="text1"/>
                                                      <w:sz w:val="21"/>
                                                      <w:szCs w:val="21"/>
                                                      <w:lang w:eastAsia="zh-CN"/>
                                                      <w14:textFill>
                                                        <w14:solidFill>
                                                          <w14:schemeClr w14:val="tx1"/>
                                                        </w14:solidFill>
                                                      </w14:textFill>
                                                    </w:rPr>
                                                    <w:t>）</w:t>
                                                  </w:r>
                                                </w:p>
                                              </w:txbxContent>
                                            </v:textbox>
                                          </v:shape>
                                          <v:shape id="直接箭头连接符 52" o:spid="_x0000_s1026" o:spt="32" type="#_x0000_t32" style="position:absolute;left:3901;top:674045;height:17;width:1368;" filled="f" stroked="t" coordsize="21600,21600" o:gfxdata="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HdzOO8AAAA&#10;3AAAAA8AAAAAAAAAAQAgAAAAIgAAAGRycy9kb3ducmV2LnhtbFBLAQIUABQAAAAIAIdO4kAzLwWe&#10;OwAAADkAAAAQAAAAAAAAAAEAIAAAAAsBAABkcnMvc2hhcGV4bWwueG1sUEsFBgAAAAAGAAYAWwEA&#10;ALUDAAAAAA==&#10;">
                                            <v:fill on="f" focussize="0,0"/>
                                            <v:stroke weight="1pt" color="#000000 [3213]" miterlimit="8" joinstyle="miter" endarrow="block"/>
                                            <v:imagedata o:title=""/>
                                            <o:lock v:ext="edit" aspectratio="f"/>
                                          </v:shape>
                                          <v:shape id="流程图: 过程 33" o:spid="_x0000_s1026" o:spt="109" type="#_x0000_t109" style="position:absolute;left:4140;top:673695;height:472;width:889;v-text-anchor:middle;" filled="f" stroked="f" coordsize="21600,21600" o:gfxdata="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YnUsvQAA&#10;ANwAAAAPAAAAAAAAAAEAIAAAACIAAABkcnMvZG93bnJldi54bWxQSwECFAAUAAAACACHTuJAMy8F&#10;njsAAAA5AAAAEAAAAAAAAAABACAAAAAMAQAAZHJzL3NoYXBleG1sLnhtbFBLBQYAAAAABgAGAFsB&#10;AAC2AwAAAAA=&#10;">
                                            <v:fill on="f" focussize="0,0"/>
                                            <v:stroke on="f" weight="1pt" miterlimit="8" joinstyle="miter"/>
                                            <v:imagedata o:title=""/>
                                            <o:lock v:ext="edit" aspectratio="f"/>
                                            <v:textbox>
                                              <w:txbxContent>
                                                <w:p w14:paraId="1399D6DE">
                                                  <w:pPr>
                                                    <w:keepNext w:val="0"/>
                                                    <w:keepLines w:val="0"/>
                                                    <w:pageBreakBefore w:val="0"/>
                                                    <w:widowControl w:val="0"/>
                                                    <w:kinsoku/>
                                                    <w:wordWrap/>
                                                    <w:overflowPunct/>
                                                    <w:topLinePunct w:val="0"/>
                                                    <w:bidi w:val="0"/>
                                                    <w:adjustRightInd/>
                                                    <w:snapToGrid/>
                                                    <w:spacing w:line="24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2</w:t>
                                                  </w:r>
                                                </w:p>
                                              </w:txbxContent>
                                            </v:textbox>
                                          </v:shape>
                                          <v:shape id="直接箭头连接符 52" o:spid="_x0000_s1026" o:spt="32" type="#_x0000_t32" style="position:absolute;left:7541;top:674039;flip:y;height:13;width:1869;" filled="f" stroked="t" coordsize="21600,21600" o:gfxdata="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FpyW8AAAA&#10;3AAAAA8AAAAAAAAAAQAgAAAAIgAAAGRycy9kb3ducmV2LnhtbFBLAQIUABQAAAAIAIdO4kAzLwWe&#10;OwAAADkAAAAQAAAAAAAAAAEAIAAAAAsBAABkcnMvc2hhcGV4bWwueG1sUEsFBgAAAAAGAAYAWwEA&#10;ALUDAAAAAA==&#10;">
                                            <v:fill on="f" focussize="0,0"/>
                                            <v:stroke weight="1pt" color="#000000 [3213]" miterlimit="8" joinstyle="miter" endarrow="block"/>
                                            <v:imagedata o:title=""/>
                                            <o:lock v:ext="edit" aspectratio="f"/>
                                          </v:shape>
                                          <v:shape id="流程图: 过程 16" o:spid="_x0000_s1026" o:spt="109" type="#_x0000_t109" style="position:absolute;left:5331;top:675666;height:518;width:2273;v-text-anchor:middle;" filled="f" stroked="t" coordsize="21600,21600" o:gfxdata="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xWU1m8AAAA&#10;3AAAAA8AAAAAAAAAAQAgAAAAIgAAAGRycy9kb3ducmV2LnhtbFBLAQIUABQAAAAIAIdO4kAzLwWe&#10;OwAAADkAAAAQAAAAAAAAAAEAIAAAAAsBAABkcnMvc2hhcGV4bWwueG1sUEsFBgAAAAAGAAYAWwEA&#10;ALUDAAAAAA==&#10;">
                                            <v:fill on="f" focussize="0,0"/>
                                            <v:stroke color="#000000 [3213]" miterlimit="8" joinstyle="miter"/>
                                            <v:imagedata o:title=""/>
                                            <o:lock v:ext="edit" aspectratio="f"/>
                                            <v:textbox>
                                              <w:txbxContent>
                                                <w:p w14:paraId="09BE7C73">
                                                  <w:pPr>
                                                    <w:keepNext w:val="0"/>
                                                    <w:keepLines w:val="0"/>
                                                    <w:pageBreakBefore w:val="0"/>
                                                    <w:widowControl w:val="0"/>
                                                    <w:kinsoku/>
                                                    <w:wordWrap/>
                                                    <w:overflowPunct/>
                                                    <w:topLinePunct w:val="0"/>
                                                    <w:bidi w:val="0"/>
                                                    <w:adjustRightInd/>
                                                    <w:snapToGrid/>
                                                    <w:spacing w:line="240" w:lineRule="auto"/>
                                                    <w:jc w:val="center"/>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生活用水</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-0.31</w:t>
                                                  </w:r>
                                                  <w:r>
                                                    <w:rPr>
                                                      <w:rFonts w:hint="eastAsia"/>
                                                      <w:color w:val="000000" w:themeColor="text1"/>
                                                      <w:sz w:val="21"/>
                                                      <w:szCs w:val="21"/>
                                                      <w:lang w:eastAsia="zh-CN"/>
                                                      <w14:textFill>
                                                        <w14:solidFill>
                                                          <w14:schemeClr w14:val="tx1"/>
                                                        </w14:solidFill>
                                                      </w14:textFill>
                                                    </w:rPr>
                                                    <w:t>）</w:t>
                                                  </w:r>
                                                </w:p>
                                              </w:txbxContent>
                                            </v:textbox>
                                          </v:shape>
                                          <v:shape id="直接箭头连接符 52" o:spid="_x0000_s1026" o:spt="32" type="#_x0000_t32" style="position:absolute;left:3894;top:675988;height:18;width:1400;" filled="f" stroked="t" coordsize="21600,21600" o:gfxdata="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8alxrsAAADc&#10;AAAADwAAAAAAAAABACAAAAAiAAAAZHJzL2Rvd25yZXYueG1sUEsBAhQAFAAAAAgAh07iQDMvBZ47&#10;AAAAOQAAABAAAAAAAAAAAQAgAAAACgEAAGRycy9zaGFwZXhtbC54bWxQSwUGAAAAAAYABgBbAQAA&#10;tAMAAAAA&#10;">
                                            <v:fill on="f" focussize="0,0"/>
                                            <v:stroke weight="1pt" color="#000000 [3213]" miterlimit="8" joinstyle="miter" endarrow="block"/>
                                            <v:imagedata o:title=""/>
                                            <o:lock v:ext="edit" aspectratio="f"/>
                                          </v:shape>
                                        </v:group>
                                      </v:group>
                                    </v:group>
                                  </v:group>
                                </v:group>
                              </v:group>
                            </v:group>
                          </v:group>
                        </v:group>
                      </v:group>
                    </v:group>
                  </w:pict>
                </mc:Fallback>
              </mc:AlternateContent>
            </w:r>
          </w:p>
          <w:p w14:paraId="46127879">
            <w:pPr>
              <w:rPr>
                <w:rFonts w:hint="default"/>
                <w:color w:val="auto"/>
                <w:highlight w:val="none"/>
                <w:lang w:val="en-US" w:eastAsia="zh-CN"/>
              </w:rPr>
            </w:pPr>
          </w:p>
          <w:p w14:paraId="440F8F8B">
            <w:pPr>
              <w:pStyle w:val="2"/>
              <w:rPr>
                <w:rFonts w:hint="default"/>
                <w:color w:val="auto"/>
                <w:highlight w:val="none"/>
                <w:lang w:val="en-US" w:eastAsia="zh-CN"/>
              </w:rPr>
            </w:pPr>
          </w:p>
          <w:p w14:paraId="0962DB8A">
            <w:pPr>
              <w:pStyle w:val="2"/>
              <w:rPr>
                <w:rFonts w:hint="default"/>
                <w:color w:val="auto"/>
                <w:highlight w:val="none"/>
                <w:lang w:val="en-US" w:eastAsia="zh-CN"/>
              </w:rPr>
            </w:pPr>
          </w:p>
          <w:p w14:paraId="06C3248A">
            <w:pPr>
              <w:rPr>
                <w:rFonts w:hint="default"/>
                <w:color w:val="auto"/>
                <w:highlight w:val="none"/>
                <w:lang w:val="en-US" w:eastAsia="zh-CN"/>
              </w:rPr>
            </w:pPr>
          </w:p>
          <w:p w14:paraId="4680A907">
            <w:pPr>
              <w:rPr>
                <w:rFonts w:hint="default"/>
                <w:color w:val="auto"/>
                <w:highlight w:val="none"/>
                <w:lang w:val="en-US" w:eastAsia="zh-CN"/>
              </w:rPr>
            </w:pPr>
          </w:p>
          <w:p w14:paraId="01D3728F">
            <w:pPr>
              <w:rPr>
                <w:rFonts w:hint="default"/>
                <w:color w:val="auto"/>
                <w:highlight w:val="none"/>
                <w:lang w:val="en-US" w:eastAsia="zh-CN"/>
              </w:rPr>
            </w:pPr>
          </w:p>
          <w:p w14:paraId="1A6FD73E">
            <w:pPr>
              <w:rPr>
                <w:rFonts w:hint="default"/>
                <w:color w:val="auto"/>
                <w:highlight w:val="none"/>
                <w:lang w:val="en-US" w:eastAsia="zh-CN"/>
              </w:rPr>
            </w:pPr>
          </w:p>
          <w:p w14:paraId="0F1A5F03">
            <w:pPr>
              <w:rPr>
                <w:rFonts w:hint="default"/>
                <w:color w:val="auto"/>
                <w:highlight w:val="none"/>
                <w:lang w:val="en-US" w:eastAsia="zh-CN"/>
              </w:rPr>
            </w:pPr>
          </w:p>
          <w:p w14:paraId="1DF5940E">
            <w:pPr>
              <w:rPr>
                <w:rFonts w:hint="default"/>
                <w:color w:val="auto"/>
                <w:highlight w:val="none"/>
                <w:lang w:val="en-US" w:eastAsia="zh-CN"/>
              </w:rPr>
            </w:pPr>
          </w:p>
          <w:p w14:paraId="4A7AE1F7">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baseline"/>
              <w:outlineLvl w:val="1"/>
              <w:rPr>
                <w:rFonts w:hint="eastAsia" w:cs="Times New Roman"/>
                <w:b/>
                <w:bCs/>
                <w:i w:val="0"/>
                <w:iCs w:val="0"/>
                <w:color w:val="auto"/>
                <w:kern w:val="2"/>
                <w:sz w:val="21"/>
                <w:szCs w:val="21"/>
                <w:highlight w:val="none"/>
                <w:u w:val="none"/>
                <w:lang w:val="en-US" w:eastAsia="zh-CN" w:bidi="ar"/>
              </w:rPr>
            </w:pPr>
          </w:p>
          <w:p w14:paraId="1F4FD97B">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baseline"/>
              <w:outlineLvl w:val="1"/>
              <w:rPr>
                <w:rFonts w:hint="eastAsia" w:cs="Times New Roman"/>
                <w:b/>
                <w:bCs/>
                <w:i w:val="0"/>
                <w:iCs w:val="0"/>
                <w:color w:val="auto"/>
                <w:kern w:val="2"/>
                <w:sz w:val="21"/>
                <w:szCs w:val="21"/>
                <w:highlight w:val="none"/>
                <w:u w:val="none"/>
                <w:lang w:val="en-US" w:eastAsia="zh-CN" w:bidi="ar"/>
              </w:rPr>
            </w:pPr>
          </w:p>
          <w:p w14:paraId="5730E188">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baseline"/>
              <w:outlineLvl w:val="1"/>
              <w:rPr>
                <w:rFonts w:hint="eastAsia" w:cs="Times New Roman"/>
                <w:b/>
                <w:bCs/>
                <w:i w:val="0"/>
                <w:iCs w:val="0"/>
                <w:color w:val="auto"/>
                <w:kern w:val="2"/>
                <w:sz w:val="21"/>
                <w:szCs w:val="21"/>
                <w:highlight w:val="none"/>
                <w:u w:val="none"/>
                <w:lang w:val="en-US" w:eastAsia="zh-CN" w:bidi="ar"/>
              </w:rPr>
            </w:pPr>
          </w:p>
          <w:p w14:paraId="149585AD">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baseline"/>
              <w:outlineLvl w:val="1"/>
              <w:rPr>
                <w:rFonts w:hint="eastAsia" w:cs="Times New Roman"/>
                <w:b/>
                <w:bCs/>
                <w:i w:val="0"/>
                <w:iCs w:val="0"/>
                <w:color w:val="auto"/>
                <w:kern w:val="2"/>
                <w:sz w:val="21"/>
                <w:szCs w:val="21"/>
                <w:highlight w:val="none"/>
                <w:u w:val="none"/>
                <w:lang w:val="en-US" w:eastAsia="zh-CN" w:bidi="ar"/>
              </w:rPr>
            </w:pPr>
          </w:p>
          <w:p w14:paraId="2FA0FE96">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baseline"/>
              <w:outlineLvl w:val="1"/>
              <w:rPr>
                <w:rFonts w:hint="eastAsia" w:cs="Times New Roman"/>
                <w:b/>
                <w:bCs/>
                <w:i w:val="0"/>
                <w:iCs w:val="0"/>
                <w:color w:val="auto"/>
                <w:kern w:val="2"/>
                <w:sz w:val="21"/>
                <w:szCs w:val="21"/>
                <w:highlight w:val="none"/>
                <w:u w:val="none"/>
                <w:lang w:val="en-US" w:eastAsia="zh-CN" w:bidi="ar"/>
              </w:rPr>
            </w:pPr>
          </w:p>
          <w:p w14:paraId="73877A5F">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2" w:firstLineChars="200"/>
              <w:jc w:val="center"/>
              <w:textAlignment w:val="baseline"/>
              <w:outlineLvl w:val="1"/>
              <w:rPr>
                <w:rFonts w:hint="eastAsia" w:ascii="Times New Roman" w:hAnsi="Times New Roman" w:eastAsia="宋体" w:cs="Times New Roman"/>
                <w:b/>
                <w:bCs w:val="0"/>
                <w:color w:val="auto"/>
                <w:kern w:val="2"/>
                <w:sz w:val="21"/>
                <w:szCs w:val="21"/>
                <w:highlight w:val="none"/>
                <w:lang w:val="en-US" w:eastAsia="zh-CN" w:bidi="ar-SA"/>
              </w:rPr>
            </w:pPr>
            <w:r>
              <w:rPr>
                <w:rFonts w:hint="eastAsia" w:cs="Times New Roman"/>
                <w:b/>
                <w:bCs/>
                <w:i w:val="0"/>
                <w:iCs w:val="0"/>
                <w:color w:val="auto"/>
                <w:kern w:val="2"/>
                <w:sz w:val="21"/>
                <w:szCs w:val="21"/>
                <w:highlight w:val="none"/>
                <w:u w:val="none"/>
                <w:lang w:val="en-US" w:eastAsia="zh-CN" w:bidi="ar"/>
              </w:rPr>
              <w:t>图 2-6 现有工程甘氨酸亚铁项目水量平衡图   （单位m</w:t>
            </w:r>
            <w:r>
              <w:rPr>
                <w:rFonts w:hint="eastAsia" w:cs="Times New Roman"/>
                <w:b/>
                <w:bCs/>
                <w:i w:val="0"/>
                <w:iCs w:val="0"/>
                <w:color w:val="auto"/>
                <w:kern w:val="2"/>
                <w:sz w:val="21"/>
                <w:szCs w:val="21"/>
                <w:highlight w:val="none"/>
                <w:u w:val="none"/>
                <w:vertAlign w:val="superscript"/>
                <w:lang w:val="en-US" w:eastAsia="zh-CN" w:bidi="ar"/>
              </w:rPr>
              <w:t>3</w:t>
            </w:r>
            <w:r>
              <w:rPr>
                <w:rFonts w:hint="eastAsia" w:cs="Times New Roman"/>
                <w:b/>
                <w:bCs/>
                <w:i w:val="0"/>
                <w:iCs w:val="0"/>
                <w:color w:val="auto"/>
                <w:kern w:val="2"/>
                <w:sz w:val="21"/>
                <w:szCs w:val="21"/>
                <w:highlight w:val="none"/>
                <w:u w:val="none"/>
                <w:lang w:val="en-US" w:eastAsia="zh-CN" w:bidi="ar"/>
              </w:rPr>
              <w:t>/d）</w:t>
            </w:r>
          </w:p>
          <w:p w14:paraId="0F3B4E8F">
            <w:pPr>
              <w:pStyle w:val="35"/>
              <w:pageBreakBefore w:val="0"/>
              <w:widowControl w:val="0"/>
              <w:kinsoku/>
              <w:wordWrap/>
              <w:overflowPunct/>
              <w:topLinePunct w:val="0"/>
              <w:bidi w:val="0"/>
              <w:spacing w:beforeLines="0" w:line="360" w:lineRule="auto"/>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（二）现有工程污染物实际排放总量</w:t>
            </w:r>
          </w:p>
          <w:p w14:paraId="4E65CDBB">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（1）废水</w:t>
            </w:r>
          </w:p>
          <w:p w14:paraId="2B09D116">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color w:val="auto"/>
                <w:sz w:val="21"/>
                <w:szCs w:val="21"/>
                <w:highlight w:val="none"/>
                <w:lang w:val="en-US" w:eastAsia="zh-CN"/>
              </w:rPr>
            </w:pPr>
            <w:r>
              <w:rPr>
                <w:rFonts w:hint="eastAsia"/>
                <w:color w:val="auto"/>
                <w:sz w:val="21"/>
                <w:szCs w:val="21"/>
                <w:highlight w:val="none"/>
                <w:lang w:val="en-US" w:eastAsia="zh-CN"/>
              </w:rPr>
              <w:t>根据企业提供最新的环保手续</w:t>
            </w:r>
            <w:r>
              <w:rPr>
                <w:rFonts w:hint="eastAsia" w:ascii="Times New Roman" w:hAnsi="Times New Roman" w:cs="Times New Roman"/>
                <w:color w:val="auto"/>
                <w:sz w:val="21"/>
                <w:szCs w:val="21"/>
                <w:highlight w:val="none"/>
                <w:lang w:val="en-US" w:eastAsia="zh-CN"/>
              </w:rPr>
              <w:t>2026年1月《石家庄东华金龙化工有限公司新建仓储设施项目环境影响报告表》中现有工程（未包含两个在建项目60kt/a液体氯乙酸升级改造项目减少废水排放量0.03</w:t>
            </w:r>
            <w:r>
              <w:rPr>
                <w:rFonts w:hint="default"/>
                <w:color w:val="auto"/>
                <w:sz w:val="21"/>
                <w:szCs w:val="21"/>
                <w:highlight w:val="none"/>
                <w:lang w:val="en-US" w:eastAsia="zh-CN"/>
              </w:rPr>
              <w:t>m</w:t>
            </w:r>
            <w:r>
              <w:rPr>
                <w:rFonts w:hint="default"/>
                <w:color w:val="auto"/>
                <w:sz w:val="21"/>
                <w:szCs w:val="21"/>
                <w:highlight w:val="none"/>
                <w:vertAlign w:val="superscript"/>
                <w:lang w:val="en-US" w:eastAsia="zh-CN"/>
              </w:rPr>
              <w:t>3</w:t>
            </w:r>
            <w:r>
              <w:rPr>
                <w:rFonts w:hint="default"/>
                <w:color w:val="auto"/>
                <w:sz w:val="21"/>
                <w:szCs w:val="21"/>
                <w:highlight w:val="none"/>
                <w:lang w:val="en-US" w:eastAsia="zh-CN"/>
              </w:rPr>
              <w:t>/d</w:t>
            </w:r>
            <w:r>
              <w:rPr>
                <w:rFonts w:hint="eastAsia" w:ascii="Times New Roman" w:hAnsi="Times New Roman" w:cs="Times New Roman"/>
                <w:color w:val="auto"/>
                <w:sz w:val="21"/>
                <w:szCs w:val="21"/>
                <w:highlight w:val="none"/>
                <w:lang w:val="en-US" w:eastAsia="zh-CN"/>
              </w:rPr>
              <w:t>、石家庄东华金龙化工有限公司甘氨酸深加工项目的新增废水量15.65</w:t>
            </w:r>
            <w:r>
              <w:rPr>
                <w:rFonts w:hint="eastAsia" w:hAnsi="宋体" w:eastAsia="宋体"/>
                <w:color w:val="auto"/>
                <w:sz w:val="21"/>
                <w:szCs w:val="21"/>
                <w:highlight w:val="none"/>
                <w:lang w:val="en-US" w:eastAsia="zh-CN"/>
              </w:rPr>
              <w:t>m</w:t>
            </w:r>
            <w:r>
              <w:rPr>
                <w:rFonts w:hint="eastAsia" w:hAnsi="宋体" w:eastAsia="宋体"/>
                <w:color w:val="auto"/>
                <w:sz w:val="21"/>
                <w:szCs w:val="21"/>
                <w:highlight w:val="none"/>
                <w:vertAlign w:val="superscript"/>
                <w:lang w:val="en-US" w:eastAsia="zh-CN"/>
              </w:rPr>
              <w:t>3</w:t>
            </w:r>
            <w:r>
              <w:rPr>
                <w:rFonts w:hint="eastAsia" w:hAnsi="宋体" w:eastAsia="宋体"/>
                <w:color w:val="auto"/>
                <w:sz w:val="21"/>
                <w:szCs w:val="21"/>
                <w:highlight w:val="none"/>
                <w:lang w:val="en-US" w:eastAsia="zh-CN"/>
              </w:rPr>
              <w:t>/d</w:t>
            </w:r>
            <w:r>
              <w:rPr>
                <w:rFonts w:hint="eastAsia" w:ascii="Times New Roman" w:hAnsi="Times New Roman" w:cs="Times New Roman"/>
                <w:color w:val="auto"/>
                <w:sz w:val="21"/>
                <w:szCs w:val="21"/>
                <w:highlight w:val="none"/>
                <w:lang w:val="en-US" w:eastAsia="zh-CN"/>
              </w:rPr>
              <w:t>）：废水总排水量为908.7</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/d</w:t>
            </w:r>
            <w:r>
              <w:rPr>
                <w:rFonts w:hint="eastAsia" w:ascii="Times New Roman" w:hAnsi="Times New Roman" w:cs="Times New Roman"/>
                <w:color w:val="auto"/>
                <w:sz w:val="21"/>
                <w:szCs w:val="21"/>
                <w:highlight w:val="none"/>
                <w:lang w:val="en-US" w:eastAsia="zh-CN"/>
              </w:rPr>
              <w:t>。2026年4月，60kt/a液体氯乙酸升级改造项目和石家庄东华金龙化工有限公司甘氨酸深加工项目建成投产已通过验收，因此本次</w:t>
            </w:r>
            <w:r>
              <w:rPr>
                <w:rFonts w:hint="default" w:ascii="Times New Roman" w:hAnsi="Times New Roman" w:cs="Times New Roman"/>
                <w:color w:val="auto"/>
                <w:sz w:val="21"/>
                <w:szCs w:val="21"/>
                <w:highlight w:val="none"/>
                <w:lang w:val="en-US" w:eastAsia="zh-CN"/>
              </w:rPr>
              <w:t>现</w:t>
            </w:r>
            <w:r>
              <w:rPr>
                <w:rFonts w:hint="default"/>
                <w:color w:val="auto"/>
                <w:sz w:val="21"/>
                <w:szCs w:val="21"/>
                <w:highlight w:val="none"/>
                <w:lang w:val="en-US" w:eastAsia="zh-CN"/>
              </w:rPr>
              <w:t>有工程废水总排水量</w:t>
            </w:r>
            <w:r>
              <w:rPr>
                <w:rFonts w:hint="eastAsia"/>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908.7</w:t>
            </w:r>
            <w:r>
              <w:rPr>
                <w:rFonts w:hint="default"/>
                <w:color w:val="auto"/>
                <w:sz w:val="21"/>
                <w:szCs w:val="21"/>
                <w:highlight w:val="none"/>
                <w:lang w:val="en-US" w:eastAsia="zh-CN"/>
              </w:rPr>
              <w:t>m</w:t>
            </w:r>
            <w:r>
              <w:rPr>
                <w:rFonts w:hint="default"/>
                <w:color w:val="auto"/>
                <w:sz w:val="21"/>
                <w:szCs w:val="21"/>
                <w:highlight w:val="none"/>
                <w:vertAlign w:val="superscript"/>
                <w:lang w:val="en-US" w:eastAsia="zh-CN"/>
              </w:rPr>
              <w:t>3</w:t>
            </w:r>
            <w:r>
              <w:rPr>
                <w:rFonts w:hint="default"/>
                <w:color w:val="auto"/>
                <w:sz w:val="21"/>
                <w:szCs w:val="21"/>
                <w:highlight w:val="none"/>
                <w:lang w:val="en-US" w:eastAsia="zh-CN"/>
              </w:rPr>
              <w:t>/d</w:t>
            </w:r>
            <w:r>
              <w:rPr>
                <w:rFonts w:hint="eastAsia" w:ascii="Times New Roman" w:hAnsi="Times New Roman" w:cs="Times New Roman"/>
                <w:color w:val="auto"/>
                <w:sz w:val="21"/>
                <w:szCs w:val="21"/>
                <w:highlight w:val="none"/>
                <w:lang w:val="en-US" w:eastAsia="zh-CN"/>
              </w:rPr>
              <w:t>+15.65</w:t>
            </w:r>
            <w:r>
              <w:rPr>
                <w:rFonts w:hint="default"/>
                <w:color w:val="auto"/>
                <w:sz w:val="21"/>
                <w:szCs w:val="21"/>
                <w:highlight w:val="none"/>
                <w:lang w:val="en-US" w:eastAsia="zh-CN"/>
              </w:rPr>
              <w:t>m</w:t>
            </w:r>
            <w:r>
              <w:rPr>
                <w:rFonts w:hint="default"/>
                <w:color w:val="auto"/>
                <w:sz w:val="21"/>
                <w:szCs w:val="21"/>
                <w:highlight w:val="none"/>
                <w:vertAlign w:val="superscript"/>
                <w:lang w:val="en-US" w:eastAsia="zh-CN"/>
              </w:rPr>
              <w:t>3</w:t>
            </w:r>
            <w:r>
              <w:rPr>
                <w:rFonts w:hint="default"/>
                <w:color w:val="auto"/>
                <w:sz w:val="21"/>
                <w:szCs w:val="21"/>
                <w:highlight w:val="none"/>
                <w:lang w:val="en-US" w:eastAsia="zh-CN"/>
              </w:rPr>
              <w:t>/d</w:t>
            </w:r>
            <w:r>
              <w:rPr>
                <w:rFonts w:hint="eastAsia" w:ascii="Times New Roman" w:hAnsi="Times New Roman" w:cs="Times New Roman"/>
                <w:color w:val="auto"/>
                <w:sz w:val="21"/>
                <w:szCs w:val="21"/>
                <w:highlight w:val="none"/>
                <w:lang w:val="en-US" w:eastAsia="zh-CN"/>
              </w:rPr>
              <w:t>-0.03</w:t>
            </w:r>
            <w:r>
              <w:rPr>
                <w:rFonts w:hint="default"/>
                <w:color w:val="auto"/>
                <w:sz w:val="21"/>
                <w:szCs w:val="21"/>
                <w:highlight w:val="none"/>
                <w:lang w:val="en-US" w:eastAsia="zh-CN"/>
              </w:rPr>
              <w:t>m</w:t>
            </w:r>
            <w:r>
              <w:rPr>
                <w:rFonts w:hint="default"/>
                <w:color w:val="auto"/>
                <w:sz w:val="21"/>
                <w:szCs w:val="21"/>
                <w:highlight w:val="none"/>
                <w:vertAlign w:val="superscript"/>
                <w:lang w:val="en-US" w:eastAsia="zh-CN"/>
              </w:rPr>
              <w:t>3</w:t>
            </w:r>
            <w:r>
              <w:rPr>
                <w:rFonts w:hint="default"/>
                <w:color w:val="auto"/>
                <w:sz w:val="21"/>
                <w:szCs w:val="21"/>
                <w:highlight w:val="none"/>
                <w:lang w:val="en-US" w:eastAsia="zh-CN"/>
              </w:rPr>
              <w:t>/d</w:t>
            </w:r>
            <w:r>
              <w:rPr>
                <w:rFonts w:hint="eastAsia" w:ascii="Times New Roman" w:hAnsi="Times New Roman" w:cs="Times New Roman"/>
                <w:color w:val="auto"/>
                <w:sz w:val="21"/>
                <w:szCs w:val="21"/>
                <w:highlight w:val="none"/>
                <w:lang w:val="en-US" w:eastAsia="zh-CN"/>
              </w:rPr>
              <w:t>=</w:t>
            </w:r>
            <w:r>
              <w:rPr>
                <w:rFonts w:hint="eastAsia"/>
                <w:color w:val="auto"/>
                <w:sz w:val="21"/>
                <w:szCs w:val="21"/>
                <w:highlight w:val="none"/>
                <w:lang w:val="en-US" w:eastAsia="zh-CN"/>
              </w:rPr>
              <w:t>924.32</w:t>
            </w:r>
            <w:r>
              <w:rPr>
                <w:rFonts w:hint="default"/>
                <w:color w:val="auto"/>
                <w:sz w:val="21"/>
                <w:szCs w:val="21"/>
                <w:highlight w:val="none"/>
                <w:lang w:val="en-US" w:eastAsia="zh-CN"/>
              </w:rPr>
              <w:t>m</w:t>
            </w:r>
            <w:r>
              <w:rPr>
                <w:rFonts w:hint="default"/>
                <w:color w:val="auto"/>
                <w:sz w:val="21"/>
                <w:szCs w:val="21"/>
                <w:highlight w:val="none"/>
                <w:vertAlign w:val="superscript"/>
                <w:lang w:val="en-US" w:eastAsia="zh-CN"/>
              </w:rPr>
              <w:t>3</w:t>
            </w:r>
            <w:r>
              <w:rPr>
                <w:rFonts w:hint="default"/>
                <w:color w:val="auto"/>
                <w:sz w:val="21"/>
                <w:szCs w:val="21"/>
                <w:highlight w:val="none"/>
                <w:lang w:val="en-US" w:eastAsia="zh-CN"/>
              </w:rPr>
              <w:t>/d。废水经厂区污水处理站处理后通过园区污水管网最终排入</w:t>
            </w:r>
            <w:r>
              <w:rPr>
                <w:rFonts w:hint="eastAsia"/>
                <w:color w:val="auto"/>
                <w:sz w:val="21"/>
                <w:szCs w:val="21"/>
                <w:highlight w:val="none"/>
                <w:lang w:val="en-US" w:eastAsia="zh-CN"/>
              </w:rPr>
              <w:t>石家庄高新区循化环境水务有限公司（良村南污水处理厂）</w:t>
            </w:r>
            <w:r>
              <w:rPr>
                <w:rFonts w:hint="default"/>
                <w:color w:val="auto"/>
                <w:sz w:val="21"/>
                <w:szCs w:val="21"/>
                <w:highlight w:val="none"/>
                <w:lang w:val="en-US" w:eastAsia="zh-CN"/>
              </w:rPr>
              <w:t>。</w:t>
            </w:r>
          </w:p>
          <w:p w14:paraId="6C39D2F7">
            <w:pPr>
              <w:pStyle w:val="59"/>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根据</w:t>
            </w:r>
            <w:r>
              <w:rPr>
                <w:rFonts w:hint="eastAsia"/>
                <w:color w:val="auto"/>
                <w:sz w:val="21"/>
                <w:szCs w:val="21"/>
                <w:highlight w:val="none"/>
                <w:lang w:val="en-US" w:eastAsia="zh-CN"/>
              </w:rPr>
              <w:t>石家庄东华金龙化工有限公司60kt/a液体氯乙酸升级改造项目验收监测报告</w:t>
            </w:r>
            <w:r>
              <w:rPr>
                <w:rFonts w:hint="default"/>
                <w:color w:val="auto"/>
                <w:sz w:val="21"/>
                <w:szCs w:val="21"/>
                <w:highlight w:val="none"/>
                <w:lang w:val="en-US" w:eastAsia="zh-CN"/>
              </w:rPr>
              <w:t>（监测公司：</w:t>
            </w:r>
            <w:r>
              <w:rPr>
                <w:rFonts w:hint="eastAsia"/>
                <w:color w:val="auto"/>
                <w:sz w:val="21"/>
                <w:szCs w:val="21"/>
                <w:highlight w:val="none"/>
                <w:lang w:val="en-US" w:eastAsia="zh-CN"/>
              </w:rPr>
              <w:t>河北环海检测科技有限公司</w:t>
            </w:r>
            <w:r>
              <w:rPr>
                <w:rFonts w:hint="default"/>
                <w:color w:val="auto"/>
                <w:sz w:val="21"/>
                <w:szCs w:val="21"/>
                <w:highlight w:val="none"/>
                <w:lang w:val="en-US" w:eastAsia="zh-CN"/>
              </w:rPr>
              <w:t>，报告编号：</w:t>
            </w:r>
            <w:r>
              <w:rPr>
                <w:rFonts w:hint="eastAsia"/>
                <w:color w:val="auto"/>
                <w:sz w:val="21"/>
                <w:szCs w:val="21"/>
                <w:highlight w:val="none"/>
                <w:lang w:val="en-US" w:eastAsia="zh-CN"/>
              </w:rPr>
              <w:t>环检验（2026）第002号</w:t>
            </w:r>
            <w:r>
              <w:rPr>
                <w:rFonts w:hint="default"/>
                <w:color w:val="auto"/>
                <w:sz w:val="21"/>
                <w:szCs w:val="21"/>
                <w:highlight w:val="none"/>
                <w:lang w:val="en-US" w:eastAsia="zh-CN"/>
              </w:rPr>
              <w:t>）分析现有工程排水水质情况如下</w:t>
            </w:r>
            <w:r>
              <w:rPr>
                <w:rFonts w:hint="eastAsia"/>
                <w:color w:val="auto"/>
                <w:sz w:val="21"/>
                <w:szCs w:val="21"/>
                <w:highlight w:val="none"/>
                <w:lang w:val="en-US" w:eastAsia="zh-CN"/>
              </w:rPr>
              <w:t>，其中甲醛、总铜和AOX水质情况依据</w:t>
            </w:r>
            <w:r>
              <w:rPr>
                <w:rFonts w:hint="default"/>
                <w:color w:val="auto"/>
                <w:sz w:val="21"/>
                <w:szCs w:val="21"/>
                <w:highlight w:val="none"/>
                <w:lang w:val="en-US" w:eastAsia="zh-CN"/>
              </w:rPr>
              <w:t>2025年第</w:t>
            </w:r>
            <w:r>
              <w:rPr>
                <w:rFonts w:hint="eastAsia"/>
                <w:color w:val="auto"/>
                <w:sz w:val="21"/>
                <w:szCs w:val="21"/>
                <w:highlight w:val="none"/>
                <w:lang w:val="en-US" w:eastAsia="zh-CN"/>
              </w:rPr>
              <w:t>三</w:t>
            </w:r>
            <w:r>
              <w:rPr>
                <w:rFonts w:hint="default"/>
                <w:color w:val="auto"/>
                <w:sz w:val="21"/>
                <w:szCs w:val="21"/>
                <w:highlight w:val="none"/>
                <w:lang w:val="en-US" w:eastAsia="zh-CN"/>
              </w:rPr>
              <w:t>季度监测报告（监测公司：河北</w:t>
            </w:r>
            <w:r>
              <w:rPr>
                <w:rFonts w:hint="eastAsia"/>
                <w:color w:val="auto"/>
                <w:sz w:val="21"/>
                <w:szCs w:val="21"/>
                <w:highlight w:val="none"/>
                <w:lang w:val="en-US" w:eastAsia="zh-CN"/>
              </w:rPr>
              <w:t>华盖环保</w:t>
            </w:r>
            <w:r>
              <w:rPr>
                <w:rFonts w:hint="default"/>
                <w:color w:val="auto"/>
                <w:sz w:val="21"/>
                <w:szCs w:val="21"/>
                <w:highlight w:val="none"/>
                <w:lang w:val="en-US" w:eastAsia="zh-CN"/>
              </w:rPr>
              <w:t>科技有限公司，报告编号：</w:t>
            </w:r>
            <w:r>
              <w:rPr>
                <w:rFonts w:hint="eastAsia"/>
                <w:color w:val="auto"/>
                <w:sz w:val="21"/>
                <w:szCs w:val="21"/>
                <w:highlight w:val="none"/>
                <w:lang w:val="en-US" w:eastAsia="zh-CN"/>
              </w:rPr>
              <w:t>HGHB[自]字2025641号</w:t>
            </w:r>
            <w:r>
              <w:rPr>
                <w:rFonts w:hint="default"/>
                <w:color w:val="auto"/>
                <w:sz w:val="21"/>
                <w:szCs w:val="21"/>
                <w:highlight w:val="none"/>
                <w:lang w:val="en-US" w:eastAsia="zh-CN"/>
              </w:rPr>
              <w:t>）</w:t>
            </w:r>
            <w:r>
              <w:rPr>
                <w:rFonts w:hint="eastAsia"/>
                <w:color w:val="auto"/>
                <w:sz w:val="21"/>
                <w:szCs w:val="21"/>
                <w:highlight w:val="none"/>
                <w:lang w:val="en-US" w:eastAsia="zh-CN"/>
              </w:rPr>
              <w:t>。</w:t>
            </w:r>
          </w:p>
          <w:p w14:paraId="3E90EFFE">
            <w:pPr>
              <w:pStyle w:val="7"/>
              <w:pageBreakBefore w:val="0"/>
              <w:widowControl w:val="0"/>
              <w:numPr>
                <w:ilvl w:val="5"/>
                <w:numId w:val="0"/>
              </w:numPr>
              <w:kinsoku/>
              <w:wordWrap/>
              <w:overflowPunct/>
              <w:topLinePunct w:val="0"/>
              <w:bidi w:val="0"/>
              <w:spacing w:beforeLines="0" w:afterLines="0" w:line="360" w:lineRule="auto"/>
              <w:ind w:leftChars="200"/>
              <w:jc w:val="center"/>
              <w:textAlignment w:val="auto"/>
              <w:rPr>
                <w:rFonts w:hint="eastAsia"/>
                <w:color w:val="auto"/>
                <w:sz w:val="21"/>
                <w:szCs w:val="21"/>
                <w:highlight w:val="none"/>
                <w:lang w:val="en-US" w:eastAsia="zh-CN"/>
              </w:rPr>
            </w:pPr>
          </w:p>
          <w:p w14:paraId="569ED146">
            <w:pPr>
              <w:pStyle w:val="7"/>
              <w:pageBreakBefore w:val="0"/>
              <w:widowControl w:val="0"/>
              <w:numPr>
                <w:ilvl w:val="5"/>
                <w:numId w:val="0"/>
              </w:numPr>
              <w:kinsoku/>
              <w:wordWrap/>
              <w:overflowPunct/>
              <w:topLinePunct w:val="0"/>
              <w:bidi w:val="0"/>
              <w:spacing w:beforeLines="0" w:afterLines="0" w:line="360" w:lineRule="auto"/>
              <w:ind w:leftChars="200"/>
              <w:jc w:val="center"/>
              <w:textAlignment w:val="auto"/>
              <w:rPr>
                <w:rFonts w:hint="eastAsia"/>
                <w:color w:val="auto"/>
                <w:sz w:val="21"/>
                <w:szCs w:val="21"/>
                <w:highlight w:val="none"/>
                <w:lang w:val="en-US" w:eastAsia="zh-CN"/>
              </w:rPr>
            </w:pPr>
          </w:p>
          <w:p w14:paraId="2D045939">
            <w:pPr>
              <w:pStyle w:val="7"/>
              <w:pageBreakBefore w:val="0"/>
              <w:widowControl w:val="0"/>
              <w:numPr>
                <w:ilvl w:val="5"/>
                <w:numId w:val="0"/>
              </w:numPr>
              <w:kinsoku/>
              <w:wordWrap/>
              <w:overflowPunct/>
              <w:topLinePunct w:val="0"/>
              <w:bidi w:val="0"/>
              <w:spacing w:beforeLines="0" w:afterLines="0" w:line="360" w:lineRule="auto"/>
              <w:ind w:leftChars="200"/>
              <w:jc w:val="center"/>
              <w:textAlignment w:val="auto"/>
              <w:rPr>
                <w:rFonts w:hint="default"/>
                <w:color w:val="auto"/>
                <w:sz w:val="21"/>
                <w:szCs w:val="21"/>
                <w:highlight w:val="none"/>
                <w:lang w:val="en-US" w:eastAsia="zh-CN"/>
              </w:rPr>
            </w:pPr>
            <w:r>
              <w:rPr>
                <w:rFonts w:hint="eastAsia"/>
                <w:color w:val="auto"/>
                <w:sz w:val="21"/>
                <w:szCs w:val="21"/>
                <w:highlight w:val="none"/>
                <w:lang w:val="en-US" w:eastAsia="zh-CN"/>
              </w:rPr>
              <w:t xml:space="preserve">表 2-18 </w:t>
            </w:r>
            <w:r>
              <w:rPr>
                <w:rFonts w:hint="default"/>
                <w:color w:val="auto"/>
                <w:sz w:val="21"/>
                <w:szCs w:val="21"/>
                <w:highlight w:val="none"/>
                <w:lang w:val="en-US" w:eastAsia="zh-CN"/>
              </w:rPr>
              <w:t>现有工程排水水质一览表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8"/>
              <w:gridCol w:w="1832"/>
              <w:gridCol w:w="1406"/>
              <w:gridCol w:w="1406"/>
              <w:gridCol w:w="1406"/>
              <w:gridCol w:w="1117"/>
            </w:tblGrid>
            <w:tr w14:paraId="28048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484" w:type="pct"/>
                  <w:vAlign w:val="top"/>
                </w:tcPr>
                <w:p w14:paraId="07F9F1E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序号</w:t>
                  </w:r>
                </w:p>
              </w:tc>
              <w:tc>
                <w:tcPr>
                  <w:tcW w:w="1153" w:type="pct"/>
                  <w:vAlign w:val="top"/>
                </w:tcPr>
                <w:p w14:paraId="40B1F06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检测项目</w:t>
                  </w:r>
                </w:p>
              </w:tc>
              <w:tc>
                <w:tcPr>
                  <w:tcW w:w="885" w:type="pct"/>
                  <w:vAlign w:val="top"/>
                </w:tcPr>
                <w:p w14:paraId="20742C4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单位</w:t>
                  </w:r>
                </w:p>
              </w:tc>
              <w:tc>
                <w:tcPr>
                  <w:tcW w:w="885" w:type="pct"/>
                  <w:vAlign w:val="top"/>
                </w:tcPr>
                <w:p w14:paraId="75DF314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检测值</w:t>
                  </w:r>
                </w:p>
              </w:tc>
              <w:tc>
                <w:tcPr>
                  <w:tcW w:w="885" w:type="pct"/>
                  <w:vAlign w:val="top"/>
                </w:tcPr>
                <w:p w14:paraId="069FFA8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标准值</w:t>
                  </w:r>
                </w:p>
              </w:tc>
              <w:tc>
                <w:tcPr>
                  <w:tcW w:w="703" w:type="pct"/>
                  <w:vAlign w:val="top"/>
                </w:tcPr>
                <w:p w14:paraId="251226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达标情况</w:t>
                  </w:r>
                </w:p>
              </w:tc>
            </w:tr>
            <w:tr w14:paraId="6ED54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00CDCD8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w:t>
                  </w:r>
                </w:p>
              </w:tc>
              <w:tc>
                <w:tcPr>
                  <w:tcW w:w="1153" w:type="pct"/>
                  <w:vAlign w:val="top"/>
                </w:tcPr>
                <w:p w14:paraId="0CBE286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eastAsia"/>
                      <w:color w:val="auto"/>
                      <w:sz w:val="21"/>
                      <w:szCs w:val="21"/>
                      <w:highlight w:val="none"/>
                      <w:lang w:val="en-US" w:eastAsia="zh-CN"/>
                    </w:rPr>
                    <w:t>p</w:t>
                  </w:r>
                  <w:r>
                    <w:rPr>
                      <w:rFonts w:hint="default"/>
                      <w:color w:val="auto"/>
                      <w:sz w:val="21"/>
                      <w:szCs w:val="21"/>
                      <w:highlight w:val="none"/>
                      <w:lang w:val="en-US" w:eastAsia="zh-CN"/>
                    </w:rPr>
                    <w:t>H</w:t>
                  </w:r>
                </w:p>
              </w:tc>
              <w:tc>
                <w:tcPr>
                  <w:tcW w:w="885" w:type="pct"/>
                  <w:vAlign w:val="top"/>
                </w:tcPr>
                <w:p w14:paraId="543E382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w:t>
                  </w:r>
                </w:p>
              </w:tc>
              <w:tc>
                <w:tcPr>
                  <w:tcW w:w="885" w:type="pct"/>
                  <w:vAlign w:val="center"/>
                </w:tcPr>
                <w:p w14:paraId="29B1C62D">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7.2~7.3</w:t>
                  </w:r>
                </w:p>
              </w:tc>
              <w:tc>
                <w:tcPr>
                  <w:tcW w:w="885" w:type="pct"/>
                  <w:vAlign w:val="center"/>
                </w:tcPr>
                <w:p w14:paraId="47A39D52">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6~9</w:t>
                  </w:r>
                </w:p>
              </w:tc>
              <w:tc>
                <w:tcPr>
                  <w:tcW w:w="703" w:type="pct"/>
                  <w:vAlign w:val="top"/>
                </w:tcPr>
                <w:p w14:paraId="6F614A1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66376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4F28EB8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2</w:t>
                  </w:r>
                </w:p>
              </w:tc>
              <w:tc>
                <w:tcPr>
                  <w:tcW w:w="1153" w:type="pct"/>
                  <w:vAlign w:val="top"/>
                </w:tcPr>
                <w:p w14:paraId="7EE1C73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SS</w:t>
                  </w:r>
                </w:p>
              </w:tc>
              <w:tc>
                <w:tcPr>
                  <w:tcW w:w="885" w:type="pct"/>
                  <w:vAlign w:val="top"/>
                </w:tcPr>
                <w:p w14:paraId="545597F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49DCD0F8">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6~8</w:t>
                  </w:r>
                </w:p>
              </w:tc>
              <w:tc>
                <w:tcPr>
                  <w:tcW w:w="885" w:type="pct"/>
                  <w:vAlign w:val="center"/>
                </w:tcPr>
                <w:p w14:paraId="33C6F43D">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200</w:t>
                  </w:r>
                </w:p>
              </w:tc>
              <w:tc>
                <w:tcPr>
                  <w:tcW w:w="703" w:type="pct"/>
                  <w:vAlign w:val="top"/>
                </w:tcPr>
                <w:p w14:paraId="04E8DA1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7C0E6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057AF42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3</w:t>
                  </w:r>
                </w:p>
              </w:tc>
              <w:tc>
                <w:tcPr>
                  <w:tcW w:w="1153" w:type="pct"/>
                  <w:vAlign w:val="top"/>
                </w:tcPr>
                <w:p w14:paraId="7974277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COD</w:t>
                  </w:r>
                </w:p>
              </w:tc>
              <w:tc>
                <w:tcPr>
                  <w:tcW w:w="885" w:type="pct"/>
                  <w:vAlign w:val="top"/>
                </w:tcPr>
                <w:p w14:paraId="5B3FDB2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2E14959F">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41~48</w:t>
                  </w:r>
                </w:p>
              </w:tc>
              <w:tc>
                <w:tcPr>
                  <w:tcW w:w="885" w:type="pct"/>
                  <w:vAlign w:val="center"/>
                </w:tcPr>
                <w:p w14:paraId="692C439A">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500</w:t>
                  </w:r>
                </w:p>
              </w:tc>
              <w:tc>
                <w:tcPr>
                  <w:tcW w:w="703" w:type="pct"/>
                  <w:vAlign w:val="top"/>
                </w:tcPr>
                <w:p w14:paraId="7789B96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36ECB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3278D3A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4</w:t>
                  </w:r>
                </w:p>
              </w:tc>
              <w:tc>
                <w:tcPr>
                  <w:tcW w:w="1153" w:type="pct"/>
                  <w:vAlign w:val="top"/>
                </w:tcPr>
                <w:p w14:paraId="295C418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BOD</w:t>
                  </w:r>
                  <w:r>
                    <w:rPr>
                      <w:rFonts w:hint="default"/>
                      <w:color w:val="auto"/>
                      <w:sz w:val="21"/>
                      <w:szCs w:val="21"/>
                      <w:highlight w:val="none"/>
                      <w:vertAlign w:val="subscript"/>
                      <w:lang w:val="en-US" w:eastAsia="zh-CN"/>
                    </w:rPr>
                    <w:t>5</w:t>
                  </w:r>
                </w:p>
              </w:tc>
              <w:tc>
                <w:tcPr>
                  <w:tcW w:w="885" w:type="pct"/>
                  <w:vAlign w:val="top"/>
                </w:tcPr>
                <w:p w14:paraId="55E45FF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62EEE15B">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9.0~10.6</w:t>
                  </w:r>
                </w:p>
              </w:tc>
              <w:tc>
                <w:tcPr>
                  <w:tcW w:w="885" w:type="pct"/>
                  <w:vAlign w:val="center"/>
                </w:tcPr>
                <w:p w14:paraId="0D0E0F79">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180</w:t>
                  </w:r>
                </w:p>
              </w:tc>
              <w:tc>
                <w:tcPr>
                  <w:tcW w:w="703" w:type="pct"/>
                  <w:vAlign w:val="top"/>
                </w:tcPr>
                <w:p w14:paraId="7D8E0BB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68B2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728297B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5</w:t>
                  </w:r>
                </w:p>
              </w:tc>
              <w:tc>
                <w:tcPr>
                  <w:tcW w:w="1153" w:type="pct"/>
                  <w:vAlign w:val="top"/>
                </w:tcPr>
                <w:p w14:paraId="644A18D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总磷</w:t>
                  </w:r>
                </w:p>
              </w:tc>
              <w:tc>
                <w:tcPr>
                  <w:tcW w:w="885" w:type="pct"/>
                  <w:vAlign w:val="top"/>
                </w:tcPr>
                <w:p w14:paraId="35905E3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zh-CN" w:eastAsia="zh-CN"/>
                    </w:rPr>
                  </w:pPr>
                  <w:r>
                    <w:rPr>
                      <w:rFonts w:hint="default"/>
                      <w:color w:val="auto"/>
                      <w:sz w:val="21"/>
                      <w:szCs w:val="21"/>
                      <w:highlight w:val="none"/>
                      <w:lang w:val="en-US" w:eastAsia="zh-CN"/>
                    </w:rPr>
                    <w:t>mg/L</w:t>
                  </w:r>
                </w:p>
              </w:tc>
              <w:tc>
                <w:tcPr>
                  <w:tcW w:w="885" w:type="pct"/>
                  <w:vAlign w:val="center"/>
                </w:tcPr>
                <w:p w14:paraId="7E67AB8B">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0.93~1.08</w:t>
                  </w:r>
                </w:p>
              </w:tc>
              <w:tc>
                <w:tcPr>
                  <w:tcW w:w="885" w:type="pct"/>
                  <w:vAlign w:val="center"/>
                </w:tcPr>
                <w:p w14:paraId="73F7BD09">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w:t>
                  </w:r>
                </w:p>
              </w:tc>
              <w:tc>
                <w:tcPr>
                  <w:tcW w:w="703" w:type="pct"/>
                  <w:vAlign w:val="top"/>
                </w:tcPr>
                <w:p w14:paraId="5775755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54047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4F00F43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6</w:t>
                  </w:r>
                </w:p>
              </w:tc>
              <w:tc>
                <w:tcPr>
                  <w:tcW w:w="1153" w:type="pct"/>
                  <w:vAlign w:val="top"/>
                </w:tcPr>
                <w:p w14:paraId="541B0E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氨氮</w:t>
                  </w:r>
                </w:p>
              </w:tc>
              <w:tc>
                <w:tcPr>
                  <w:tcW w:w="885" w:type="pct"/>
                  <w:vAlign w:val="top"/>
                </w:tcPr>
                <w:p w14:paraId="15975F5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1B5C02C4">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2.38~2.60</w:t>
                  </w:r>
                </w:p>
              </w:tc>
              <w:tc>
                <w:tcPr>
                  <w:tcW w:w="885" w:type="pct"/>
                  <w:vAlign w:val="center"/>
                </w:tcPr>
                <w:p w14:paraId="19737323">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48</w:t>
                  </w:r>
                </w:p>
              </w:tc>
              <w:tc>
                <w:tcPr>
                  <w:tcW w:w="703" w:type="pct"/>
                  <w:vAlign w:val="top"/>
                </w:tcPr>
                <w:p w14:paraId="53BE393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23BDB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5BE76E7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7</w:t>
                  </w:r>
                </w:p>
              </w:tc>
              <w:tc>
                <w:tcPr>
                  <w:tcW w:w="1153" w:type="pct"/>
                  <w:vAlign w:val="top"/>
                </w:tcPr>
                <w:p w14:paraId="42F0195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总氮</w:t>
                  </w:r>
                </w:p>
              </w:tc>
              <w:tc>
                <w:tcPr>
                  <w:tcW w:w="885" w:type="pct"/>
                  <w:vAlign w:val="top"/>
                </w:tcPr>
                <w:p w14:paraId="508DB59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zh-CN" w:eastAsia="zh-CN"/>
                    </w:rPr>
                  </w:pPr>
                  <w:r>
                    <w:rPr>
                      <w:rFonts w:hint="default"/>
                      <w:color w:val="auto"/>
                      <w:sz w:val="21"/>
                      <w:szCs w:val="21"/>
                      <w:highlight w:val="none"/>
                      <w:lang w:val="en-US" w:eastAsia="zh-CN"/>
                    </w:rPr>
                    <w:t>mg/L</w:t>
                  </w:r>
                </w:p>
              </w:tc>
              <w:tc>
                <w:tcPr>
                  <w:tcW w:w="885" w:type="pct"/>
                  <w:vAlign w:val="center"/>
                </w:tcPr>
                <w:p w14:paraId="62DB40C1">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12.4~13.9</w:t>
                  </w:r>
                </w:p>
              </w:tc>
              <w:tc>
                <w:tcPr>
                  <w:tcW w:w="885" w:type="pct"/>
                  <w:vAlign w:val="center"/>
                </w:tcPr>
                <w:p w14:paraId="17C8F982">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70</w:t>
                  </w:r>
                </w:p>
              </w:tc>
              <w:tc>
                <w:tcPr>
                  <w:tcW w:w="703" w:type="pct"/>
                  <w:vAlign w:val="top"/>
                </w:tcPr>
                <w:p w14:paraId="6AF312D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4B03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3DF1EA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8</w:t>
                  </w:r>
                </w:p>
              </w:tc>
              <w:tc>
                <w:tcPr>
                  <w:tcW w:w="1153" w:type="pct"/>
                  <w:vAlign w:val="top"/>
                </w:tcPr>
                <w:p w14:paraId="3A807C9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甲醛</w:t>
                  </w:r>
                </w:p>
              </w:tc>
              <w:tc>
                <w:tcPr>
                  <w:tcW w:w="885" w:type="pct"/>
                  <w:vAlign w:val="top"/>
                </w:tcPr>
                <w:p w14:paraId="1359222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42F5F985">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0.05~0.07</w:t>
                  </w:r>
                </w:p>
              </w:tc>
              <w:tc>
                <w:tcPr>
                  <w:tcW w:w="885" w:type="pct"/>
                  <w:vAlign w:val="center"/>
                </w:tcPr>
                <w:p w14:paraId="053129E0">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w:t>
                  </w:r>
                </w:p>
              </w:tc>
              <w:tc>
                <w:tcPr>
                  <w:tcW w:w="703" w:type="pct"/>
                  <w:vAlign w:val="top"/>
                </w:tcPr>
                <w:p w14:paraId="17E26B4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73CE2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055FA57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9</w:t>
                  </w:r>
                </w:p>
              </w:tc>
              <w:tc>
                <w:tcPr>
                  <w:tcW w:w="1153" w:type="pct"/>
                  <w:vAlign w:val="top"/>
                </w:tcPr>
                <w:p w14:paraId="6DAF8BD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石油类</w:t>
                  </w:r>
                </w:p>
              </w:tc>
              <w:tc>
                <w:tcPr>
                  <w:tcW w:w="885" w:type="pct"/>
                  <w:vAlign w:val="top"/>
                </w:tcPr>
                <w:p w14:paraId="4F54AD1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zh-CN" w:eastAsia="zh-CN"/>
                    </w:rPr>
                  </w:pPr>
                  <w:r>
                    <w:rPr>
                      <w:rFonts w:hint="default"/>
                      <w:color w:val="auto"/>
                      <w:sz w:val="21"/>
                      <w:szCs w:val="21"/>
                      <w:highlight w:val="none"/>
                      <w:lang w:val="en-US" w:eastAsia="zh-CN"/>
                    </w:rPr>
                    <w:t>mg/L</w:t>
                  </w:r>
                </w:p>
              </w:tc>
              <w:tc>
                <w:tcPr>
                  <w:tcW w:w="885" w:type="pct"/>
                  <w:vAlign w:val="center"/>
                </w:tcPr>
                <w:p w14:paraId="6F85C8F0">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0.20~0.29</w:t>
                  </w:r>
                </w:p>
              </w:tc>
              <w:tc>
                <w:tcPr>
                  <w:tcW w:w="885" w:type="pct"/>
                  <w:vAlign w:val="center"/>
                </w:tcPr>
                <w:p w14:paraId="1F5B2267">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20</w:t>
                  </w:r>
                </w:p>
              </w:tc>
              <w:tc>
                <w:tcPr>
                  <w:tcW w:w="703" w:type="pct"/>
                  <w:vAlign w:val="top"/>
                </w:tcPr>
                <w:p w14:paraId="36E9056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6AC30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18519AD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10</w:t>
                  </w:r>
                </w:p>
              </w:tc>
              <w:tc>
                <w:tcPr>
                  <w:tcW w:w="1153" w:type="pct"/>
                  <w:vAlign w:val="top"/>
                </w:tcPr>
                <w:p w14:paraId="1F4A89B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总铜</w:t>
                  </w:r>
                </w:p>
              </w:tc>
              <w:tc>
                <w:tcPr>
                  <w:tcW w:w="885" w:type="pct"/>
                  <w:vAlign w:val="top"/>
                </w:tcPr>
                <w:p w14:paraId="165E45F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44D27CA8">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0.05L</w:t>
                  </w:r>
                </w:p>
              </w:tc>
              <w:tc>
                <w:tcPr>
                  <w:tcW w:w="885" w:type="pct"/>
                  <w:vAlign w:val="center"/>
                </w:tcPr>
                <w:p w14:paraId="6E1E2C76">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0.5</w:t>
                  </w:r>
                </w:p>
              </w:tc>
              <w:tc>
                <w:tcPr>
                  <w:tcW w:w="703" w:type="pct"/>
                  <w:vAlign w:val="top"/>
                </w:tcPr>
                <w:p w14:paraId="20C6F7E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4A00C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2C3E875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11</w:t>
                  </w:r>
                </w:p>
              </w:tc>
              <w:tc>
                <w:tcPr>
                  <w:tcW w:w="1153" w:type="pct"/>
                  <w:vAlign w:val="top"/>
                </w:tcPr>
                <w:p w14:paraId="398B1C7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总锌</w:t>
                  </w:r>
                </w:p>
              </w:tc>
              <w:tc>
                <w:tcPr>
                  <w:tcW w:w="885" w:type="pct"/>
                  <w:vAlign w:val="top"/>
                </w:tcPr>
                <w:p w14:paraId="2C6FAAA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zh-CN" w:eastAsia="zh-CN"/>
                    </w:rPr>
                  </w:pPr>
                  <w:r>
                    <w:rPr>
                      <w:rFonts w:hint="default"/>
                      <w:color w:val="auto"/>
                      <w:sz w:val="21"/>
                      <w:szCs w:val="21"/>
                      <w:highlight w:val="none"/>
                      <w:lang w:val="en-US" w:eastAsia="zh-CN"/>
                    </w:rPr>
                    <w:t>mg/L</w:t>
                  </w:r>
                </w:p>
              </w:tc>
              <w:tc>
                <w:tcPr>
                  <w:tcW w:w="885" w:type="pct"/>
                  <w:vAlign w:val="center"/>
                </w:tcPr>
                <w:p w14:paraId="1E6C8503">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0.3~0.38</w:t>
                  </w:r>
                </w:p>
              </w:tc>
              <w:tc>
                <w:tcPr>
                  <w:tcW w:w="885" w:type="pct"/>
                  <w:vAlign w:val="center"/>
                </w:tcPr>
                <w:p w14:paraId="3025AFA4">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2</w:t>
                  </w:r>
                </w:p>
              </w:tc>
              <w:tc>
                <w:tcPr>
                  <w:tcW w:w="703" w:type="pct"/>
                  <w:vAlign w:val="top"/>
                </w:tcPr>
                <w:p w14:paraId="64470E1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166DD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378A009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12</w:t>
                  </w:r>
                </w:p>
              </w:tc>
              <w:tc>
                <w:tcPr>
                  <w:tcW w:w="1153" w:type="pct"/>
                  <w:vAlign w:val="top"/>
                </w:tcPr>
                <w:p w14:paraId="4CA3B30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AOX</w:t>
                  </w:r>
                </w:p>
              </w:tc>
              <w:tc>
                <w:tcPr>
                  <w:tcW w:w="885" w:type="pct"/>
                  <w:vAlign w:val="top"/>
                </w:tcPr>
                <w:p w14:paraId="6F32220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178F85F3">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0.082~0.086</w:t>
                  </w:r>
                </w:p>
              </w:tc>
              <w:tc>
                <w:tcPr>
                  <w:tcW w:w="885" w:type="pct"/>
                  <w:vAlign w:val="center"/>
                </w:tcPr>
                <w:p w14:paraId="29114C44">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5</w:t>
                  </w:r>
                </w:p>
              </w:tc>
              <w:tc>
                <w:tcPr>
                  <w:tcW w:w="703" w:type="pct"/>
                  <w:vAlign w:val="top"/>
                </w:tcPr>
                <w:p w14:paraId="1E3B340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r w14:paraId="6FEC0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4" w:type="pct"/>
                  <w:vAlign w:val="top"/>
                </w:tcPr>
                <w:p w14:paraId="09C63DC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13</w:t>
                  </w:r>
                </w:p>
              </w:tc>
              <w:tc>
                <w:tcPr>
                  <w:tcW w:w="1153" w:type="pct"/>
                  <w:vAlign w:val="top"/>
                </w:tcPr>
                <w:p w14:paraId="2F00E0A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氟化物</w:t>
                  </w:r>
                </w:p>
              </w:tc>
              <w:tc>
                <w:tcPr>
                  <w:tcW w:w="885" w:type="pct"/>
                  <w:vAlign w:val="top"/>
                </w:tcPr>
                <w:p w14:paraId="4C0F185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mg/L</w:t>
                  </w:r>
                </w:p>
              </w:tc>
              <w:tc>
                <w:tcPr>
                  <w:tcW w:w="885" w:type="pct"/>
                  <w:vAlign w:val="center"/>
                </w:tcPr>
                <w:p w14:paraId="68FD3E9D">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0.63~0.88</w:t>
                  </w:r>
                </w:p>
              </w:tc>
              <w:tc>
                <w:tcPr>
                  <w:tcW w:w="885" w:type="pct"/>
                  <w:vAlign w:val="center"/>
                </w:tcPr>
                <w:p w14:paraId="64256286">
                  <w:pPr>
                    <w:keepNext w:val="0"/>
                    <w:keepLines w:val="0"/>
                    <w:widowControl/>
                    <w:suppressLineNumbers w:val="0"/>
                    <w:jc w:val="center"/>
                    <w:textAlignment w:val="center"/>
                    <w:rPr>
                      <w:rFonts w:hint="default"/>
                      <w:color w:val="auto"/>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1.5</w:t>
                  </w:r>
                </w:p>
              </w:tc>
              <w:tc>
                <w:tcPr>
                  <w:tcW w:w="703" w:type="pct"/>
                  <w:vAlign w:val="top"/>
                </w:tcPr>
                <w:p w14:paraId="0A68C41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color w:val="auto"/>
                      <w:sz w:val="21"/>
                      <w:szCs w:val="21"/>
                      <w:highlight w:val="none"/>
                      <w:lang w:val="en-US" w:eastAsia="zh-CN"/>
                    </w:rPr>
                  </w:pPr>
                  <w:r>
                    <w:rPr>
                      <w:rFonts w:hint="default"/>
                      <w:color w:val="auto"/>
                      <w:sz w:val="21"/>
                      <w:szCs w:val="21"/>
                      <w:highlight w:val="none"/>
                      <w:lang w:val="en-US" w:eastAsia="zh-CN"/>
                    </w:rPr>
                    <w:t>达标</w:t>
                  </w:r>
                </w:p>
              </w:tc>
            </w:tr>
          </w:tbl>
          <w:p w14:paraId="65532110">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rPr>
            </w:pPr>
            <w:r>
              <w:rPr>
                <w:rFonts w:hint="default"/>
                <w:color w:val="auto"/>
                <w:sz w:val="21"/>
                <w:szCs w:val="21"/>
                <w:highlight w:val="none"/>
              </w:rPr>
              <w:t>由上表数据可知：现有工程所产废水经厂高浓度氨氮废水处理设施和综合污水处理站处理后出水水质符合《污水综合排放标准》(GB8978－1996)表4中的三级标准</w:t>
            </w:r>
            <w:r>
              <w:rPr>
                <w:rFonts w:hint="eastAsia"/>
                <w:color w:val="auto"/>
                <w:sz w:val="21"/>
                <w:szCs w:val="21"/>
                <w:highlight w:val="none"/>
                <w:lang w:val="en-US" w:eastAsia="zh-CN"/>
              </w:rPr>
              <w:t>和</w:t>
            </w:r>
            <w:r>
              <w:rPr>
                <w:rFonts w:hint="default" w:ascii="Times New Roman" w:hAnsi="Times New Roman" w:eastAsia="宋体" w:cs="Times New Roman"/>
                <w:color w:val="auto"/>
                <w:spacing w:val="0"/>
                <w:w w:val="100"/>
                <w:position w:val="0"/>
                <w:sz w:val="21"/>
                <w:szCs w:val="21"/>
                <w:highlight w:val="none"/>
              </w:rPr>
              <w:t>《石油化学工业污染物排放标准》(GB31571-2015及修改单)</w:t>
            </w:r>
            <w:r>
              <w:rPr>
                <w:rFonts w:hint="eastAsia" w:ascii="Times New Roman" w:hAnsi="Times New Roman" w:eastAsia="宋体" w:cs="Times New Roman"/>
                <w:color w:val="auto"/>
                <w:spacing w:val="0"/>
                <w:w w:val="100"/>
                <w:position w:val="0"/>
                <w:sz w:val="21"/>
                <w:szCs w:val="21"/>
                <w:highlight w:val="none"/>
                <w:lang w:val="en-US" w:eastAsia="zh-CN"/>
              </w:rPr>
              <w:t>限值要求</w:t>
            </w:r>
            <w:r>
              <w:rPr>
                <w:rFonts w:hint="default"/>
                <w:color w:val="auto"/>
                <w:sz w:val="21"/>
                <w:szCs w:val="21"/>
                <w:highlight w:val="none"/>
              </w:rPr>
              <w:t>，同时满足石家庄</w:t>
            </w:r>
            <w:r>
              <w:rPr>
                <w:rFonts w:hint="eastAsia"/>
                <w:color w:val="auto"/>
                <w:sz w:val="21"/>
                <w:szCs w:val="21"/>
                <w:highlight w:val="none"/>
                <w:lang w:eastAsia="zh-CN"/>
              </w:rPr>
              <w:t>石家庄高新区循化环境水务有限公司（良村南污水处理厂）</w:t>
            </w:r>
            <w:r>
              <w:rPr>
                <w:rFonts w:hint="default"/>
                <w:color w:val="auto"/>
                <w:sz w:val="21"/>
                <w:szCs w:val="21"/>
                <w:highlight w:val="none"/>
              </w:rPr>
              <w:t>进水水质要求。</w:t>
            </w:r>
          </w:p>
          <w:p w14:paraId="2A32F7F5">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rPr>
            </w:pPr>
            <w:r>
              <w:rPr>
                <w:rFonts w:hint="default"/>
                <w:color w:val="auto"/>
                <w:sz w:val="21"/>
                <w:szCs w:val="21"/>
                <w:highlight w:val="none"/>
              </w:rPr>
              <w:t>现有工程全厂废水产生量为</w:t>
            </w:r>
            <w:r>
              <w:rPr>
                <w:rFonts w:hint="eastAsia"/>
                <w:color w:val="auto"/>
                <w:sz w:val="21"/>
                <w:szCs w:val="21"/>
                <w:highlight w:val="none"/>
                <w:lang w:val="en-US" w:eastAsia="zh-CN"/>
              </w:rPr>
              <w:t>924.32</w:t>
            </w:r>
            <w:r>
              <w:rPr>
                <w:rFonts w:hint="default"/>
                <w:color w:val="auto"/>
                <w:sz w:val="21"/>
                <w:szCs w:val="21"/>
                <w:highlight w:val="none"/>
              </w:rPr>
              <w:t>m</w:t>
            </w:r>
            <w:r>
              <w:rPr>
                <w:rFonts w:hint="default"/>
                <w:color w:val="auto"/>
                <w:sz w:val="21"/>
                <w:szCs w:val="21"/>
                <w:highlight w:val="none"/>
                <w:vertAlign w:val="superscript"/>
              </w:rPr>
              <w:t>3</w:t>
            </w:r>
            <w:r>
              <w:rPr>
                <w:rFonts w:hint="default"/>
                <w:color w:val="auto"/>
                <w:sz w:val="21"/>
                <w:szCs w:val="21"/>
                <w:highlight w:val="none"/>
              </w:rPr>
              <w:t>/d，经计算现有废水污染物排放量为：</w:t>
            </w:r>
          </w:p>
          <w:p w14:paraId="3E7F1262">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rPr>
            </w:pPr>
            <w:r>
              <w:rPr>
                <w:rFonts w:hint="default"/>
                <w:color w:val="auto"/>
                <w:sz w:val="21"/>
                <w:szCs w:val="21"/>
                <w:highlight w:val="none"/>
              </w:rPr>
              <w:t>COD：</w:t>
            </w:r>
            <w:r>
              <w:rPr>
                <w:rFonts w:hint="eastAsia"/>
                <w:color w:val="auto"/>
                <w:sz w:val="21"/>
                <w:szCs w:val="21"/>
                <w:highlight w:val="none"/>
                <w:lang w:val="en-US" w:eastAsia="zh-CN"/>
              </w:rPr>
              <w:t>48</w:t>
            </w:r>
            <w:r>
              <w:rPr>
                <w:rFonts w:hint="default"/>
                <w:color w:val="auto"/>
                <w:sz w:val="21"/>
                <w:szCs w:val="21"/>
                <w:highlight w:val="none"/>
              </w:rPr>
              <w:t>mg/L×</w:t>
            </w:r>
            <w:r>
              <w:rPr>
                <w:rFonts w:hint="eastAsia"/>
                <w:color w:val="auto"/>
                <w:sz w:val="21"/>
                <w:szCs w:val="21"/>
                <w:highlight w:val="none"/>
                <w:lang w:val="en-US" w:eastAsia="zh-CN"/>
              </w:rPr>
              <w:t>924.32</w:t>
            </w:r>
            <w:r>
              <w:rPr>
                <w:rFonts w:hint="default"/>
                <w:color w:val="auto"/>
                <w:sz w:val="21"/>
                <w:szCs w:val="21"/>
                <w:highlight w:val="none"/>
              </w:rPr>
              <w:t>m</w:t>
            </w:r>
            <w:r>
              <w:rPr>
                <w:rFonts w:hint="default"/>
                <w:color w:val="auto"/>
                <w:sz w:val="21"/>
                <w:szCs w:val="21"/>
                <w:highlight w:val="none"/>
                <w:vertAlign w:val="superscript"/>
              </w:rPr>
              <w:t>3</w:t>
            </w:r>
            <w:r>
              <w:rPr>
                <w:rFonts w:hint="default"/>
                <w:color w:val="auto"/>
                <w:sz w:val="21"/>
                <w:szCs w:val="21"/>
                <w:highlight w:val="none"/>
              </w:rPr>
              <w:t xml:space="preserve"> /d×3</w:t>
            </w:r>
            <w:r>
              <w:rPr>
                <w:rFonts w:hint="eastAsia"/>
                <w:color w:val="auto"/>
                <w:sz w:val="21"/>
                <w:szCs w:val="21"/>
                <w:highlight w:val="none"/>
                <w:lang w:val="en-US" w:eastAsia="zh-CN"/>
              </w:rPr>
              <w:t>00</w:t>
            </w:r>
            <w:r>
              <w:rPr>
                <w:rFonts w:hint="default"/>
                <w:color w:val="auto"/>
                <w:sz w:val="21"/>
                <w:szCs w:val="21"/>
                <w:highlight w:val="none"/>
              </w:rPr>
              <w:t>d/a×10</w:t>
            </w:r>
            <w:r>
              <w:rPr>
                <w:rFonts w:hint="default"/>
                <w:color w:val="auto"/>
                <w:sz w:val="21"/>
                <w:szCs w:val="21"/>
                <w:highlight w:val="none"/>
                <w:vertAlign w:val="superscript"/>
              </w:rPr>
              <w:t>-6</w:t>
            </w:r>
            <w:r>
              <w:rPr>
                <w:rFonts w:hint="default"/>
                <w:color w:val="auto"/>
                <w:sz w:val="21"/>
                <w:szCs w:val="21"/>
                <w:highlight w:val="none"/>
              </w:rPr>
              <w:t>≈</w:t>
            </w:r>
            <w:r>
              <w:rPr>
                <w:rFonts w:hint="eastAsia"/>
                <w:color w:val="auto"/>
                <w:sz w:val="21"/>
                <w:szCs w:val="21"/>
                <w:highlight w:val="none"/>
                <w:lang w:val="en-US" w:eastAsia="zh-CN"/>
              </w:rPr>
              <w:t xml:space="preserve"> 13.310</w:t>
            </w:r>
            <w:r>
              <w:rPr>
                <w:rFonts w:hint="default"/>
                <w:color w:val="auto"/>
                <w:sz w:val="21"/>
                <w:szCs w:val="21"/>
                <w:highlight w:val="none"/>
              </w:rPr>
              <w:t>t/a；</w:t>
            </w:r>
          </w:p>
          <w:p w14:paraId="2D4441A2">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rPr>
            </w:pPr>
            <w:r>
              <w:rPr>
                <w:rFonts w:hint="default"/>
                <w:color w:val="auto"/>
                <w:sz w:val="21"/>
                <w:szCs w:val="21"/>
                <w:highlight w:val="none"/>
              </w:rPr>
              <w:t>氨氮：</w:t>
            </w:r>
            <w:r>
              <w:rPr>
                <w:rFonts w:hint="eastAsia"/>
                <w:color w:val="auto"/>
                <w:sz w:val="21"/>
                <w:szCs w:val="21"/>
                <w:highlight w:val="none"/>
                <w:lang w:val="en-US" w:eastAsia="zh-CN"/>
              </w:rPr>
              <w:t>2.60</w:t>
            </w:r>
            <w:r>
              <w:rPr>
                <w:rFonts w:hint="default"/>
                <w:color w:val="auto"/>
                <w:sz w:val="21"/>
                <w:szCs w:val="21"/>
                <w:highlight w:val="none"/>
              </w:rPr>
              <w:t>mg/L×</w:t>
            </w:r>
            <w:r>
              <w:rPr>
                <w:rFonts w:hint="eastAsia"/>
                <w:color w:val="auto"/>
                <w:sz w:val="21"/>
                <w:szCs w:val="21"/>
                <w:highlight w:val="none"/>
                <w:lang w:val="en-US" w:eastAsia="zh-CN"/>
              </w:rPr>
              <w:t>924.32</w:t>
            </w:r>
            <w:r>
              <w:rPr>
                <w:rFonts w:hint="default"/>
                <w:color w:val="auto"/>
                <w:sz w:val="21"/>
                <w:szCs w:val="21"/>
                <w:highlight w:val="none"/>
              </w:rPr>
              <w:t>m</w:t>
            </w:r>
            <w:r>
              <w:rPr>
                <w:rFonts w:hint="default"/>
                <w:color w:val="auto"/>
                <w:sz w:val="21"/>
                <w:szCs w:val="21"/>
                <w:highlight w:val="none"/>
                <w:vertAlign w:val="superscript"/>
              </w:rPr>
              <w:t xml:space="preserve">3 </w:t>
            </w:r>
            <w:r>
              <w:rPr>
                <w:rFonts w:hint="default"/>
                <w:color w:val="auto"/>
                <w:sz w:val="21"/>
                <w:szCs w:val="21"/>
                <w:highlight w:val="none"/>
              </w:rPr>
              <w:t>/d×3</w:t>
            </w:r>
            <w:r>
              <w:rPr>
                <w:rFonts w:hint="eastAsia"/>
                <w:color w:val="auto"/>
                <w:sz w:val="21"/>
                <w:szCs w:val="21"/>
                <w:highlight w:val="none"/>
                <w:lang w:val="en-US" w:eastAsia="zh-CN"/>
              </w:rPr>
              <w:t>00</w:t>
            </w:r>
            <w:r>
              <w:rPr>
                <w:rFonts w:hint="default"/>
                <w:color w:val="auto"/>
                <w:sz w:val="21"/>
                <w:szCs w:val="21"/>
                <w:highlight w:val="none"/>
              </w:rPr>
              <w:t>d/a×10</w:t>
            </w:r>
            <w:r>
              <w:rPr>
                <w:rFonts w:hint="default"/>
                <w:color w:val="auto"/>
                <w:sz w:val="21"/>
                <w:szCs w:val="21"/>
                <w:highlight w:val="none"/>
                <w:vertAlign w:val="superscript"/>
              </w:rPr>
              <w:t>-6</w:t>
            </w:r>
            <w:r>
              <w:rPr>
                <w:rFonts w:hint="default"/>
                <w:color w:val="auto"/>
                <w:sz w:val="21"/>
                <w:szCs w:val="21"/>
                <w:highlight w:val="none"/>
              </w:rPr>
              <w:t>≈</w:t>
            </w:r>
            <w:r>
              <w:rPr>
                <w:rFonts w:hint="eastAsia"/>
                <w:color w:val="auto"/>
                <w:sz w:val="21"/>
                <w:szCs w:val="21"/>
                <w:highlight w:val="none"/>
                <w:lang w:val="en-US" w:eastAsia="zh-CN"/>
              </w:rPr>
              <w:t xml:space="preserve"> 0.721</w:t>
            </w:r>
            <w:r>
              <w:rPr>
                <w:rFonts w:hint="default"/>
                <w:color w:val="auto"/>
                <w:sz w:val="21"/>
                <w:szCs w:val="21"/>
                <w:highlight w:val="none"/>
              </w:rPr>
              <w:t>t/a。</w:t>
            </w:r>
          </w:p>
          <w:p w14:paraId="7952F556">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（2）废气</w:t>
            </w:r>
          </w:p>
          <w:p w14:paraId="4B7237BB">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针对现有工程废气污染源及污染物排放情况，本次评价</w:t>
            </w:r>
            <w:r>
              <w:rPr>
                <w:rFonts w:hint="eastAsia"/>
                <w:color w:val="auto"/>
                <w:sz w:val="21"/>
                <w:szCs w:val="21"/>
                <w:highlight w:val="none"/>
                <w:lang w:val="en-US" w:eastAsia="zh-CN"/>
              </w:rPr>
              <w:t>甘氨酸深加工车间废气和污水处理站废气中非甲烷总烃数据依据2026年石家庄东华金龙化工有限公司甘氨酸深加工项目验收监测报告</w:t>
            </w:r>
            <w:r>
              <w:rPr>
                <w:rFonts w:hint="default"/>
                <w:color w:val="auto"/>
                <w:sz w:val="21"/>
                <w:szCs w:val="21"/>
                <w:highlight w:val="none"/>
                <w:lang w:val="en-US" w:eastAsia="zh-CN"/>
              </w:rPr>
              <w:t>（监测公司：河北环海检测科技有限公司，报告编号：</w:t>
            </w:r>
            <w:r>
              <w:rPr>
                <w:rFonts w:hint="eastAsia"/>
                <w:color w:val="auto"/>
                <w:sz w:val="21"/>
                <w:szCs w:val="21"/>
                <w:highlight w:val="none"/>
                <w:lang w:val="en-US" w:eastAsia="zh-CN"/>
              </w:rPr>
              <w:t>环检验（2026）第003</w:t>
            </w:r>
            <w:r>
              <w:rPr>
                <w:rFonts w:hint="default"/>
                <w:color w:val="auto"/>
                <w:sz w:val="21"/>
                <w:szCs w:val="21"/>
                <w:highlight w:val="none"/>
                <w:lang w:val="en-US" w:eastAsia="zh-CN"/>
              </w:rPr>
              <w:t>号，生产工况为</w:t>
            </w:r>
            <w:r>
              <w:rPr>
                <w:rFonts w:hint="eastAsia"/>
                <w:color w:val="auto"/>
                <w:sz w:val="21"/>
                <w:szCs w:val="21"/>
                <w:highlight w:val="none"/>
                <w:lang w:val="en-US" w:eastAsia="zh-CN"/>
              </w:rPr>
              <w:t>正常</w:t>
            </w:r>
            <w:r>
              <w:rPr>
                <w:rFonts w:hint="default"/>
                <w:color w:val="auto"/>
                <w:sz w:val="21"/>
                <w:szCs w:val="21"/>
                <w:highlight w:val="none"/>
                <w:lang w:val="en-US" w:eastAsia="zh-CN"/>
              </w:rPr>
              <w:t>）</w:t>
            </w:r>
            <w:r>
              <w:rPr>
                <w:rFonts w:hint="eastAsia"/>
                <w:color w:val="auto"/>
                <w:sz w:val="21"/>
                <w:szCs w:val="21"/>
                <w:highlight w:val="none"/>
                <w:lang w:val="en-US" w:eastAsia="zh-CN"/>
              </w:rPr>
              <w:t>，</w:t>
            </w:r>
            <w:r>
              <w:rPr>
                <w:rFonts w:hint="default" w:ascii="Times New Roman" w:hAnsi="Times New Roman" w:eastAsia="宋体" w:cs="Times New Roman"/>
                <w:color w:val="auto"/>
                <w:spacing w:val="0"/>
                <w:w w:val="100"/>
                <w:position w:val="0"/>
                <w:sz w:val="21"/>
                <w:szCs w:val="21"/>
                <w:highlight w:val="none"/>
                <w:lang w:val="en-US" w:eastAsia="zh-CN"/>
              </w:rPr>
              <w:t>氨基乙酸车间</w:t>
            </w:r>
            <w:r>
              <w:rPr>
                <w:rFonts w:hint="eastAsia" w:cs="Times New Roman"/>
                <w:color w:val="auto"/>
                <w:spacing w:val="0"/>
                <w:w w:val="100"/>
                <w:position w:val="0"/>
                <w:sz w:val="21"/>
                <w:szCs w:val="21"/>
                <w:highlight w:val="none"/>
                <w:lang w:val="en-US" w:eastAsia="zh-CN"/>
              </w:rPr>
              <w:t>废气非甲烷总烃、氯化氢、氯气、臭气浓度依据</w:t>
            </w:r>
            <w:r>
              <w:rPr>
                <w:rFonts w:hint="eastAsia"/>
                <w:color w:val="auto"/>
                <w:sz w:val="21"/>
                <w:szCs w:val="21"/>
                <w:highlight w:val="none"/>
                <w:lang w:val="en-US" w:eastAsia="zh-CN"/>
              </w:rPr>
              <w:t>2026年石家庄东华金龙化工有限公司60kt/a液体氯乙酸升级改造项目验收监测报告</w:t>
            </w:r>
            <w:r>
              <w:rPr>
                <w:rFonts w:hint="default"/>
                <w:color w:val="auto"/>
                <w:sz w:val="21"/>
                <w:szCs w:val="21"/>
                <w:highlight w:val="none"/>
                <w:lang w:val="en-US" w:eastAsia="zh-CN"/>
              </w:rPr>
              <w:t>（监测公司：河北环海检测科技有限公司，报告编号：</w:t>
            </w:r>
            <w:r>
              <w:rPr>
                <w:rFonts w:hint="eastAsia"/>
                <w:color w:val="auto"/>
                <w:sz w:val="21"/>
                <w:szCs w:val="21"/>
                <w:highlight w:val="none"/>
                <w:lang w:val="en-US" w:eastAsia="zh-CN"/>
              </w:rPr>
              <w:t>环检验（2026）第002</w:t>
            </w:r>
            <w:r>
              <w:rPr>
                <w:rFonts w:hint="default"/>
                <w:color w:val="auto"/>
                <w:sz w:val="21"/>
                <w:szCs w:val="21"/>
                <w:highlight w:val="none"/>
                <w:lang w:val="en-US" w:eastAsia="zh-CN"/>
              </w:rPr>
              <w:t>号，生产工况为</w:t>
            </w:r>
            <w:r>
              <w:rPr>
                <w:rFonts w:hint="eastAsia"/>
                <w:color w:val="auto"/>
                <w:sz w:val="21"/>
                <w:szCs w:val="21"/>
                <w:highlight w:val="none"/>
                <w:lang w:val="en-US" w:eastAsia="zh-CN"/>
              </w:rPr>
              <w:t>76</w:t>
            </w:r>
            <w:r>
              <w:rPr>
                <w:rFonts w:hint="default"/>
                <w:color w:val="auto"/>
                <w:sz w:val="21"/>
                <w:szCs w:val="21"/>
                <w:highlight w:val="none"/>
                <w:lang w:val="en-US" w:eastAsia="zh-CN"/>
              </w:rPr>
              <w:t>%）</w:t>
            </w:r>
            <w:r>
              <w:rPr>
                <w:rFonts w:hint="eastAsia"/>
                <w:color w:val="auto"/>
                <w:sz w:val="21"/>
                <w:szCs w:val="21"/>
                <w:highlight w:val="none"/>
                <w:lang w:val="en-US" w:eastAsia="zh-CN"/>
              </w:rPr>
              <w:t>，</w:t>
            </w:r>
            <w:r>
              <w:rPr>
                <w:rFonts w:hint="default"/>
                <w:color w:val="auto"/>
                <w:sz w:val="21"/>
                <w:szCs w:val="21"/>
                <w:highlight w:val="none"/>
                <w:lang w:val="en-US" w:eastAsia="zh-CN"/>
              </w:rPr>
              <w:t>海因车间废气依据2025年第二季度监测报告（监测公司：河北环海检测科技有限公司，报告编号：HHJC自行监测[2025]202号，生产工况为100%），精制品废气依据2024年第四季度监测报告（监测公司：河北环海检测科技有限公司，报告编号：HHJC自行监测[2024]533号，生产工况为100%），其余车间废气依据企业2025年第三季度监测报告（监测公司：河北华盖环保科技有限公司，报告编号：HGHB[自]字2025641号，生产工况为50%）、（HGHB[自]字2025843号，生产工况为15%）的相关数据进行分析，现有工程废气污染源及污染物排放情况如下。</w:t>
            </w:r>
          </w:p>
          <w:p w14:paraId="1A22F569">
            <w:pPr>
              <w:keepNext w:val="0"/>
              <w:keepLines w:val="0"/>
              <w:pageBreakBefore w:val="0"/>
              <w:widowControl w:val="0"/>
              <w:kinsoku/>
              <w:wordWrap/>
              <w:overflowPunct/>
              <w:topLinePunct w:val="0"/>
              <w:autoSpaceDE/>
              <w:autoSpaceDN/>
              <w:bidi w:val="0"/>
              <w:adjustRightInd/>
              <w:snapToGrid/>
              <w:ind w:firstLine="420" w:firstLineChars="200"/>
              <w:jc w:val="both"/>
              <w:textAlignment w:val="auto"/>
              <w:rPr>
                <w:rFonts w:hint="default"/>
                <w:color w:val="auto"/>
                <w:sz w:val="21"/>
                <w:szCs w:val="21"/>
                <w:highlight w:val="none"/>
                <w:lang w:val="en-US" w:eastAsia="zh-CN"/>
              </w:rPr>
            </w:pPr>
            <w:r>
              <w:rPr>
                <w:rFonts w:hint="default"/>
                <w:color w:val="auto"/>
                <w:sz w:val="21"/>
                <w:szCs w:val="21"/>
                <w:highlight w:val="none"/>
                <w:lang w:val="en-US" w:eastAsia="zh-CN"/>
              </w:rPr>
              <w:t>注：精制品废气车间产生颗粒物的设备2025年均停产，因此选用最近为2024年第四季度监测报告数据进行核算。</w:t>
            </w:r>
          </w:p>
          <w:p w14:paraId="740708B9">
            <w:pPr>
              <w:keepNext w:val="0"/>
              <w:keepLines w:val="0"/>
              <w:pageBreakBefore w:val="0"/>
              <w:widowControl w:val="0"/>
              <w:kinsoku/>
              <w:wordWrap/>
              <w:overflowPunct/>
              <w:topLinePunct w:val="0"/>
              <w:autoSpaceDE/>
              <w:autoSpaceDN/>
              <w:bidi w:val="0"/>
              <w:adjustRightInd/>
              <w:snapToGrid/>
              <w:ind w:firstLine="480" w:firstLineChars="200"/>
              <w:jc w:val="both"/>
              <w:textAlignment w:val="auto"/>
              <w:rPr>
                <w:rFonts w:hint="eastAsia"/>
                <w:color w:val="auto"/>
                <w:highlight w:val="none"/>
                <w:lang w:val="en-US" w:eastAsia="zh-CN"/>
              </w:rPr>
            </w:pPr>
          </w:p>
          <w:p w14:paraId="5F6F6532">
            <w:pPr>
              <w:pStyle w:val="2"/>
              <w:ind w:left="0" w:leftChars="0" w:firstLine="0" w:firstLineChars="0"/>
              <w:rPr>
                <w:rFonts w:hint="eastAsia" w:ascii="Times New Roman" w:hAnsi="Times New Roman" w:eastAsia="宋体" w:cs="Times New Roman"/>
                <w:bCs/>
                <w:color w:val="auto"/>
                <w:sz w:val="21"/>
                <w:szCs w:val="21"/>
                <w:highlight w:val="none"/>
                <w:lang w:val="en-US" w:eastAsia="zh-CN"/>
              </w:rPr>
            </w:pPr>
          </w:p>
        </w:tc>
      </w:tr>
    </w:tbl>
    <w:p w14:paraId="58D5FB9B">
      <w:pPr>
        <w:rPr>
          <w:color w:val="auto"/>
          <w:highlight w:val="none"/>
        </w:rPr>
        <w:sectPr>
          <w:type w:val="continuous"/>
          <w:pgSz w:w="11906" w:h="16838"/>
          <w:pgMar w:top="1701" w:right="1531" w:bottom="1701"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42"/>
        <w:gridCol w:w="12705"/>
      </w:tblGrid>
      <w:tr w14:paraId="57C945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5" w:type="pct"/>
            <w:noWrap w:val="0"/>
            <w:vAlign w:val="center"/>
          </w:tcPr>
          <w:p w14:paraId="47E74D7E">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eastAsia="宋体" w:cs="宋体"/>
                <w:bCs/>
                <w:color w:val="auto"/>
                <w:kern w:val="2"/>
                <w:sz w:val="21"/>
                <w:szCs w:val="21"/>
                <w:highlight w:val="none"/>
                <w:lang w:val="en-US" w:eastAsia="zh-CN" w:bidi="ar-SA"/>
              </w:rPr>
              <w:t>与项目有关的原有环境污染问题</w:t>
            </w:r>
          </w:p>
        </w:tc>
        <w:tc>
          <w:tcPr>
            <w:tcW w:w="4654" w:type="pct"/>
            <w:noWrap w:val="0"/>
            <w:vAlign w:val="center"/>
          </w:tcPr>
          <w:p w14:paraId="018B3E89">
            <w:pPr>
              <w:pStyle w:val="10"/>
              <w:keepNext w:val="0"/>
              <w:keepLines w:val="0"/>
              <w:pageBreakBefore w:val="0"/>
              <w:widowControl w:val="0"/>
              <w:kinsoku/>
              <w:wordWrap/>
              <w:overflowPunct/>
              <w:topLinePunct w:val="0"/>
              <w:autoSpaceDE/>
              <w:autoSpaceDN/>
              <w:bidi w:val="0"/>
              <w:adjustRightInd w:val="0"/>
              <w:snapToGrid w:val="0"/>
              <w:ind w:firstLine="422" w:firstLineChars="200"/>
              <w:jc w:val="center"/>
              <w:textAlignment w:val="baseline"/>
              <w:rPr>
                <w:rFonts w:hint="eastAsia" w:ascii="宋体" w:hAnsi="宋体" w:eastAsia="宋体"/>
                <w:b/>
                <w:bCs w:val="0"/>
                <w:color w:val="auto"/>
                <w:sz w:val="21"/>
                <w:szCs w:val="21"/>
                <w:highlight w:val="none"/>
                <w:lang w:val="en-US" w:eastAsia="zh-CN"/>
              </w:rPr>
            </w:pPr>
            <w:r>
              <w:rPr>
                <w:rFonts w:hint="eastAsia" w:ascii="Times New Roman" w:hAnsi="Times New Roman" w:eastAsia="宋体" w:cs="Times New Roman"/>
                <w:b/>
                <w:bCs w:val="0"/>
                <w:color w:val="auto"/>
                <w:kern w:val="2"/>
                <w:sz w:val="21"/>
                <w:szCs w:val="21"/>
                <w:highlight w:val="none"/>
                <w:lang w:val="en-US" w:eastAsia="zh-CN" w:bidi="ar-SA"/>
              </w:rPr>
              <w:t>表 2-1</w:t>
            </w:r>
            <w:r>
              <w:rPr>
                <w:rFonts w:hint="eastAsia" w:eastAsia="宋体" w:cs="Times New Roman"/>
                <w:b/>
                <w:bCs w:val="0"/>
                <w:color w:val="auto"/>
                <w:kern w:val="2"/>
                <w:sz w:val="21"/>
                <w:szCs w:val="21"/>
                <w:highlight w:val="none"/>
                <w:lang w:val="en-US" w:eastAsia="zh-CN" w:bidi="ar-SA"/>
              </w:rPr>
              <w:t>9</w:t>
            </w:r>
            <w:r>
              <w:rPr>
                <w:rFonts w:hint="eastAsia" w:ascii="Times New Roman" w:hAnsi="Times New Roman" w:eastAsia="宋体" w:cs="Times New Roman"/>
                <w:b/>
                <w:bCs w:val="0"/>
                <w:color w:val="auto"/>
                <w:kern w:val="2"/>
                <w:sz w:val="21"/>
                <w:szCs w:val="21"/>
                <w:highlight w:val="none"/>
                <w:lang w:val="en-US" w:eastAsia="zh-CN" w:bidi="ar-SA"/>
              </w:rPr>
              <w:t xml:space="preserve"> </w:t>
            </w:r>
            <w:r>
              <w:rPr>
                <w:rFonts w:hint="default" w:ascii="Times New Roman" w:hAnsi="Times New Roman" w:eastAsia="宋体" w:cs="Times New Roman"/>
                <w:b/>
                <w:bCs w:val="0"/>
                <w:color w:val="auto"/>
                <w:kern w:val="2"/>
                <w:sz w:val="21"/>
                <w:szCs w:val="21"/>
                <w:highlight w:val="none"/>
                <w:lang w:val="en-US" w:eastAsia="zh-CN" w:bidi="ar-SA"/>
              </w:rPr>
              <w:t>现有工程废气污染源及污染物排放情况一览表</w:t>
            </w:r>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846"/>
              <w:gridCol w:w="1153"/>
              <w:gridCol w:w="1385"/>
              <w:gridCol w:w="2154"/>
              <w:gridCol w:w="1033"/>
              <w:gridCol w:w="1230"/>
              <w:gridCol w:w="988"/>
              <w:gridCol w:w="1905"/>
              <w:gridCol w:w="696"/>
              <w:gridCol w:w="655"/>
            </w:tblGrid>
            <w:tr w14:paraId="2304C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tblHeader/>
                <w:jc w:val="center"/>
              </w:trPr>
              <w:tc>
                <w:tcPr>
                  <w:tcW w:w="171" w:type="pct"/>
                  <w:vMerge w:val="restart"/>
                  <w:vAlign w:val="center"/>
                </w:tcPr>
                <w:p w14:paraId="5DB62B2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序号</w:t>
                  </w:r>
                </w:p>
              </w:tc>
              <w:tc>
                <w:tcPr>
                  <w:tcW w:w="339" w:type="pct"/>
                  <w:vMerge w:val="restart"/>
                  <w:vAlign w:val="center"/>
                </w:tcPr>
                <w:p w14:paraId="7946CE1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生产车间</w:t>
                  </w:r>
                </w:p>
              </w:tc>
              <w:tc>
                <w:tcPr>
                  <w:tcW w:w="462" w:type="pct"/>
                  <w:vMerge w:val="restart"/>
                  <w:vAlign w:val="center"/>
                </w:tcPr>
                <w:p w14:paraId="103B13D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污染源</w:t>
                  </w:r>
                </w:p>
              </w:tc>
              <w:tc>
                <w:tcPr>
                  <w:tcW w:w="555" w:type="pct"/>
                  <w:vMerge w:val="restart"/>
                  <w:vAlign w:val="center"/>
                </w:tcPr>
                <w:p w14:paraId="4392288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污染物</w:t>
                  </w:r>
                </w:p>
              </w:tc>
              <w:tc>
                <w:tcPr>
                  <w:tcW w:w="863" w:type="pct"/>
                  <w:vMerge w:val="restart"/>
                  <w:vAlign w:val="center"/>
                </w:tcPr>
                <w:p w14:paraId="71C8FDD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治理措施</w:t>
                  </w:r>
                </w:p>
              </w:tc>
              <w:tc>
                <w:tcPr>
                  <w:tcW w:w="414" w:type="pct"/>
                  <w:vMerge w:val="restart"/>
                  <w:vAlign w:val="center"/>
                </w:tcPr>
                <w:p w14:paraId="2BF54D8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eastAsia" w:ascii="Times New Roman" w:hAnsi="Times New Roman" w:cs="Times New Roman"/>
                      <w:b/>
                      <w:bCs/>
                      <w:color w:val="auto"/>
                      <w:spacing w:val="0"/>
                      <w:w w:val="100"/>
                      <w:position w:val="0"/>
                      <w:sz w:val="21"/>
                      <w:szCs w:val="21"/>
                      <w:highlight w:val="none"/>
                      <w:lang w:val="en-US" w:eastAsia="zh-CN"/>
                    </w:rPr>
                    <w:t>风量m</w:t>
                  </w:r>
                  <w:r>
                    <w:rPr>
                      <w:rFonts w:hint="eastAsia" w:ascii="Times New Roman" w:hAnsi="Times New Roman" w:cs="Times New Roman"/>
                      <w:b/>
                      <w:bCs/>
                      <w:color w:val="auto"/>
                      <w:spacing w:val="0"/>
                      <w:w w:val="100"/>
                      <w:position w:val="0"/>
                      <w:sz w:val="21"/>
                      <w:szCs w:val="21"/>
                      <w:highlight w:val="none"/>
                      <w:vertAlign w:val="superscript"/>
                      <w:lang w:val="en-US" w:eastAsia="zh-CN"/>
                    </w:rPr>
                    <w:t>3</w:t>
                  </w:r>
                  <w:r>
                    <w:rPr>
                      <w:rFonts w:hint="eastAsia" w:ascii="Times New Roman" w:hAnsi="Times New Roman" w:cs="Times New Roman"/>
                      <w:b/>
                      <w:bCs/>
                      <w:color w:val="auto"/>
                      <w:spacing w:val="0"/>
                      <w:w w:val="100"/>
                      <w:position w:val="0"/>
                      <w:sz w:val="21"/>
                      <w:szCs w:val="21"/>
                      <w:highlight w:val="none"/>
                      <w:lang w:val="en-US" w:eastAsia="zh-CN"/>
                    </w:rPr>
                    <w:t>/h</w:t>
                  </w:r>
                </w:p>
              </w:tc>
              <w:tc>
                <w:tcPr>
                  <w:tcW w:w="889" w:type="pct"/>
                  <w:gridSpan w:val="2"/>
                  <w:vAlign w:val="center"/>
                </w:tcPr>
                <w:p w14:paraId="6379AA7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排放浓度mg/m³</w:t>
                  </w:r>
                </w:p>
              </w:tc>
              <w:tc>
                <w:tcPr>
                  <w:tcW w:w="1042" w:type="pct"/>
                  <w:gridSpan w:val="2"/>
                  <w:vAlign w:val="center"/>
                </w:tcPr>
                <w:p w14:paraId="7EDD96F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排放速率kg/h</w:t>
                  </w:r>
                </w:p>
              </w:tc>
              <w:tc>
                <w:tcPr>
                  <w:tcW w:w="262" w:type="pct"/>
                  <w:vMerge w:val="restart"/>
                  <w:vAlign w:val="center"/>
                </w:tcPr>
                <w:p w14:paraId="750B1DF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达标情况</w:t>
                  </w:r>
                </w:p>
              </w:tc>
            </w:tr>
            <w:tr w14:paraId="5B8C6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tblHeader/>
                <w:jc w:val="center"/>
              </w:trPr>
              <w:tc>
                <w:tcPr>
                  <w:tcW w:w="171" w:type="pct"/>
                  <w:vMerge w:val="continue"/>
                  <w:vAlign w:val="center"/>
                </w:tcPr>
                <w:p w14:paraId="123505F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c>
                <w:tcPr>
                  <w:tcW w:w="339" w:type="pct"/>
                  <w:vMerge w:val="continue"/>
                  <w:vAlign w:val="center"/>
                </w:tcPr>
                <w:p w14:paraId="6292A4B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c>
                <w:tcPr>
                  <w:tcW w:w="462" w:type="pct"/>
                  <w:vMerge w:val="continue"/>
                  <w:vAlign w:val="center"/>
                </w:tcPr>
                <w:p w14:paraId="2C2396B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c>
                <w:tcPr>
                  <w:tcW w:w="555" w:type="pct"/>
                  <w:vMerge w:val="continue"/>
                  <w:vAlign w:val="center"/>
                </w:tcPr>
                <w:p w14:paraId="279A1E6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c>
                <w:tcPr>
                  <w:tcW w:w="863" w:type="pct"/>
                  <w:vMerge w:val="continue"/>
                  <w:vAlign w:val="center"/>
                </w:tcPr>
                <w:p w14:paraId="3FAB225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c>
                <w:tcPr>
                  <w:tcW w:w="414" w:type="pct"/>
                  <w:vMerge w:val="continue"/>
                  <w:vAlign w:val="center"/>
                </w:tcPr>
                <w:p w14:paraId="4BF177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c>
                <w:tcPr>
                  <w:tcW w:w="493" w:type="pct"/>
                  <w:vAlign w:val="center"/>
                </w:tcPr>
                <w:p w14:paraId="709C262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实测</w:t>
                  </w:r>
                </w:p>
              </w:tc>
              <w:tc>
                <w:tcPr>
                  <w:tcW w:w="396" w:type="pct"/>
                  <w:vAlign w:val="center"/>
                </w:tcPr>
                <w:p w14:paraId="30F9634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标准</w:t>
                  </w:r>
                </w:p>
              </w:tc>
              <w:tc>
                <w:tcPr>
                  <w:tcW w:w="763" w:type="pct"/>
                  <w:vAlign w:val="center"/>
                </w:tcPr>
                <w:p w14:paraId="3D75C47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实测</w:t>
                  </w:r>
                </w:p>
              </w:tc>
              <w:tc>
                <w:tcPr>
                  <w:tcW w:w="279" w:type="pct"/>
                  <w:vAlign w:val="center"/>
                </w:tcPr>
                <w:p w14:paraId="36EAD43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标准</w:t>
                  </w:r>
                </w:p>
              </w:tc>
              <w:tc>
                <w:tcPr>
                  <w:tcW w:w="262" w:type="pct"/>
                  <w:vMerge w:val="continue"/>
                  <w:vAlign w:val="center"/>
                </w:tcPr>
                <w:p w14:paraId="4156EAB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tc>
            </w:tr>
            <w:tr w14:paraId="5CA68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48D3FF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w:t>
                  </w:r>
                </w:p>
              </w:tc>
              <w:tc>
                <w:tcPr>
                  <w:tcW w:w="339" w:type="pct"/>
                  <w:vMerge w:val="restart"/>
                  <w:vAlign w:val="center"/>
                </w:tcPr>
                <w:p w14:paraId="4CA4A6E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氨基乙酸车间</w:t>
                  </w:r>
                </w:p>
              </w:tc>
              <w:tc>
                <w:tcPr>
                  <w:tcW w:w="462" w:type="pct"/>
                  <w:vMerge w:val="restart"/>
                  <w:vAlign w:val="center"/>
                </w:tcPr>
                <w:p w14:paraId="509A590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1#-5#氨基乙酸车间氯化尾气</w:t>
                  </w:r>
                </w:p>
              </w:tc>
              <w:tc>
                <w:tcPr>
                  <w:tcW w:w="555" w:type="pct"/>
                  <w:vAlign w:val="center"/>
                </w:tcPr>
                <w:p w14:paraId="0A80B0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二氧化硫</w:t>
                  </w:r>
                </w:p>
              </w:tc>
              <w:tc>
                <w:tcPr>
                  <w:tcW w:w="863" w:type="pct"/>
                  <w:vMerge w:val="restart"/>
                  <w:vAlign w:val="center"/>
                </w:tcPr>
                <w:p w14:paraId="1ADA675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经各自车间的冷凝+醋酸吸收</w:t>
                  </w:r>
                  <w:r>
                    <w:rPr>
                      <w:rFonts w:hint="eastAsia" w:cs="Times New Roman"/>
                      <w:color w:val="auto"/>
                      <w:spacing w:val="0"/>
                      <w:w w:val="100"/>
                      <w:position w:val="0"/>
                      <w:sz w:val="21"/>
                      <w:szCs w:val="21"/>
                      <w:highlight w:val="none"/>
                      <w:lang w:val="en-US" w:eastAsia="zh-CN"/>
                    </w:rPr>
                    <w:t>+盐酸吸收（吸收+降膜吸收+水吸收）</w:t>
                  </w:r>
                  <w:r>
                    <w:rPr>
                      <w:rFonts w:hint="default" w:ascii="Times New Roman" w:hAnsi="Times New Roman" w:eastAsia="宋体" w:cs="Times New Roman"/>
                      <w:color w:val="auto"/>
                      <w:spacing w:val="0"/>
                      <w:w w:val="100"/>
                      <w:position w:val="0"/>
                      <w:sz w:val="21"/>
                      <w:szCs w:val="21"/>
                      <w:highlight w:val="none"/>
                      <w:lang w:val="en-US" w:eastAsia="zh-CN"/>
                    </w:rPr>
                    <w:t>+碱吸收处理后合并经碱吸收+水吸收+1根25m排气筒（DA002）</w:t>
                  </w:r>
                </w:p>
              </w:tc>
              <w:tc>
                <w:tcPr>
                  <w:tcW w:w="414" w:type="pct"/>
                  <w:vAlign w:val="center"/>
                </w:tcPr>
                <w:p w14:paraId="0E0D3F5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673</w:t>
                  </w:r>
                </w:p>
              </w:tc>
              <w:tc>
                <w:tcPr>
                  <w:tcW w:w="493" w:type="pct"/>
                  <w:vAlign w:val="center"/>
                </w:tcPr>
                <w:p w14:paraId="23A9FF0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12~16</w:t>
                  </w:r>
                </w:p>
              </w:tc>
              <w:tc>
                <w:tcPr>
                  <w:tcW w:w="396" w:type="pct"/>
                  <w:vAlign w:val="center"/>
                </w:tcPr>
                <w:p w14:paraId="6E23390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550</w:t>
                  </w:r>
                </w:p>
              </w:tc>
              <w:tc>
                <w:tcPr>
                  <w:tcW w:w="763" w:type="pct"/>
                  <w:vAlign w:val="center"/>
                </w:tcPr>
                <w:p w14:paraId="0AEB18E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0.008~0.011</w:t>
                  </w:r>
                </w:p>
              </w:tc>
              <w:tc>
                <w:tcPr>
                  <w:tcW w:w="279" w:type="pct"/>
                  <w:vAlign w:val="center"/>
                </w:tcPr>
                <w:p w14:paraId="6F2CC6A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9.65</w:t>
                  </w:r>
                </w:p>
              </w:tc>
              <w:tc>
                <w:tcPr>
                  <w:tcW w:w="262" w:type="pct"/>
                  <w:vMerge w:val="restart"/>
                  <w:vAlign w:val="center"/>
                </w:tcPr>
                <w:p w14:paraId="281D2F1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C173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7645816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5E1192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1C6BCE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08D1092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臭气浓度</w:t>
                  </w:r>
                </w:p>
              </w:tc>
              <w:tc>
                <w:tcPr>
                  <w:tcW w:w="863" w:type="pct"/>
                  <w:vMerge w:val="continue"/>
                  <w:vAlign w:val="center"/>
                </w:tcPr>
                <w:p w14:paraId="12486FF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30E03104">
                  <w:pPr>
                    <w:keepNext w:val="0"/>
                    <w:keepLines w:val="0"/>
                    <w:widowControl/>
                    <w:suppressLineNumbers w:val="0"/>
                    <w:jc w:val="center"/>
                    <w:textAlignment w:val="center"/>
                    <w:rPr>
                      <w:rFonts w:hint="eastAsia"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321</w:t>
                  </w:r>
                </w:p>
              </w:tc>
              <w:tc>
                <w:tcPr>
                  <w:tcW w:w="493" w:type="pct"/>
                  <w:vAlign w:val="center"/>
                </w:tcPr>
                <w:p w14:paraId="5CB465B4">
                  <w:pPr>
                    <w:keepNext w:val="0"/>
                    <w:keepLines w:val="0"/>
                    <w:widowControl/>
                    <w:suppressLineNumbers w:val="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1112~1513</w:t>
                  </w:r>
                  <w:r>
                    <w:rPr>
                      <w:rFonts w:hint="eastAsia" w:ascii="宋体" w:hAnsi="宋体" w:eastAsia="宋体" w:cs="宋体"/>
                      <w:i w:val="0"/>
                      <w:iCs w:val="0"/>
                      <w:color w:val="auto"/>
                      <w:kern w:val="0"/>
                      <w:sz w:val="21"/>
                      <w:szCs w:val="21"/>
                      <w:highlight w:val="none"/>
                      <w:u w:val="none"/>
                      <w:lang w:val="en-US" w:eastAsia="zh-CN" w:bidi="ar"/>
                    </w:rPr>
                    <w:t>无量纲</w:t>
                  </w:r>
                </w:p>
              </w:tc>
              <w:tc>
                <w:tcPr>
                  <w:tcW w:w="396" w:type="pct"/>
                  <w:vAlign w:val="center"/>
                </w:tcPr>
                <w:p w14:paraId="47B4860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6000（</w:t>
                  </w:r>
                  <w:r>
                    <w:rPr>
                      <w:rFonts w:hint="default" w:ascii="Times New Roman" w:hAnsi="Times New Roman" w:eastAsia="宋体" w:cs="Times New Roman"/>
                      <w:color w:val="auto"/>
                      <w:spacing w:val="0"/>
                      <w:w w:val="100"/>
                      <w:position w:val="0"/>
                      <w:sz w:val="21"/>
                      <w:szCs w:val="21"/>
                      <w:highlight w:val="none"/>
                      <w:lang w:val="en-US" w:eastAsia="zh-CN"/>
                    </w:rPr>
                    <w:t>无量纲</w:t>
                  </w:r>
                  <w:r>
                    <w:rPr>
                      <w:rFonts w:hint="eastAsia" w:cs="Times New Roman"/>
                      <w:color w:val="auto"/>
                      <w:spacing w:val="0"/>
                      <w:w w:val="100"/>
                      <w:kern w:val="2"/>
                      <w:position w:val="0"/>
                      <w:sz w:val="21"/>
                      <w:szCs w:val="21"/>
                      <w:highlight w:val="none"/>
                      <w:lang w:val="en-US" w:eastAsia="zh-CN" w:bidi="ar-SA"/>
                    </w:rPr>
                    <w:t>）</w:t>
                  </w:r>
                </w:p>
              </w:tc>
              <w:tc>
                <w:tcPr>
                  <w:tcW w:w="763" w:type="pct"/>
                  <w:vAlign w:val="center"/>
                </w:tcPr>
                <w:p w14:paraId="344863B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646D019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5397E94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0D208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9" w:hRule="atLeast"/>
                <w:jc w:val="center"/>
              </w:trPr>
              <w:tc>
                <w:tcPr>
                  <w:tcW w:w="171" w:type="pct"/>
                  <w:vMerge w:val="continue"/>
                  <w:vAlign w:val="center"/>
                </w:tcPr>
                <w:p w14:paraId="082561C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1A85946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31BC682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140DC8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w:t>
                  </w:r>
                </w:p>
              </w:tc>
              <w:tc>
                <w:tcPr>
                  <w:tcW w:w="863" w:type="pct"/>
                  <w:vMerge w:val="continue"/>
                  <w:vAlign w:val="center"/>
                </w:tcPr>
                <w:p w14:paraId="69D478A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70B3CC12">
                  <w:pPr>
                    <w:keepNext w:val="0"/>
                    <w:keepLines w:val="0"/>
                    <w:widowControl/>
                    <w:suppressLineNumbers w:val="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4C2879F7">
                  <w:pPr>
                    <w:keepNext w:val="0"/>
                    <w:keepLines w:val="0"/>
                    <w:widowControl/>
                    <w:suppressLineNumbers w:val="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ND</w:t>
                  </w:r>
                </w:p>
              </w:tc>
              <w:tc>
                <w:tcPr>
                  <w:tcW w:w="396" w:type="pct"/>
                  <w:vAlign w:val="center"/>
                </w:tcPr>
                <w:p w14:paraId="788A2C7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5.0</w:t>
                  </w:r>
                </w:p>
              </w:tc>
              <w:tc>
                <w:tcPr>
                  <w:tcW w:w="763" w:type="pct"/>
                  <w:vAlign w:val="center"/>
                </w:tcPr>
                <w:p w14:paraId="2F4EECB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15E969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0.52</w:t>
                  </w:r>
                </w:p>
              </w:tc>
              <w:tc>
                <w:tcPr>
                  <w:tcW w:w="262" w:type="pct"/>
                  <w:vMerge w:val="continue"/>
                  <w:vAlign w:val="center"/>
                </w:tcPr>
                <w:p w14:paraId="2F0D1E0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073A3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 w:hRule="atLeast"/>
                <w:jc w:val="center"/>
              </w:trPr>
              <w:tc>
                <w:tcPr>
                  <w:tcW w:w="171" w:type="pct"/>
                  <w:vMerge w:val="continue"/>
                  <w:vAlign w:val="center"/>
                </w:tcPr>
                <w:p w14:paraId="0904305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6787117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01B4AE2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05CC711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氯化氢</w:t>
                  </w:r>
                </w:p>
              </w:tc>
              <w:tc>
                <w:tcPr>
                  <w:tcW w:w="863" w:type="pct"/>
                  <w:vMerge w:val="continue"/>
                  <w:vAlign w:val="center"/>
                </w:tcPr>
                <w:p w14:paraId="4C38E1F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79FE582B">
                  <w:pPr>
                    <w:keepNext w:val="0"/>
                    <w:keepLines w:val="0"/>
                    <w:widowControl/>
                    <w:suppressLineNumbers w:val="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3D744309">
                  <w:pPr>
                    <w:keepNext w:val="0"/>
                    <w:keepLines w:val="0"/>
                    <w:widowControl/>
                    <w:suppressLineNumbers w:val="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3.2~4.2</w:t>
                  </w:r>
                </w:p>
              </w:tc>
              <w:tc>
                <w:tcPr>
                  <w:tcW w:w="396" w:type="pct"/>
                  <w:vAlign w:val="center"/>
                </w:tcPr>
                <w:p w14:paraId="1F40604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30</w:t>
                  </w:r>
                </w:p>
              </w:tc>
              <w:tc>
                <w:tcPr>
                  <w:tcW w:w="763" w:type="pct"/>
                  <w:vAlign w:val="center"/>
                </w:tcPr>
                <w:p w14:paraId="29011BF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58DF5A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296535D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390E1F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7BC8B6F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3EE800B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7648CE2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787ED6C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continue"/>
                  <w:vAlign w:val="center"/>
                </w:tcPr>
                <w:p w14:paraId="30C175E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717E23FA">
                  <w:pPr>
                    <w:keepNext w:val="0"/>
                    <w:keepLines w:val="0"/>
                    <w:widowControl/>
                    <w:suppressLineNumbers w:val="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7CA1B467">
                  <w:pPr>
                    <w:keepNext w:val="0"/>
                    <w:keepLines w:val="0"/>
                    <w:widowControl/>
                    <w:suppressLineNumbers w:val="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5.44~6.62</w:t>
                  </w:r>
                </w:p>
              </w:tc>
              <w:tc>
                <w:tcPr>
                  <w:tcW w:w="396" w:type="pct"/>
                  <w:vAlign w:val="center"/>
                </w:tcPr>
                <w:p w14:paraId="56B17DC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15470B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67279FA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5D39CBF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0CF76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271B0F9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w:t>
                  </w:r>
                </w:p>
              </w:tc>
              <w:tc>
                <w:tcPr>
                  <w:tcW w:w="339" w:type="pct"/>
                  <w:vMerge w:val="restart"/>
                  <w:vAlign w:val="center"/>
                </w:tcPr>
                <w:p w14:paraId="4A973B0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危废间</w:t>
                  </w:r>
                </w:p>
              </w:tc>
              <w:tc>
                <w:tcPr>
                  <w:tcW w:w="462" w:type="pct"/>
                  <w:vMerge w:val="restart"/>
                  <w:vAlign w:val="center"/>
                </w:tcPr>
                <w:p w14:paraId="75E0C85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危废间废气</w:t>
                  </w:r>
                </w:p>
              </w:tc>
              <w:tc>
                <w:tcPr>
                  <w:tcW w:w="555" w:type="pct"/>
                  <w:vAlign w:val="center"/>
                </w:tcPr>
                <w:p w14:paraId="14F47DF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restart"/>
                  <w:vAlign w:val="center"/>
                </w:tcPr>
                <w:p w14:paraId="618131C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负压收集+</w:t>
                  </w:r>
                  <w:r>
                    <w:rPr>
                      <w:rFonts w:hint="default" w:ascii="Times New Roman" w:hAnsi="Times New Roman" w:eastAsia="宋体" w:cs="Times New Roman"/>
                      <w:color w:val="auto"/>
                      <w:spacing w:val="0"/>
                      <w:w w:val="100"/>
                      <w:position w:val="0"/>
                      <w:sz w:val="21"/>
                      <w:szCs w:val="21"/>
                      <w:highlight w:val="none"/>
                      <w:lang w:val="en-US" w:eastAsia="zh-CN"/>
                    </w:rPr>
                    <w:t>活性炭吸附+碱吸收+25m排气筒（DA007）</w:t>
                  </w:r>
                </w:p>
              </w:tc>
              <w:tc>
                <w:tcPr>
                  <w:tcW w:w="414" w:type="pct"/>
                  <w:vAlign w:val="center"/>
                </w:tcPr>
                <w:p w14:paraId="27A41759">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2832</w:t>
                  </w:r>
                </w:p>
              </w:tc>
              <w:tc>
                <w:tcPr>
                  <w:tcW w:w="493" w:type="pct"/>
                  <w:vAlign w:val="center"/>
                </w:tcPr>
                <w:p w14:paraId="182E20F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2.83~4.28</w:t>
                  </w:r>
                </w:p>
              </w:tc>
              <w:tc>
                <w:tcPr>
                  <w:tcW w:w="396" w:type="pct"/>
                  <w:vAlign w:val="center"/>
                </w:tcPr>
                <w:p w14:paraId="61FB91A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543CAAA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C42169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restart"/>
                  <w:vAlign w:val="center"/>
                </w:tcPr>
                <w:p w14:paraId="721BB09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8122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22624B8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69D9247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173F0DD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7786D66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41456AB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6A95AF3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2863</w:t>
                  </w:r>
                </w:p>
              </w:tc>
              <w:tc>
                <w:tcPr>
                  <w:tcW w:w="493" w:type="pct"/>
                  <w:vAlign w:val="center"/>
                </w:tcPr>
                <w:p w14:paraId="1DDAA39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1.17~1.25</w:t>
                  </w:r>
                </w:p>
              </w:tc>
              <w:tc>
                <w:tcPr>
                  <w:tcW w:w="396" w:type="pct"/>
                  <w:vAlign w:val="center"/>
                </w:tcPr>
                <w:p w14:paraId="48DA573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24F0100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0.0014~0.00358</w:t>
                  </w:r>
                </w:p>
              </w:tc>
              <w:tc>
                <w:tcPr>
                  <w:tcW w:w="279" w:type="pct"/>
                  <w:vAlign w:val="center"/>
                </w:tcPr>
                <w:p w14:paraId="29DA2FD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2" w:type="pct"/>
                  <w:vMerge w:val="continue"/>
                  <w:vAlign w:val="center"/>
                </w:tcPr>
                <w:p w14:paraId="0C96051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07FE5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553F0B8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A60CF1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51C6A00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3540B86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continue"/>
                  <w:vAlign w:val="center"/>
                </w:tcPr>
                <w:p w14:paraId="2EDD798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2767949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22C3BBF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478~630</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vAlign w:val="center"/>
                </w:tcPr>
                <w:p w14:paraId="2A248F8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6000</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763" w:type="pct"/>
                  <w:vAlign w:val="center"/>
                </w:tcPr>
                <w:p w14:paraId="248F08D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52DB7C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44BBEE3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2FB7A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18DA5E3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3</w:t>
                  </w:r>
                </w:p>
              </w:tc>
              <w:tc>
                <w:tcPr>
                  <w:tcW w:w="339" w:type="pct"/>
                  <w:vMerge w:val="restart"/>
                  <w:vAlign w:val="center"/>
                </w:tcPr>
                <w:p w14:paraId="6AE3F0D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氯化铵车间</w:t>
                  </w:r>
                </w:p>
              </w:tc>
              <w:tc>
                <w:tcPr>
                  <w:tcW w:w="462" w:type="pct"/>
                  <w:vMerge w:val="restart"/>
                  <w:vAlign w:val="center"/>
                </w:tcPr>
                <w:p w14:paraId="433D39E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氯化铵离心、抽滤、传送带、空间废气</w:t>
                  </w:r>
                </w:p>
              </w:tc>
              <w:tc>
                <w:tcPr>
                  <w:tcW w:w="555" w:type="pct"/>
                  <w:vAlign w:val="center"/>
                </w:tcPr>
                <w:p w14:paraId="0CF04D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restart"/>
                  <w:vAlign w:val="center"/>
                </w:tcPr>
                <w:p w14:paraId="3F1A37C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酸喷淋+两级水喷淋+25m排气筒（DA011）</w:t>
                  </w:r>
                </w:p>
              </w:tc>
              <w:tc>
                <w:tcPr>
                  <w:tcW w:w="414" w:type="pct"/>
                  <w:vMerge w:val="restart"/>
                  <w:vAlign w:val="center"/>
                </w:tcPr>
                <w:p w14:paraId="50CBF16C">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24372</w:t>
                  </w:r>
                </w:p>
              </w:tc>
              <w:tc>
                <w:tcPr>
                  <w:tcW w:w="493" w:type="pct"/>
                  <w:vAlign w:val="center"/>
                </w:tcPr>
                <w:p w14:paraId="6508158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2.99~3.72</w:t>
                  </w:r>
                </w:p>
              </w:tc>
              <w:tc>
                <w:tcPr>
                  <w:tcW w:w="396" w:type="pct"/>
                  <w:vAlign w:val="center"/>
                </w:tcPr>
                <w:p w14:paraId="25D6B6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76CEBA0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7DBAA4E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34265D1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17ED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456B8C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30540CA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428D33C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072694B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甲醛</w:t>
                  </w:r>
                </w:p>
              </w:tc>
              <w:tc>
                <w:tcPr>
                  <w:tcW w:w="863" w:type="pct"/>
                  <w:vMerge w:val="continue"/>
                  <w:vAlign w:val="center"/>
                </w:tcPr>
                <w:p w14:paraId="0310F91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1267B55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shd w:val="clear" w:color="auto" w:fill="auto"/>
                  <w:vAlign w:val="center"/>
                </w:tcPr>
                <w:p w14:paraId="408CDD3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2.55~3.14</w:t>
                  </w:r>
                </w:p>
              </w:tc>
              <w:tc>
                <w:tcPr>
                  <w:tcW w:w="396" w:type="pct"/>
                  <w:shd w:val="clear" w:color="auto" w:fill="auto"/>
                  <w:vAlign w:val="center"/>
                </w:tcPr>
                <w:p w14:paraId="4B234A3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5</w:t>
                  </w:r>
                </w:p>
              </w:tc>
              <w:tc>
                <w:tcPr>
                  <w:tcW w:w="763" w:type="pct"/>
                  <w:shd w:val="clear" w:color="auto" w:fill="auto"/>
                  <w:vAlign w:val="center"/>
                </w:tcPr>
                <w:p w14:paraId="5DE66FB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p>
              </w:tc>
              <w:tc>
                <w:tcPr>
                  <w:tcW w:w="279" w:type="pct"/>
                  <w:shd w:val="clear" w:color="auto" w:fill="auto"/>
                  <w:vAlign w:val="center"/>
                </w:tcPr>
                <w:p w14:paraId="6B4B566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625D37D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4A5E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7666A1C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7E86A2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48F1B20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shd w:val="clear" w:color="auto" w:fill="auto"/>
                  <w:vAlign w:val="center"/>
                </w:tcPr>
                <w:p w14:paraId="122DB40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133F209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2EB25BC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4A60FCA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0.62~0.74</w:t>
                  </w:r>
                </w:p>
              </w:tc>
              <w:tc>
                <w:tcPr>
                  <w:tcW w:w="396" w:type="pct"/>
                  <w:shd w:val="clear" w:color="auto" w:fill="auto"/>
                  <w:vAlign w:val="center"/>
                </w:tcPr>
                <w:p w14:paraId="1575F06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shd w:val="clear" w:color="auto" w:fill="auto"/>
                  <w:vAlign w:val="center"/>
                </w:tcPr>
                <w:p w14:paraId="233C18E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0.015~0.017</w:t>
                  </w:r>
                </w:p>
              </w:tc>
              <w:tc>
                <w:tcPr>
                  <w:tcW w:w="279" w:type="pct"/>
                  <w:shd w:val="clear" w:color="auto" w:fill="auto"/>
                  <w:vAlign w:val="center"/>
                </w:tcPr>
                <w:p w14:paraId="6AC80A3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2" w:type="pct"/>
                  <w:shd w:val="clear" w:color="auto" w:fill="auto"/>
                  <w:vAlign w:val="center"/>
                </w:tcPr>
                <w:p w14:paraId="64417BF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028F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1692906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15E1779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65EF87F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shd w:val="clear" w:color="auto" w:fill="auto"/>
                  <w:vAlign w:val="center"/>
                </w:tcPr>
                <w:p w14:paraId="708D35A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氯化氢</w:t>
                  </w:r>
                </w:p>
              </w:tc>
              <w:tc>
                <w:tcPr>
                  <w:tcW w:w="863" w:type="pct"/>
                  <w:vMerge w:val="continue"/>
                  <w:vAlign w:val="center"/>
                </w:tcPr>
                <w:p w14:paraId="77C754A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09877C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3FAF2F9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3.66~3.90</w:t>
                  </w:r>
                </w:p>
              </w:tc>
              <w:tc>
                <w:tcPr>
                  <w:tcW w:w="396" w:type="pct"/>
                  <w:shd w:val="clear" w:color="auto" w:fill="auto"/>
                  <w:vAlign w:val="center"/>
                </w:tcPr>
                <w:p w14:paraId="4FE8E96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30</w:t>
                  </w:r>
                </w:p>
              </w:tc>
              <w:tc>
                <w:tcPr>
                  <w:tcW w:w="763" w:type="pct"/>
                  <w:shd w:val="clear" w:color="auto" w:fill="auto"/>
                  <w:vAlign w:val="center"/>
                </w:tcPr>
                <w:p w14:paraId="31FD615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shd w:val="clear" w:color="auto" w:fill="auto"/>
                  <w:vAlign w:val="center"/>
                </w:tcPr>
                <w:p w14:paraId="5BD4433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3BB943A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7D78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62FE984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09B221E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0298C4F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shd w:val="clear" w:color="auto" w:fill="auto"/>
                  <w:vAlign w:val="center"/>
                </w:tcPr>
                <w:p w14:paraId="480DC15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甲醇</w:t>
                  </w:r>
                </w:p>
              </w:tc>
              <w:tc>
                <w:tcPr>
                  <w:tcW w:w="863" w:type="pct"/>
                  <w:vMerge w:val="continue"/>
                  <w:vAlign w:val="center"/>
                </w:tcPr>
                <w:p w14:paraId="2A9D86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11A91BD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475A480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2.9~4.7</w:t>
                  </w:r>
                </w:p>
              </w:tc>
              <w:tc>
                <w:tcPr>
                  <w:tcW w:w="396" w:type="pct"/>
                  <w:shd w:val="clear" w:color="auto" w:fill="auto"/>
                  <w:vAlign w:val="center"/>
                </w:tcPr>
                <w:p w14:paraId="5E6E34A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50</w:t>
                  </w:r>
                </w:p>
              </w:tc>
              <w:tc>
                <w:tcPr>
                  <w:tcW w:w="763" w:type="pct"/>
                  <w:shd w:val="clear" w:color="auto" w:fill="auto"/>
                  <w:vAlign w:val="center"/>
                </w:tcPr>
                <w:p w14:paraId="5ED40C4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shd w:val="clear" w:color="auto" w:fill="auto"/>
                  <w:vAlign w:val="center"/>
                </w:tcPr>
                <w:p w14:paraId="5A1EC5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7377848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170D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2030BBE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1480861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5296BA7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shd w:val="clear" w:color="auto" w:fill="auto"/>
                  <w:vAlign w:val="center"/>
                </w:tcPr>
                <w:p w14:paraId="620474D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continue"/>
                  <w:vAlign w:val="center"/>
                </w:tcPr>
                <w:p w14:paraId="7EED769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ECF010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shd w:val="clear" w:color="auto" w:fill="auto"/>
                  <w:vAlign w:val="center"/>
                </w:tcPr>
                <w:p w14:paraId="7DEB67D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309~549</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shd w:val="clear" w:color="auto" w:fill="auto"/>
                  <w:vAlign w:val="center"/>
                </w:tcPr>
                <w:p w14:paraId="58EE415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6000（无量纲）</w:t>
                  </w:r>
                </w:p>
              </w:tc>
              <w:tc>
                <w:tcPr>
                  <w:tcW w:w="763" w:type="pct"/>
                  <w:shd w:val="clear" w:color="auto" w:fill="auto"/>
                  <w:vAlign w:val="center"/>
                </w:tcPr>
                <w:p w14:paraId="4AD9E88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shd w:val="clear" w:color="auto" w:fill="auto"/>
                  <w:vAlign w:val="center"/>
                </w:tcPr>
                <w:p w14:paraId="60EBBC9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25E0CF1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3C4E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1D5A132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4</w:t>
                  </w:r>
                </w:p>
              </w:tc>
              <w:tc>
                <w:tcPr>
                  <w:tcW w:w="339" w:type="pct"/>
                  <w:vMerge w:val="restart"/>
                  <w:vAlign w:val="center"/>
                </w:tcPr>
                <w:p w14:paraId="5337EA9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4#甲醇回收装置废气排气筒</w:t>
                  </w:r>
                </w:p>
              </w:tc>
              <w:tc>
                <w:tcPr>
                  <w:tcW w:w="462" w:type="pct"/>
                  <w:vMerge w:val="restart"/>
                  <w:vAlign w:val="center"/>
                </w:tcPr>
                <w:p w14:paraId="08B8B45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2-5氨解尾气、计量罐尾气、萃取、离心、烘干、母液池；精馏不凝气；1号罐区甲醇储罐呼吸</w:t>
                  </w:r>
                </w:p>
              </w:tc>
              <w:tc>
                <w:tcPr>
                  <w:tcW w:w="555" w:type="pct"/>
                  <w:vAlign w:val="center"/>
                </w:tcPr>
                <w:p w14:paraId="5EE66BD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甲醇</w:t>
                  </w:r>
                </w:p>
              </w:tc>
              <w:tc>
                <w:tcPr>
                  <w:tcW w:w="863" w:type="pct"/>
                  <w:vMerge w:val="restart"/>
                  <w:vAlign w:val="center"/>
                </w:tcPr>
                <w:p w14:paraId="14FFF5B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cs="Times New Roman"/>
                      <w:color w:val="auto"/>
                      <w:spacing w:val="0"/>
                      <w:w w:val="100"/>
                      <w:position w:val="0"/>
                      <w:sz w:val="21"/>
                      <w:szCs w:val="21"/>
                      <w:highlight w:val="none"/>
                      <w:lang w:val="en-US" w:eastAsia="zh-CN"/>
                    </w:rPr>
                    <w:t>尾气水吸收塔(回收甲醇</w:t>
                  </w:r>
                  <w:r>
                    <w:rPr>
                      <w:rFonts w:hint="eastAsia" w:cs="Times New Roman"/>
                      <w:color w:val="auto"/>
                      <w:spacing w:val="0"/>
                      <w:w w:val="100"/>
                      <w:position w:val="0"/>
                      <w:sz w:val="21"/>
                      <w:szCs w:val="21"/>
                      <w:highlight w:val="none"/>
                      <w:lang w:val="en-US" w:eastAsia="zh-CN"/>
                    </w:rPr>
                    <w:t>：</w:t>
                  </w:r>
                  <w:r>
                    <w:rPr>
                      <w:rFonts w:hint="eastAsia" w:ascii="Times New Roman" w:hAnsi="Times New Roman" w:cs="Times New Roman"/>
                      <w:color w:val="auto"/>
                      <w:spacing w:val="0"/>
                      <w:w w:val="100"/>
                      <w:position w:val="0"/>
                      <w:sz w:val="21"/>
                      <w:szCs w:val="21"/>
                      <w:highlight w:val="none"/>
                      <w:lang w:val="en-US" w:eastAsia="zh-CN"/>
                    </w:rPr>
                    <w:t>解析塔+冷凝器)+活性炭吸附/脱附</w:t>
                  </w:r>
                  <w:r>
                    <w:rPr>
                      <w:rFonts w:hint="default" w:ascii="Times New Roman" w:hAnsi="Times New Roman" w:eastAsia="宋体" w:cs="Times New Roman"/>
                      <w:color w:val="auto"/>
                      <w:spacing w:val="0"/>
                      <w:w w:val="100"/>
                      <w:position w:val="0"/>
                      <w:sz w:val="21"/>
                      <w:szCs w:val="21"/>
                      <w:highlight w:val="none"/>
                      <w:lang w:val="en-US" w:eastAsia="zh-CN"/>
                    </w:rPr>
                    <w:t>”+1根25m排气筒（DA001）</w:t>
                  </w:r>
                </w:p>
              </w:tc>
              <w:tc>
                <w:tcPr>
                  <w:tcW w:w="414" w:type="pct"/>
                  <w:vMerge w:val="restart"/>
                  <w:vAlign w:val="center"/>
                </w:tcPr>
                <w:p w14:paraId="6D19D443">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3912</w:t>
                  </w:r>
                </w:p>
              </w:tc>
              <w:tc>
                <w:tcPr>
                  <w:tcW w:w="493" w:type="pct"/>
                  <w:vAlign w:val="center"/>
                </w:tcPr>
                <w:p w14:paraId="778894F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1.0~1.2</w:t>
                  </w:r>
                </w:p>
              </w:tc>
              <w:tc>
                <w:tcPr>
                  <w:tcW w:w="396" w:type="pct"/>
                  <w:vAlign w:val="center"/>
                </w:tcPr>
                <w:p w14:paraId="6B4C136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50</w:t>
                  </w:r>
                </w:p>
              </w:tc>
              <w:tc>
                <w:tcPr>
                  <w:tcW w:w="763" w:type="pct"/>
                  <w:vAlign w:val="center"/>
                </w:tcPr>
                <w:p w14:paraId="03C4061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D34489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54B0593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7F81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0AA65B1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4EAB76C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6840AF4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06C6CC0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甲醛</w:t>
                  </w:r>
                </w:p>
              </w:tc>
              <w:tc>
                <w:tcPr>
                  <w:tcW w:w="863" w:type="pct"/>
                  <w:vMerge w:val="continue"/>
                  <w:vAlign w:val="center"/>
                </w:tcPr>
                <w:p w14:paraId="4E417B2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C4E593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4F26A44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1.43~1.59</w:t>
                  </w:r>
                </w:p>
              </w:tc>
              <w:tc>
                <w:tcPr>
                  <w:tcW w:w="396" w:type="pct"/>
                  <w:vAlign w:val="center"/>
                </w:tcPr>
                <w:p w14:paraId="443D70B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w:t>
                  </w:r>
                </w:p>
              </w:tc>
              <w:tc>
                <w:tcPr>
                  <w:tcW w:w="763" w:type="pct"/>
                  <w:vAlign w:val="center"/>
                </w:tcPr>
                <w:p w14:paraId="4E66B16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99E6FA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351D72B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5139B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20346D2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3959739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7C124AF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7BF05C2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continue"/>
                  <w:vAlign w:val="center"/>
                </w:tcPr>
                <w:p w14:paraId="690A3C8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5BBFB1E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0BCF367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4.25~5.58</w:t>
                  </w:r>
                </w:p>
              </w:tc>
              <w:tc>
                <w:tcPr>
                  <w:tcW w:w="396" w:type="pct"/>
                  <w:shd w:val="clear" w:color="auto" w:fill="auto"/>
                  <w:vAlign w:val="center"/>
                </w:tcPr>
                <w:p w14:paraId="7E74EB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80</w:t>
                  </w:r>
                </w:p>
              </w:tc>
              <w:tc>
                <w:tcPr>
                  <w:tcW w:w="763" w:type="pct"/>
                  <w:shd w:val="clear" w:color="auto" w:fill="auto"/>
                  <w:vAlign w:val="center"/>
                </w:tcPr>
                <w:p w14:paraId="07E8137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shd w:val="clear" w:color="auto" w:fill="auto"/>
                  <w:vAlign w:val="center"/>
                </w:tcPr>
                <w:p w14:paraId="4EF7F7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1509775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44539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1C8FA4F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E7D026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5CA2387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2CF9A83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6DBAB66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5CA5431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3907</w:t>
                  </w:r>
                </w:p>
              </w:tc>
              <w:tc>
                <w:tcPr>
                  <w:tcW w:w="493" w:type="pct"/>
                  <w:vAlign w:val="center"/>
                </w:tcPr>
                <w:p w14:paraId="37C7D0F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0.37~0.45</w:t>
                  </w:r>
                </w:p>
              </w:tc>
              <w:tc>
                <w:tcPr>
                  <w:tcW w:w="396" w:type="pct"/>
                  <w:shd w:val="clear" w:color="auto" w:fill="auto"/>
                  <w:vAlign w:val="center"/>
                </w:tcPr>
                <w:p w14:paraId="493B2C0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shd w:val="clear" w:color="auto" w:fill="auto"/>
                  <w:vAlign w:val="center"/>
                </w:tcPr>
                <w:p w14:paraId="7B25907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0.00143~0.00173</w:t>
                  </w:r>
                </w:p>
              </w:tc>
              <w:tc>
                <w:tcPr>
                  <w:tcW w:w="279" w:type="pct"/>
                  <w:shd w:val="clear" w:color="auto" w:fill="auto"/>
                  <w:vAlign w:val="center"/>
                </w:tcPr>
                <w:p w14:paraId="717FCE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2" w:type="pct"/>
                  <w:shd w:val="clear" w:color="auto" w:fill="auto"/>
                  <w:vAlign w:val="center"/>
                </w:tcPr>
                <w:p w14:paraId="62D72FB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7181A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3FA6823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4CB0C17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42DB25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4EF5421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臭气浓度</w:t>
                  </w:r>
                </w:p>
              </w:tc>
              <w:tc>
                <w:tcPr>
                  <w:tcW w:w="863" w:type="pct"/>
                  <w:vMerge w:val="continue"/>
                  <w:vAlign w:val="center"/>
                </w:tcPr>
                <w:p w14:paraId="68BB7BB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60AA55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eastAsia" w:cs="Times New Roman"/>
                      <w:color w:val="auto"/>
                      <w:spacing w:val="0"/>
                      <w:w w:val="100"/>
                      <w:position w:val="0"/>
                      <w:sz w:val="21"/>
                      <w:szCs w:val="21"/>
                      <w:highlight w:val="none"/>
                      <w:lang w:val="en-US" w:eastAsia="zh-CN"/>
                    </w:rPr>
                  </w:pPr>
                </w:p>
              </w:tc>
              <w:tc>
                <w:tcPr>
                  <w:tcW w:w="493" w:type="pct"/>
                  <w:vAlign w:val="center"/>
                </w:tcPr>
                <w:p w14:paraId="6D8FEF6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416~630</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shd w:val="clear" w:color="auto" w:fill="auto"/>
                  <w:vAlign w:val="center"/>
                </w:tcPr>
                <w:p w14:paraId="585B3EF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rPr>
                    <w:t>6000</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763" w:type="pct"/>
                  <w:shd w:val="clear" w:color="auto" w:fill="auto"/>
                  <w:vAlign w:val="center"/>
                </w:tcPr>
                <w:p w14:paraId="025EDB4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shd w:val="clear" w:color="auto" w:fill="auto"/>
                  <w:vAlign w:val="center"/>
                </w:tcPr>
                <w:p w14:paraId="28B7C1F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3A84E44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29FC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77B5F8D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4E9E95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4519B22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34F87B5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Merge w:val="continue"/>
                  <w:vAlign w:val="center"/>
                </w:tcPr>
                <w:p w14:paraId="459F321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CDD6B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5490227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2.0~2.7</w:t>
                  </w:r>
                </w:p>
              </w:tc>
              <w:tc>
                <w:tcPr>
                  <w:tcW w:w="396" w:type="pct"/>
                  <w:vAlign w:val="center"/>
                </w:tcPr>
                <w:p w14:paraId="0408786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14D74B3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0.008~0.010</w:t>
                  </w:r>
                </w:p>
              </w:tc>
              <w:tc>
                <w:tcPr>
                  <w:tcW w:w="279" w:type="pct"/>
                  <w:vAlign w:val="center"/>
                </w:tcPr>
                <w:p w14:paraId="105314B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14.45</w:t>
                  </w:r>
                </w:p>
              </w:tc>
              <w:tc>
                <w:tcPr>
                  <w:tcW w:w="262" w:type="pct"/>
                  <w:vAlign w:val="center"/>
                </w:tcPr>
                <w:p w14:paraId="7624FFC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571FF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524E6B1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w:t>
                  </w:r>
                </w:p>
              </w:tc>
              <w:tc>
                <w:tcPr>
                  <w:tcW w:w="339" w:type="pct"/>
                  <w:vMerge w:val="restart"/>
                  <w:vAlign w:val="center"/>
                </w:tcPr>
                <w:p w14:paraId="0750302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6#甲醇回收装置废气排气筒</w:t>
                  </w:r>
                </w:p>
              </w:tc>
              <w:tc>
                <w:tcPr>
                  <w:tcW w:w="462" w:type="pct"/>
                  <w:vMerge w:val="restart"/>
                  <w:vAlign w:val="center"/>
                </w:tcPr>
                <w:p w14:paraId="2B5E331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六车间氨解尾气、计量罐尾气、离心、萃取、烘干及区域废气、母液池；</w:t>
                  </w:r>
                  <w:r>
                    <w:rPr>
                      <w:rFonts w:hint="eastAsia" w:ascii="Times New Roman" w:hAnsi="Times New Roman" w:cs="Times New Roman"/>
                      <w:color w:val="auto"/>
                      <w:spacing w:val="0"/>
                      <w:w w:val="100"/>
                      <w:position w:val="0"/>
                      <w:sz w:val="21"/>
                      <w:szCs w:val="21"/>
                      <w:highlight w:val="none"/>
                      <w:lang w:val="en-US" w:eastAsia="zh-CN"/>
                    </w:rPr>
                    <w:t>3#罐区</w:t>
                  </w:r>
                  <w:r>
                    <w:rPr>
                      <w:rFonts w:hint="default" w:ascii="Times New Roman" w:hAnsi="Times New Roman" w:eastAsia="宋体" w:cs="Times New Roman"/>
                      <w:color w:val="auto"/>
                      <w:spacing w:val="0"/>
                      <w:w w:val="100"/>
                      <w:position w:val="0"/>
                      <w:sz w:val="21"/>
                      <w:szCs w:val="21"/>
                      <w:highlight w:val="none"/>
                      <w:lang w:val="en-US" w:eastAsia="zh-CN"/>
                    </w:rPr>
                    <w:t>甲醇罐呼吸废气</w:t>
                  </w:r>
                </w:p>
              </w:tc>
              <w:tc>
                <w:tcPr>
                  <w:tcW w:w="555" w:type="pct"/>
                  <w:vAlign w:val="center"/>
                </w:tcPr>
                <w:p w14:paraId="72A1248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甲醇</w:t>
                  </w:r>
                </w:p>
              </w:tc>
              <w:tc>
                <w:tcPr>
                  <w:tcW w:w="863" w:type="pct"/>
                  <w:vMerge w:val="restart"/>
                  <w:vAlign w:val="center"/>
                </w:tcPr>
                <w:p w14:paraId="5FEA0BD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cs="Times New Roman"/>
                      <w:color w:val="auto"/>
                      <w:spacing w:val="0"/>
                      <w:w w:val="100"/>
                      <w:position w:val="0"/>
                      <w:sz w:val="21"/>
                      <w:szCs w:val="21"/>
                      <w:highlight w:val="none"/>
                      <w:lang w:val="en-US" w:eastAsia="zh-CN"/>
                    </w:rPr>
                    <w:t>尾气水吸收塔(回收甲醇</w:t>
                  </w:r>
                  <w:r>
                    <w:rPr>
                      <w:rFonts w:hint="eastAsia" w:cs="Times New Roman"/>
                      <w:color w:val="auto"/>
                      <w:spacing w:val="0"/>
                      <w:w w:val="100"/>
                      <w:position w:val="0"/>
                      <w:sz w:val="21"/>
                      <w:szCs w:val="21"/>
                      <w:highlight w:val="none"/>
                      <w:lang w:val="en-US" w:eastAsia="zh-CN"/>
                    </w:rPr>
                    <w:t>：</w:t>
                  </w:r>
                  <w:r>
                    <w:rPr>
                      <w:rFonts w:hint="eastAsia" w:ascii="Times New Roman" w:hAnsi="Times New Roman" w:cs="Times New Roman"/>
                      <w:color w:val="auto"/>
                      <w:spacing w:val="0"/>
                      <w:w w:val="100"/>
                      <w:position w:val="0"/>
                      <w:sz w:val="21"/>
                      <w:szCs w:val="21"/>
                      <w:highlight w:val="none"/>
                      <w:lang w:val="en-US" w:eastAsia="zh-CN"/>
                    </w:rPr>
                    <w:t>解析塔+冷凝器)+活性炭吸附/脱附</w:t>
                  </w:r>
                  <w:r>
                    <w:rPr>
                      <w:rFonts w:hint="default" w:ascii="Times New Roman" w:hAnsi="Times New Roman" w:eastAsia="宋体" w:cs="Times New Roman"/>
                      <w:color w:val="auto"/>
                      <w:spacing w:val="0"/>
                      <w:w w:val="100"/>
                      <w:position w:val="0"/>
                      <w:sz w:val="21"/>
                      <w:szCs w:val="21"/>
                      <w:highlight w:val="none"/>
                      <w:lang w:val="en-US" w:eastAsia="zh-CN"/>
                    </w:rPr>
                    <w:t>”+1根25m排气筒（DA004）</w:t>
                  </w:r>
                </w:p>
              </w:tc>
              <w:tc>
                <w:tcPr>
                  <w:tcW w:w="414" w:type="pct"/>
                  <w:vMerge w:val="restart"/>
                  <w:vAlign w:val="center"/>
                </w:tcPr>
                <w:p w14:paraId="6D4E7A31">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5942</w:t>
                  </w:r>
                </w:p>
              </w:tc>
              <w:tc>
                <w:tcPr>
                  <w:tcW w:w="493" w:type="pct"/>
                  <w:vAlign w:val="center"/>
                </w:tcPr>
                <w:p w14:paraId="72A9C2B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1.6~2.1</w:t>
                  </w:r>
                </w:p>
              </w:tc>
              <w:tc>
                <w:tcPr>
                  <w:tcW w:w="396" w:type="pct"/>
                  <w:vAlign w:val="center"/>
                </w:tcPr>
                <w:p w14:paraId="310F641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50</w:t>
                  </w:r>
                </w:p>
              </w:tc>
              <w:tc>
                <w:tcPr>
                  <w:tcW w:w="763" w:type="pct"/>
                  <w:vAlign w:val="center"/>
                </w:tcPr>
                <w:p w14:paraId="61E129A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5DEDCEA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5AC9E1F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1EA8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5C65D19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437473F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6311FC5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4C4C2CF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甲醛</w:t>
                  </w:r>
                </w:p>
              </w:tc>
              <w:tc>
                <w:tcPr>
                  <w:tcW w:w="863" w:type="pct"/>
                  <w:vMerge w:val="continue"/>
                  <w:vAlign w:val="center"/>
                </w:tcPr>
                <w:p w14:paraId="47FDCD6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2364011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006D57A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0.08~0.09</w:t>
                  </w:r>
                </w:p>
              </w:tc>
              <w:tc>
                <w:tcPr>
                  <w:tcW w:w="396" w:type="pct"/>
                  <w:vAlign w:val="center"/>
                </w:tcPr>
                <w:p w14:paraId="0E28462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w:t>
                  </w:r>
                </w:p>
              </w:tc>
              <w:tc>
                <w:tcPr>
                  <w:tcW w:w="763" w:type="pct"/>
                  <w:vAlign w:val="center"/>
                </w:tcPr>
                <w:p w14:paraId="07AA375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7E847D4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51AC0D4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38BE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421E6AA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1016231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19DE0F3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73A2A15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continue"/>
                  <w:vAlign w:val="center"/>
                </w:tcPr>
                <w:p w14:paraId="6E84A25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02D4DC0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78AFB31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6.32~14.6</w:t>
                  </w:r>
                </w:p>
              </w:tc>
              <w:tc>
                <w:tcPr>
                  <w:tcW w:w="396" w:type="pct"/>
                  <w:vAlign w:val="center"/>
                </w:tcPr>
                <w:p w14:paraId="1ABFAB8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2AA6558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08A9C60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2F88413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3728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3EB3899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61DE610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71FFD4E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3B523DD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55A0339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251886F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6105</w:t>
                  </w:r>
                </w:p>
              </w:tc>
              <w:tc>
                <w:tcPr>
                  <w:tcW w:w="493" w:type="pct"/>
                  <w:vAlign w:val="center"/>
                </w:tcPr>
                <w:p w14:paraId="662F6AF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0.91~1.03</w:t>
                  </w:r>
                </w:p>
              </w:tc>
              <w:tc>
                <w:tcPr>
                  <w:tcW w:w="396" w:type="pct"/>
                  <w:vAlign w:val="center"/>
                </w:tcPr>
                <w:p w14:paraId="492BE40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0F90282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0.005~0.006</w:t>
                  </w:r>
                </w:p>
              </w:tc>
              <w:tc>
                <w:tcPr>
                  <w:tcW w:w="279" w:type="pct"/>
                  <w:vAlign w:val="center"/>
                </w:tcPr>
                <w:p w14:paraId="4E05746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2" w:type="pct"/>
                  <w:vAlign w:val="center"/>
                </w:tcPr>
                <w:p w14:paraId="34EAF72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1113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149C2F4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1A0C647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2373834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0874877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臭气浓度</w:t>
                  </w:r>
                </w:p>
              </w:tc>
              <w:tc>
                <w:tcPr>
                  <w:tcW w:w="863" w:type="pct"/>
                  <w:vMerge w:val="continue"/>
                  <w:vAlign w:val="center"/>
                </w:tcPr>
                <w:p w14:paraId="1FABD1D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051978F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eastAsia" w:cs="Times New Roman"/>
                      <w:color w:val="auto"/>
                      <w:spacing w:val="0"/>
                      <w:w w:val="100"/>
                      <w:position w:val="0"/>
                      <w:sz w:val="21"/>
                      <w:szCs w:val="21"/>
                      <w:highlight w:val="none"/>
                      <w:lang w:val="en-US" w:eastAsia="zh-CN"/>
                    </w:rPr>
                  </w:pPr>
                </w:p>
              </w:tc>
              <w:tc>
                <w:tcPr>
                  <w:tcW w:w="493" w:type="pct"/>
                  <w:shd w:val="clear" w:color="auto" w:fill="auto"/>
                  <w:vAlign w:val="center"/>
                </w:tcPr>
                <w:p w14:paraId="4EAE951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478~630</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shd w:val="clear" w:color="auto" w:fill="auto"/>
                  <w:vAlign w:val="center"/>
                </w:tcPr>
                <w:p w14:paraId="1DD575C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rPr>
                    <w:t>6000</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763" w:type="pct"/>
                  <w:shd w:val="clear" w:color="auto" w:fill="auto"/>
                  <w:vAlign w:val="center"/>
                </w:tcPr>
                <w:p w14:paraId="7A36FE0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shd w:val="clear" w:color="auto" w:fill="auto"/>
                  <w:vAlign w:val="center"/>
                </w:tcPr>
                <w:p w14:paraId="014E25A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shd w:val="clear" w:color="auto" w:fill="auto"/>
                  <w:vAlign w:val="center"/>
                </w:tcPr>
                <w:p w14:paraId="35FC3B7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7AD8F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7DE0BBF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39BAE3E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5E1EF2E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366F46F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Merge w:val="continue"/>
                  <w:vAlign w:val="center"/>
                </w:tcPr>
                <w:p w14:paraId="0EB1615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536FA9B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560D0AF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1.7~2.5</w:t>
                  </w:r>
                </w:p>
              </w:tc>
              <w:tc>
                <w:tcPr>
                  <w:tcW w:w="396" w:type="pct"/>
                  <w:vAlign w:val="center"/>
                </w:tcPr>
                <w:p w14:paraId="50BF072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1644472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0.010~0.015</w:t>
                  </w:r>
                </w:p>
              </w:tc>
              <w:tc>
                <w:tcPr>
                  <w:tcW w:w="279" w:type="pct"/>
                  <w:vAlign w:val="center"/>
                </w:tcPr>
                <w:p w14:paraId="240D7DC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14.45</w:t>
                  </w:r>
                </w:p>
              </w:tc>
              <w:tc>
                <w:tcPr>
                  <w:tcW w:w="262" w:type="pct"/>
                  <w:vAlign w:val="center"/>
                </w:tcPr>
                <w:p w14:paraId="40068B0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28BB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Align w:val="center"/>
                </w:tcPr>
                <w:p w14:paraId="7126223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w:t>
                  </w:r>
                </w:p>
              </w:tc>
              <w:tc>
                <w:tcPr>
                  <w:tcW w:w="339" w:type="pct"/>
                  <w:vAlign w:val="center"/>
                </w:tcPr>
                <w:p w14:paraId="2A6147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螯合物一车间</w:t>
                  </w:r>
                </w:p>
              </w:tc>
              <w:tc>
                <w:tcPr>
                  <w:tcW w:w="462" w:type="pct"/>
                  <w:vAlign w:val="center"/>
                </w:tcPr>
                <w:p w14:paraId="78A6AE2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喷雾干燥废气</w:t>
                  </w:r>
                </w:p>
              </w:tc>
              <w:tc>
                <w:tcPr>
                  <w:tcW w:w="555" w:type="pct"/>
                  <w:vAlign w:val="center"/>
                </w:tcPr>
                <w:p w14:paraId="2B28E6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Align w:val="center"/>
                </w:tcPr>
                <w:p w14:paraId="2AC191B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布袋除尘器+水喷淋吸收+酸喷淋吸收+1根25m排气筒（DA028）</w:t>
                  </w:r>
                </w:p>
              </w:tc>
              <w:tc>
                <w:tcPr>
                  <w:tcW w:w="414" w:type="pct"/>
                  <w:vAlign w:val="center"/>
                </w:tcPr>
                <w:p w14:paraId="4F3038A6">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2478</w:t>
                  </w:r>
                </w:p>
              </w:tc>
              <w:tc>
                <w:tcPr>
                  <w:tcW w:w="493" w:type="pct"/>
                  <w:vAlign w:val="center"/>
                </w:tcPr>
                <w:p w14:paraId="4B0E253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2.1~3.1</w:t>
                  </w:r>
                </w:p>
              </w:tc>
              <w:tc>
                <w:tcPr>
                  <w:tcW w:w="396" w:type="pct"/>
                  <w:vAlign w:val="center"/>
                </w:tcPr>
                <w:p w14:paraId="6154CCC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6142784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0.005~0.007</w:t>
                  </w:r>
                </w:p>
              </w:tc>
              <w:tc>
                <w:tcPr>
                  <w:tcW w:w="279" w:type="pct"/>
                  <w:vAlign w:val="center"/>
                </w:tcPr>
                <w:p w14:paraId="4DEC6F0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14.45</w:t>
                  </w:r>
                </w:p>
              </w:tc>
              <w:tc>
                <w:tcPr>
                  <w:tcW w:w="262" w:type="pct"/>
                  <w:vAlign w:val="center"/>
                </w:tcPr>
                <w:p w14:paraId="03B0BCC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4F372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Align w:val="center"/>
                </w:tcPr>
                <w:p w14:paraId="171C697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7</w:t>
                  </w:r>
                </w:p>
              </w:tc>
              <w:tc>
                <w:tcPr>
                  <w:tcW w:w="339" w:type="pct"/>
                  <w:vAlign w:val="center"/>
                </w:tcPr>
                <w:p w14:paraId="1276F18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螯合物二车间废气北排气筒</w:t>
                  </w:r>
                </w:p>
              </w:tc>
              <w:tc>
                <w:tcPr>
                  <w:tcW w:w="462" w:type="pct"/>
                  <w:vAlign w:val="center"/>
                </w:tcPr>
                <w:p w14:paraId="4B9BAC7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喷雾干燥废气</w:t>
                  </w:r>
                </w:p>
              </w:tc>
              <w:tc>
                <w:tcPr>
                  <w:tcW w:w="555" w:type="pct"/>
                  <w:vAlign w:val="center"/>
                </w:tcPr>
                <w:p w14:paraId="339064F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Align w:val="center"/>
                </w:tcPr>
                <w:p w14:paraId="754BC2A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水吸收+布袋除尘器+1根15m排气筒（DA006）</w:t>
                  </w:r>
                </w:p>
              </w:tc>
              <w:tc>
                <w:tcPr>
                  <w:tcW w:w="414" w:type="pct"/>
                  <w:vAlign w:val="center"/>
                </w:tcPr>
                <w:p w14:paraId="1BA2FE5E">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3312</w:t>
                  </w:r>
                </w:p>
              </w:tc>
              <w:tc>
                <w:tcPr>
                  <w:tcW w:w="493" w:type="pct"/>
                  <w:vAlign w:val="center"/>
                </w:tcPr>
                <w:p w14:paraId="39B2CE4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2.1~3.0</w:t>
                  </w:r>
                </w:p>
              </w:tc>
              <w:tc>
                <w:tcPr>
                  <w:tcW w:w="396" w:type="pct"/>
                  <w:vAlign w:val="center"/>
                </w:tcPr>
                <w:p w14:paraId="6BE996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581CE62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0.007~0.009</w:t>
                  </w:r>
                </w:p>
              </w:tc>
              <w:tc>
                <w:tcPr>
                  <w:tcW w:w="279" w:type="pct"/>
                  <w:vAlign w:val="center"/>
                </w:tcPr>
                <w:p w14:paraId="30BE039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3.5</w:t>
                  </w:r>
                </w:p>
              </w:tc>
              <w:tc>
                <w:tcPr>
                  <w:tcW w:w="262" w:type="pct"/>
                  <w:vAlign w:val="center"/>
                </w:tcPr>
                <w:p w14:paraId="7317096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2BAF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Align w:val="center"/>
                </w:tcPr>
                <w:p w14:paraId="16C4B18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8</w:t>
                  </w:r>
                </w:p>
              </w:tc>
              <w:tc>
                <w:tcPr>
                  <w:tcW w:w="339" w:type="pct"/>
                  <w:vAlign w:val="center"/>
                </w:tcPr>
                <w:p w14:paraId="1E81194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螯合物二车间废气南排气筒</w:t>
                  </w:r>
                </w:p>
              </w:tc>
              <w:tc>
                <w:tcPr>
                  <w:tcW w:w="462" w:type="pct"/>
                  <w:vAlign w:val="center"/>
                </w:tcPr>
                <w:p w14:paraId="5951B6C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喷雾干燥废气</w:t>
                  </w:r>
                </w:p>
              </w:tc>
              <w:tc>
                <w:tcPr>
                  <w:tcW w:w="555" w:type="pct"/>
                  <w:vAlign w:val="center"/>
                </w:tcPr>
                <w:p w14:paraId="1BE6B21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Align w:val="center"/>
                </w:tcPr>
                <w:p w14:paraId="7F7CCD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水吸收+布袋除尘器+1根15m排气筒（DA005）</w:t>
                  </w:r>
                </w:p>
              </w:tc>
              <w:tc>
                <w:tcPr>
                  <w:tcW w:w="414" w:type="pct"/>
                  <w:vAlign w:val="center"/>
                </w:tcPr>
                <w:p w14:paraId="6674B94E">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3068</w:t>
                  </w:r>
                </w:p>
              </w:tc>
              <w:tc>
                <w:tcPr>
                  <w:tcW w:w="493" w:type="pct"/>
                  <w:vAlign w:val="center"/>
                </w:tcPr>
                <w:p w14:paraId="31E12A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1.9~2.5</w:t>
                  </w:r>
                </w:p>
              </w:tc>
              <w:tc>
                <w:tcPr>
                  <w:tcW w:w="396" w:type="pct"/>
                  <w:vAlign w:val="center"/>
                </w:tcPr>
                <w:p w14:paraId="44E8331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2D80145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0.006~0.008</w:t>
                  </w:r>
                </w:p>
              </w:tc>
              <w:tc>
                <w:tcPr>
                  <w:tcW w:w="279" w:type="pct"/>
                  <w:vAlign w:val="center"/>
                </w:tcPr>
                <w:p w14:paraId="2EC1C25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3.5</w:t>
                  </w:r>
                </w:p>
              </w:tc>
              <w:tc>
                <w:tcPr>
                  <w:tcW w:w="262" w:type="pct"/>
                  <w:vAlign w:val="center"/>
                </w:tcPr>
                <w:p w14:paraId="5599EDA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BCF1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2C81813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w:t>
                  </w:r>
                </w:p>
              </w:tc>
              <w:tc>
                <w:tcPr>
                  <w:tcW w:w="339" w:type="pct"/>
                  <w:vMerge w:val="restart"/>
                  <w:vAlign w:val="center"/>
                </w:tcPr>
                <w:p w14:paraId="7ED15C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污水处理站</w:t>
                  </w:r>
                </w:p>
              </w:tc>
              <w:tc>
                <w:tcPr>
                  <w:tcW w:w="462" w:type="pct"/>
                  <w:vMerge w:val="restart"/>
                  <w:vAlign w:val="center"/>
                </w:tcPr>
                <w:p w14:paraId="43EFE6D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污水处理恶臭废气</w:t>
                  </w:r>
                </w:p>
              </w:tc>
              <w:tc>
                <w:tcPr>
                  <w:tcW w:w="555" w:type="pct"/>
                  <w:vAlign w:val="center"/>
                </w:tcPr>
                <w:p w14:paraId="377C025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restart"/>
                  <w:vAlign w:val="center"/>
                </w:tcPr>
                <w:p w14:paraId="5CEEC61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两级水吸收+恒温多级生物滤池装置+1根15m排气筒（DA010）</w:t>
                  </w:r>
                </w:p>
              </w:tc>
              <w:tc>
                <w:tcPr>
                  <w:tcW w:w="414" w:type="pct"/>
                  <w:vMerge w:val="restart"/>
                  <w:vAlign w:val="center"/>
                </w:tcPr>
                <w:p w14:paraId="6788F036">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11388</w:t>
                  </w:r>
                </w:p>
              </w:tc>
              <w:tc>
                <w:tcPr>
                  <w:tcW w:w="493" w:type="pct"/>
                  <w:vAlign w:val="center"/>
                </w:tcPr>
                <w:p w14:paraId="6667641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1.38~1.47</w:t>
                  </w:r>
                </w:p>
              </w:tc>
              <w:tc>
                <w:tcPr>
                  <w:tcW w:w="396" w:type="pct"/>
                  <w:vAlign w:val="center"/>
                </w:tcPr>
                <w:p w14:paraId="4EB755E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53B889A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0.014~0.017</w:t>
                  </w:r>
                </w:p>
              </w:tc>
              <w:tc>
                <w:tcPr>
                  <w:tcW w:w="279" w:type="pct"/>
                  <w:vAlign w:val="center"/>
                </w:tcPr>
                <w:p w14:paraId="52C89F9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4.9</w:t>
                  </w:r>
                </w:p>
              </w:tc>
              <w:tc>
                <w:tcPr>
                  <w:tcW w:w="262" w:type="pct"/>
                  <w:vAlign w:val="center"/>
                </w:tcPr>
                <w:p w14:paraId="2698A8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4E11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63BAB9E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44892D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5E9E400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1E37603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硫化氢</w:t>
                  </w:r>
                </w:p>
              </w:tc>
              <w:tc>
                <w:tcPr>
                  <w:tcW w:w="863" w:type="pct"/>
                  <w:vMerge w:val="continue"/>
                  <w:vAlign w:val="center"/>
                </w:tcPr>
                <w:p w14:paraId="7E17F0D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7336987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1D87471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0.994~1.15</w:t>
                  </w:r>
                </w:p>
              </w:tc>
              <w:tc>
                <w:tcPr>
                  <w:tcW w:w="396" w:type="pct"/>
                  <w:vAlign w:val="center"/>
                </w:tcPr>
                <w:p w14:paraId="531A1A4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1440BAB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0.010~0.012</w:t>
                  </w:r>
                </w:p>
              </w:tc>
              <w:tc>
                <w:tcPr>
                  <w:tcW w:w="279" w:type="pct"/>
                  <w:vAlign w:val="center"/>
                </w:tcPr>
                <w:p w14:paraId="5D3E9E7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0.33</w:t>
                  </w:r>
                </w:p>
              </w:tc>
              <w:tc>
                <w:tcPr>
                  <w:tcW w:w="262" w:type="pct"/>
                  <w:vAlign w:val="center"/>
                </w:tcPr>
                <w:p w14:paraId="2C331F6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2E66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5056F14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777DFC0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425DDA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1B0153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continue"/>
                  <w:vAlign w:val="center"/>
                </w:tcPr>
                <w:p w14:paraId="24CF14B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2658C92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42F67FB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630~851</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vAlign w:val="center"/>
                </w:tcPr>
                <w:p w14:paraId="0408E9A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6000（无量纲）</w:t>
                  </w:r>
                </w:p>
              </w:tc>
              <w:tc>
                <w:tcPr>
                  <w:tcW w:w="763" w:type="pct"/>
                  <w:vAlign w:val="center"/>
                </w:tcPr>
                <w:p w14:paraId="69C540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64B65FC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07176E4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1447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2D6C7E6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8B58E3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7B13414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7039105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continue"/>
                  <w:vAlign w:val="center"/>
                </w:tcPr>
                <w:p w14:paraId="18A3977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Align w:val="center"/>
                </w:tcPr>
                <w:p w14:paraId="19E7EF3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12345</w:t>
                  </w:r>
                </w:p>
              </w:tc>
              <w:tc>
                <w:tcPr>
                  <w:tcW w:w="493" w:type="pct"/>
                  <w:vAlign w:val="center"/>
                </w:tcPr>
                <w:p w14:paraId="4380EF4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2.83~3.12</w:t>
                  </w:r>
                </w:p>
              </w:tc>
              <w:tc>
                <w:tcPr>
                  <w:tcW w:w="396" w:type="pct"/>
                  <w:vAlign w:val="center"/>
                </w:tcPr>
                <w:p w14:paraId="7BEE198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3D525AD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552A103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20AAC34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524C1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02888CE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10</w:t>
                  </w:r>
                </w:p>
              </w:tc>
              <w:tc>
                <w:tcPr>
                  <w:tcW w:w="339" w:type="pct"/>
                  <w:vMerge w:val="restart"/>
                  <w:vAlign w:val="center"/>
                </w:tcPr>
                <w:p w14:paraId="05FB034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罐区废气、氨回收废气（包括装卸废气）、氯化铵废气集中收集深度处理装置废气排气筒</w:t>
                  </w:r>
                </w:p>
              </w:tc>
              <w:tc>
                <w:tcPr>
                  <w:tcW w:w="462" w:type="pct"/>
                  <w:vMerge w:val="restart"/>
                  <w:vAlign w:val="center"/>
                </w:tcPr>
                <w:p w14:paraId="07E8EFA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醋酸罐呼吸废气、泵房空间废气、氨回收废气（包括装卸废气）、氯化铵工段废气</w:t>
                  </w:r>
                </w:p>
              </w:tc>
              <w:tc>
                <w:tcPr>
                  <w:tcW w:w="555" w:type="pct"/>
                  <w:vAlign w:val="center"/>
                </w:tcPr>
                <w:p w14:paraId="04D7841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restart"/>
                  <w:vAlign w:val="center"/>
                </w:tcPr>
                <w:p w14:paraId="1310843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醋酸罐呼吸废气、泵房空间废气经两级碱喷淋处理；氯化铵工段废气经酸喷淋+水喷淋+水喷淋处理；氨回收系统废气（包括装卸废气）经冷凝+二级酸吸收塔喷淋处理；合并后进入低温水吸收塔+低温水吸收塔+除雾器+活性炭吸附/脱附+1根25m排气筒（DA017）</w:t>
                  </w:r>
                </w:p>
              </w:tc>
              <w:tc>
                <w:tcPr>
                  <w:tcW w:w="414" w:type="pct"/>
                  <w:vAlign w:val="center"/>
                </w:tcPr>
                <w:p w14:paraId="7F7CED91">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7287</w:t>
                  </w:r>
                </w:p>
              </w:tc>
              <w:tc>
                <w:tcPr>
                  <w:tcW w:w="493" w:type="pct"/>
                  <w:vAlign w:val="center"/>
                </w:tcPr>
                <w:p w14:paraId="3173A800">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cs="Times New Roman"/>
                      <w:color w:val="auto"/>
                      <w:spacing w:val="0"/>
                      <w:w w:val="100"/>
                      <w:position w:val="0"/>
                      <w:sz w:val="21"/>
                      <w:szCs w:val="21"/>
                      <w:highlight w:val="none"/>
                      <w:lang w:val="en-US" w:eastAsia="zh-CN"/>
                    </w:rPr>
                  </w:pPr>
                  <w:r>
                    <w:rPr>
                      <w:rFonts w:hint="default" w:cs="Times New Roman"/>
                      <w:color w:val="auto"/>
                      <w:spacing w:val="0"/>
                      <w:w w:val="100"/>
                      <w:position w:val="0"/>
                      <w:sz w:val="21"/>
                      <w:szCs w:val="21"/>
                      <w:highlight w:val="none"/>
                      <w:lang w:val="en-US" w:eastAsia="zh-CN"/>
                    </w:rPr>
                    <w:t>17.3~19.3</w:t>
                  </w:r>
                </w:p>
              </w:tc>
              <w:tc>
                <w:tcPr>
                  <w:tcW w:w="396" w:type="pct"/>
                  <w:vAlign w:val="center"/>
                </w:tcPr>
                <w:p w14:paraId="14992B97">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cs="Times New Roman"/>
                      <w:color w:val="auto"/>
                      <w:spacing w:val="0"/>
                      <w:w w:val="100"/>
                      <w:position w:val="0"/>
                      <w:sz w:val="21"/>
                      <w:szCs w:val="21"/>
                      <w:highlight w:val="none"/>
                      <w:lang w:val="en-US" w:eastAsia="zh-CN"/>
                    </w:rPr>
                  </w:pPr>
                  <w:r>
                    <w:rPr>
                      <w:rFonts w:hint="default" w:cs="Times New Roman"/>
                      <w:color w:val="auto"/>
                      <w:spacing w:val="0"/>
                      <w:w w:val="100"/>
                      <w:position w:val="0"/>
                      <w:sz w:val="21"/>
                      <w:szCs w:val="21"/>
                      <w:highlight w:val="none"/>
                      <w:lang w:val="en-US" w:eastAsia="zh-CN"/>
                    </w:rPr>
                    <w:t>80</w:t>
                  </w:r>
                </w:p>
              </w:tc>
              <w:tc>
                <w:tcPr>
                  <w:tcW w:w="763" w:type="pct"/>
                  <w:vAlign w:val="center"/>
                </w:tcPr>
                <w:p w14:paraId="5EDA7C9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56237AD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67E6539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134C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6DC4EE7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7F876F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0882B62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5430181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甲醇</w:t>
                  </w:r>
                </w:p>
              </w:tc>
              <w:tc>
                <w:tcPr>
                  <w:tcW w:w="863" w:type="pct"/>
                  <w:vMerge w:val="continue"/>
                  <w:vAlign w:val="center"/>
                </w:tcPr>
                <w:p w14:paraId="355255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0114354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8376</w:t>
                  </w:r>
                </w:p>
              </w:tc>
              <w:tc>
                <w:tcPr>
                  <w:tcW w:w="493" w:type="pct"/>
                  <w:vAlign w:val="center"/>
                </w:tcPr>
                <w:p w14:paraId="3F68338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8.1~10.7</w:t>
                  </w:r>
                </w:p>
              </w:tc>
              <w:tc>
                <w:tcPr>
                  <w:tcW w:w="396" w:type="pct"/>
                  <w:vAlign w:val="center"/>
                </w:tcPr>
                <w:p w14:paraId="176B7A5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50</w:t>
                  </w:r>
                </w:p>
              </w:tc>
              <w:tc>
                <w:tcPr>
                  <w:tcW w:w="763" w:type="pct"/>
                  <w:vAlign w:val="center"/>
                </w:tcPr>
                <w:p w14:paraId="01FAD02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092CAC1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5E25A9D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72E92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4D5D874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097A78F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385D0C3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66BC62A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甲醛</w:t>
                  </w:r>
                </w:p>
              </w:tc>
              <w:tc>
                <w:tcPr>
                  <w:tcW w:w="863" w:type="pct"/>
                  <w:vMerge w:val="continue"/>
                  <w:vAlign w:val="center"/>
                </w:tcPr>
                <w:p w14:paraId="0EA16EA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8AD801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35D6D5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1.38~1.51</w:t>
                  </w:r>
                </w:p>
              </w:tc>
              <w:tc>
                <w:tcPr>
                  <w:tcW w:w="396" w:type="pct"/>
                  <w:vAlign w:val="center"/>
                </w:tcPr>
                <w:p w14:paraId="539D255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w:t>
                  </w:r>
                </w:p>
              </w:tc>
              <w:tc>
                <w:tcPr>
                  <w:tcW w:w="763" w:type="pct"/>
                  <w:vAlign w:val="center"/>
                </w:tcPr>
                <w:p w14:paraId="1ABBE68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BE07EB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34D4448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489F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5083A52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E0CCCE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3272F63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6471B7B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32F5507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p>
              </w:tc>
              <w:tc>
                <w:tcPr>
                  <w:tcW w:w="414" w:type="pct"/>
                  <w:vMerge w:val="continue"/>
                  <w:vAlign w:val="center"/>
                </w:tcPr>
                <w:p w14:paraId="7A18F12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p>
              </w:tc>
              <w:tc>
                <w:tcPr>
                  <w:tcW w:w="493" w:type="pct"/>
                  <w:vAlign w:val="center"/>
                </w:tcPr>
                <w:p w14:paraId="6F01928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0.36~0.50</w:t>
                  </w:r>
                </w:p>
              </w:tc>
              <w:tc>
                <w:tcPr>
                  <w:tcW w:w="396" w:type="pct"/>
                  <w:vAlign w:val="center"/>
                </w:tcPr>
                <w:p w14:paraId="0CD0437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63C52BC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0.00299~0.00419</w:t>
                  </w:r>
                </w:p>
              </w:tc>
              <w:tc>
                <w:tcPr>
                  <w:tcW w:w="279" w:type="pct"/>
                  <w:vAlign w:val="center"/>
                </w:tcPr>
                <w:p w14:paraId="7838795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2" w:type="pct"/>
                  <w:vAlign w:val="center"/>
                </w:tcPr>
                <w:p w14:paraId="19B9223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949D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585BE47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53BF4F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618AA17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54A3B55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氯化氢</w:t>
                  </w:r>
                </w:p>
              </w:tc>
              <w:tc>
                <w:tcPr>
                  <w:tcW w:w="863" w:type="pct"/>
                  <w:vMerge w:val="continue"/>
                  <w:vAlign w:val="center"/>
                </w:tcPr>
                <w:p w14:paraId="16F462F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p>
              </w:tc>
              <w:tc>
                <w:tcPr>
                  <w:tcW w:w="414" w:type="pct"/>
                  <w:vMerge w:val="continue"/>
                  <w:vAlign w:val="center"/>
                </w:tcPr>
                <w:p w14:paraId="537DE1D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p>
              </w:tc>
              <w:tc>
                <w:tcPr>
                  <w:tcW w:w="493" w:type="pct"/>
                  <w:vAlign w:val="center"/>
                </w:tcPr>
                <w:p w14:paraId="7BFAB41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4.01~4.66</w:t>
                  </w:r>
                </w:p>
              </w:tc>
              <w:tc>
                <w:tcPr>
                  <w:tcW w:w="396" w:type="pct"/>
                  <w:vAlign w:val="center"/>
                </w:tcPr>
                <w:p w14:paraId="5D0BA09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30</w:t>
                  </w:r>
                </w:p>
              </w:tc>
              <w:tc>
                <w:tcPr>
                  <w:tcW w:w="763" w:type="pct"/>
                  <w:vAlign w:val="center"/>
                </w:tcPr>
                <w:p w14:paraId="0A7D3A8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A9C9C1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7373F42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D8DE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607C972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6F75867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27C3A12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04C224A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continue"/>
                  <w:vAlign w:val="center"/>
                </w:tcPr>
                <w:p w14:paraId="1D5E6C1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3BFC9C5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1A440CC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354~549</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vAlign w:val="center"/>
                </w:tcPr>
                <w:p w14:paraId="7D7D2B2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6000（无量纲）</w:t>
                  </w:r>
                </w:p>
              </w:tc>
              <w:tc>
                <w:tcPr>
                  <w:tcW w:w="763" w:type="pct"/>
                  <w:vAlign w:val="center"/>
                </w:tcPr>
                <w:p w14:paraId="106EFCC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6B7461A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1AB0719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56776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Align w:val="center"/>
                </w:tcPr>
                <w:p w14:paraId="381562E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11</w:t>
                  </w:r>
                </w:p>
              </w:tc>
              <w:tc>
                <w:tcPr>
                  <w:tcW w:w="339" w:type="pct"/>
                  <w:vAlign w:val="center"/>
                </w:tcPr>
                <w:p w14:paraId="27B90FE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2#盐酸储罐</w:t>
                  </w:r>
                </w:p>
              </w:tc>
              <w:tc>
                <w:tcPr>
                  <w:tcW w:w="462" w:type="pct"/>
                  <w:vAlign w:val="center"/>
                </w:tcPr>
                <w:p w14:paraId="4D5B479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呼吸废气</w:t>
                  </w:r>
                </w:p>
              </w:tc>
              <w:tc>
                <w:tcPr>
                  <w:tcW w:w="555" w:type="pct"/>
                  <w:vAlign w:val="center"/>
                </w:tcPr>
                <w:p w14:paraId="14BF342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氯化氢</w:t>
                  </w:r>
                </w:p>
              </w:tc>
              <w:tc>
                <w:tcPr>
                  <w:tcW w:w="863" w:type="pct"/>
                  <w:vAlign w:val="center"/>
                </w:tcPr>
                <w:p w14:paraId="377DC49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水吸收+碱吸收+1根15m排气筒（DA008）</w:t>
                  </w:r>
                </w:p>
              </w:tc>
              <w:tc>
                <w:tcPr>
                  <w:tcW w:w="414" w:type="pct"/>
                  <w:vAlign w:val="center"/>
                </w:tcPr>
                <w:p w14:paraId="59362DB0">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288</w:t>
                  </w:r>
                </w:p>
              </w:tc>
              <w:tc>
                <w:tcPr>
                  <w:tcW w:w="493" w:type="pct"/>
                  <w:vAlign w:val="center"/>
                </w:tcPr>
                <w:p w14:paraId="60EEE2E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2.69~3.28</w:t>
                  </w:r>
                </w:p>
              </w:tc>
              <w:tc>
                <w:tcPr>
                  <w:tcW w:w="396" w:type="pct"/>
                  <w:vAlign w:val="center"/>
                </w:tcPr>
                <w:p w14:paraId="5DC1AC3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30</w:t>
                  </w:r>
                </w:p>
              </w:tc>
              <w:tc>
                <w:tcPr>
                  <w:tcW w:w="763" w:type="pct"/>
                  <w:vAlign w:val="center"/>
                </w:tcPr>
                <w:p w14:paraId="17DF56D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0.000767~0.000879</w:t>
                  </w:r>
                </w:p>
              </w:tc>
              <w:tc>
                <w:tcPr>
                  <w:tcW w:w="279" w:type="pct"/>
                  <w:vAlign w:val="center"/>
                </w:tcPr>
                <w:p w14:paraId="10D3B23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0.26</w:t>
                  </w:r>
                </w:p>
              </w:tc>
              <w:tc>
                <w:tcPr>
                  <w:tcW w:w="262" w:type="pct"/>
                  <w:vAlign w:val="center"/>
                </w:tcPr>
                <w:p w14:paraId="2834149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7F912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5B58C09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w:t>
                  </w:r>
                </w:p>
              </w:tc>
              <w:tc>
                <w:tcPr>
                  <w:tcW w:w="339" w:type="pct"/>
                  <w:vMerge w:val="restart"/>
                  <w:vAlign w:val="center"/>
                </w:tcPr>
                <w:p w14:paraId="650162F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新工艺氨基乙酸车间</w:t>
                  </w:r>
                </w:p>
              </w:tc>
              <w:tc>
                <w:tcPr>
                  <w:tcW w:w="462" w:type="pct"/>
                  <w:vMerge w:val="restart"/>
                  <w:vAlign w:val="center"/>
                </w:tcPr>
                <w:p w14:paraId="1101C83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新车间计量罐、化酸釜、反应釜、溶解、离心、结晶、母液罐、混晶釜尾气</w:t>
                  </w:r>
                </w:p>
              </w:tc>
              <w:tc>
                <w:tcPr>
                  <w:tcW w:w="555" w:type="pct"/>
                  <w:vAlign w:val="center"/>
                </w:tcPr>
                <w:p w14:paraId="0789A4B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restart"/>
                  <w:vAlign w:val="center"/>
                </w:tcPr>
                <w:p w14:paraId="32EE8ED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酸吸收+两级水吸收+1根25m排气筒（DA021）</w:t>
                  </w:r>
                </w:p>
              </w:tc>
              <w:tc>
                <w:tcPr>
                  <w:tcW w:w="414" w:type="pct"/>
                  <w:vAlign w:val="center"/>
                </w:tcPr>
                <w:p w14:paraId="2F2E7E2E">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3393</w:t>
                  </w:r>
                </w:p>
              </w:tc>
              <w:tc>
                <w:tcPr>
                  <w:tcW w:w="493" w:type="pct"/>
                  <w:vAlign w:val="center"/>
                </w:tcPr>
                <w:p w14:paraId="5FECD28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7.67~9.12</w:t>
                  </w:r>
                </w:p>
              </w:tc>
              <w:tc>
                <w:tcPr>
                  <w:tcW w:w="396" w:type="pct"/>
                  <w:vAlign w:val="center"/>
                </w:tcPr>
                <w:p w14:paraId="7D5866E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6E166E5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1CF5DC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0711E14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146A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56353A2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08BBC7C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3B55D08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7F5BE28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0BBCBF6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7894513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3432</w:t>
                  </w:r>
                </w:p>
              </w:tc>
              <w:tc>
                <w:tcPr>
                  <w:tcW w:w="493" w:type="pct"/>
                  <w:vAlign w:val="center"/>
                </w:tcPr>
                <w:p w14:paraId="1CEF2A5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0.74~0.79</w:t>
                  </w:r>
                </w:p>
              </w:tc>
              <w:tc>
                <w:tcPr>
                  <w:tcW w:w="396" w:type="pct"/>
                  <w:vAlign w:val="center"/>
                </w:tcPr>
                <w:p w14:paraId="4175448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087657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0.000254~0.000273</w:t>
                  </w:r>
                </w:p>
              </w:tc>
              <w:tc>
                <w:tcPr>
                  <w:tcW w:w="279" w:type="pct"/>
                  <w:vAlign w:val="center"/>
                </w:tcPr>
                <w:p w14:paraId="02E744E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2" w:type="pct"/>
                  <w:vAlign w:val="center"/>
                </w:tcPr>
                <w:p w14:paraId="6D394B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709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70EF44D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3399740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5D463B1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6001394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continue"/>
                  <w:vAlign w:val="center"/>
                </w:tcPr>
                <w:p w14:paraId="015104E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1AEE9DA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7B3FFF4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309~549</w:t>
                  </w:r>
                  <w:r>
                    <w:rPr>
                      <w:rFonts w:hint="default" w:ascii="Times New Roman" w:hAnsi="Times New Roman" w:eastAsia="宋体" w:cs="Times New Roman"/>
                      <w:color w:val="auto"/>
                      <w:spacing w:val="0"/>
                      <w:w w:val="100"/>
                      <w:position w:val="0"/>
                      <w:sz w:val="21"/>
                      <w:szCs w:val="21"/>
                      <w:highlight w:val="none"/>
                      <w:lang w:val="en-US" w:eastAsia="zh-CN"/>
                    </w:rPr>
                    <w:t>无量纲</w:t>
                  </w:r>
                </w:p>
              </w:tc>
              <w:tc>
                <w:tcPr>
                  <w:tcW w:w="396" w:type="pct"/>
                  <w:vAlign w:val="center"/>
                </w:tcPr>
                <w:p w14:paraId="6D0C5CC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6000（无量纲）</w:t>
                  </w:r>
                </w:p>
              </w:tc>
              <w:tc>
                <w:tcPr>
                  <w:tcW w:w="763" w:type="pct"/>
                  <w:vAlign w:val="center"/>
                </w:tcPr>
                <w:p w14:paraId="33EB322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2D134DF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40DF88C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3D2F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53A818A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13</w:t>
                  </w:r>
                </w:p>
              </w:tc>
              <w:tc>
                <w:tcPr>
                  <w:tcW w:w="339" w:type="pct"/>
                  <w:vMerge w:val="restart"/>
                  <w:vAlign w:val="center"/>
                </w:tcPr>
                <w:p w14:paraId="77DD027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海因车间</w:t>
                  </w:r>
                </w:p>
              </w:tc>
              <w:tc>
                <w:tcPr>
                  <w:tcW w:w="462" w:type="pct"/>
                  <w:vMerge w:val="restart"/>
                  <w:vAlign w:val="center"/>
                </w:tcPr>
                <w:p w14:paraId="59BC5D0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生产废气</w:t>
                  </w:r>
                </w:p>
              </w:tc>
              <w:tc>
                <w:tcPr>
                  <w:tcW w:w="555" w:type="pct"/>
                  <w:vAlign w:val="center"/>
                </w:tcPr>
                <w:p w14:paraId="79C05F5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Merge w:val="restart"/>
                  <w:vAlign w:val="center"/>
                </w:tcPr>
                <w:p w14:paraId="2B2727A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水吸收+两级酸吸收（并联布袋除尘器）+1根25m排气筒（DA003）</w:t>
                  </w:r>
                </w:p>
              </w:tc>
              <w:tc>
                <w:tcPr>
                  <w:tcW w:w="414" w:type="pct"/>
                  <w:vAlign w:val="center"/>
                </w:tcPr>
                <w:p w14:paraId="7E702F65">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3955</w:t>
                  </w:r>
                </w:p>
              </w:tc>
              <w:tc>
                <w:tcPr>
                  <w:tcW w:w="493" w:type="pct"/>
                  <w:vAlign w:val="center"/>
                </w:tcPr>
                <w:p w14:paraId="226978D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2.6~3.8</w:t>
                  </w:r>
                </w:p>
              </w:tc>
              <w:tc>
                <w:tcPr>
                  <w:tcW w:w="396" w:type="pct"/>
                  <w:shd w:val="clear" w:color="auto" w:fill="auto"/>
                  <w:vAlign w:val="center"/>
                </w:tcPr>
                <w:p w14:paraId="6D7F5B6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shd w:val="clear" w:color="auto" w:fill="auto"/>
                  <w:vAlign w:val="center"/>
                </w:tcPr>
                <w:p w14:paraId="67A38D1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0.000993~0.015</w:t>
                  </w:r>
                </w:p>
              </w:tc>
              <w:tc>
                <w:tcPr>
                  <w:tcW w:w="279" w:type="pct"/>
                  <w:shd w:val="clear" w:color="auto" w:fill="auto"/>
                  <w:vAlign w:val="center"/>
                </w:tcPr>
                <w:p w14:paraId="17F1DA0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14.</w:t>
                  </w:r>
                  <w:r>
                    <w:rPr>
                      <w:rFonts w:hint="eastAsia" w:cs="Times New Roman"/>
                      <w:color w:val="auto"/>
                      <w:spacing w:val="0"/>
                      <w:w w:val="100"/>
                      <w:position w:val="0"/>
                      <w:sz w:val="21"/>
                      <w:szCs w:val="21"/>
                      <w:highlight w:val="none"/>
                      <w:lang w:val="en-US" w:eastAsia="zh-CN"/>
                    </w:rPr>
                    <w:t>5</w:t>
                  </w:r>
                </w:p>
              </w:tc>
              <w:tc>
                <w:tcPr>
                  <w:tcW w:w="262" w:type="pct"/>
                  <w:vMerge w:val="restart"/>
                  <w:vAlign w:val="center"/>
                </w:tcPr>
                <w:p w14:paraId="2E6818F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82B0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0F87904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24D49FC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7C00859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101F306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863" w:type="pct"/>
                  <w:vMerge w:val="continue"/>
                  <w:vAlign w:val="center"/>
                </w:tcPr>
                <w:p w14:paraId="307C8DA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restart"/>
                  <w:vAlign w:val="center"/>
                </w:tcPr>
                <w:p w14:paraId="6B9D1B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4078</w:t>
                  </w:r>
                </w:p>
              </w:tc>
              <w:tc>
                <w:tcPr>
                  <w:tcW w:w="493" w:type="pct"/>
                  <w:vAlign w:val="center"/>
                </w:tcPr>
                <w:p w14:paraId="71AB139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1.18~1.53</w:t>
                  </w:r>
                </w:p>
              </w:tc>
              <w:tc>
                <w:tcPr>
                  <w:tcW w:w="396" w:type="pct"/>
                  <w:vAlign w:val="center"/>
                </w:tcPr>
                <w:p w14:paraId="106E003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63" w:type="pct"/>
                  <w:vAlign w:val="center"/>
                </w:tcPr>
                <w:p w14:paraId="4AF1D59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0.00447~0.00584</w:t>
                  </w:r>
                </w:p>
              </w:tc>
              <w:tc>
                <w:tcPr>
                  <w:tcW w:w="279" w:type="pct"/>
                  <w:vAlign w:val="center"/>
                </w:tcPr>
                <w:p w14:paraId="6A8A4E6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14</w:t>
                  </w:r>
                </w:p>
              </w:tc>
              <w:tc>
                <w:tcPr>
                  <w:tcW w:w="262" w:type="pct"/>
                  <w:vMerge w:val="continue"/>
                  <w:vAlign w:val="center"/>
                </w:tcPr>
                <w:p w14:paraId="490AC38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0A44EF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25EB2F6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59782AB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720A353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44698CD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continue"/>
                  <w:vAlign w:val="center"/>
                </w:tcPr>
                <w:p w14:paraId="64FE1CF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59DCE0B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4669D4E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724~1122无量纲</w:t>
                  </w:r>
                </w:p>
              </w:tc>
              <w:tc>
                <w:tcPr>
                  <w:tcW w:w="396" w:type="pct"/>
                  <w:vAlign w:val="center"/>
                </w:tcPr>
                <w:p w14:paraId="019F66C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6000（无量纲）</w:t>
                  </w:r>
                </w:p>
              </w:tc>
              <w:tc>
                <w:tcPr>
                  <w:tcW w:w="763" w:type="pct"/>
                  <w:vAlign w:val="center"/>
                </w:tcPr>
                <w:p w14:paraId="2D5F723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A3A34D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51EAA24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7D060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05CD65F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339" w:type="pct"/>
                  <w:vMerge w:val="restart"/>
                  <w:vAlign w:val="center"/>
                </w:tcPr>
                <w:p w14:paraId="3A46B38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实验室</w:t>
                  </w:r>
                </w:p>
              </w:tc>
              <w:tc>
                <w:tcPr>
                  <w:tcW w:w="462" w:type="pct"/>
                  <w:vMerge w:val="restart"/>
                  <w:vAlign w:val="center"/>
                </w:tcPr>
                <w:p w14:paraId="1B6A337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实验室废气</w:t>
                  </w:r>
                </w:p>
              </w:tc>
              <w:tc>
                <w:tcPr>
                  <w:tcW w:w="555" w:type="pct"/>
                  <w:vAlign w:val="center"/>
                </w:tcPr>
                <w:p w14:paraId="75BF441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863" w:type="pct"/>
                  <w:vMerge w:val="restart"/>
                  <w:vAlign w:val="center"/>
                </w:tcPr>
                <w:p w14:paraId="2D6EF63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水吸收+碱吸收+1根25m排气筒（DA018）</w:t>
                  </w:r>
                </w:p>
              </w:tc>
              <w:tc>
                <w:tcPr>
                  <w:tcW w:w="414" w:type="pct"/>
                  <w:vMerge w:val="restart"/>
                  <w:vAlign w:val="center"/>
                </w:tcPr>
                <w:p w14:paraId="272BE554">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7822</w:t>
                  </w:r>
                </w:p>
              </w:tc>
              <w:tc>
                <w:tcPr>
                  <w:tcW w:w="493" w:type="pct"/>
                  <w:vAlign w:val="center"/>
                </w:tcPr>
                <w:p w14:paraId="796B8A2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229~416无量纲</w:t>
                  </w:r>
                </w:p>
              </w:tc>
              <w:tc>
                <w:tcPr>
                  <w:tcW w:w="396" w:type="pct"/>
                  <w:vAlign w:val="center"/>
                </w:tcPr>
                <w:p w14:paraId="4A32D39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6000（无量纲）</w:t>
                  </w:r>
                </w:p>
              </w:tc>
              <w:tc>
                <w:tcPr>
                  <w:tcW w:w="763" w:type="pct"/>
                  <w:vAlign w:val="center"/>
                </w:tcPr>
                <w:p w14:paraId="33939EE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0979ADE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restart"/>
                  <w:vAlign w:val="center"/>
                </w:tcPr>
                <w:p w14:paraId="09212CA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4752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04511BF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339" w:type="pct"/>
                  <w:vMerge w:val="continue"/>
                  <w:vAlign w:val="center"/>
                </w:tcPr>
                <w:p w14:paraId="3FC8259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62" w:type="pct"/>
                  <w:vMerge w:val="continue"/>
                  <w:vAlign w:val="center"/>
                </w:tcPr>
                <w:p w14:paraId="437B436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555" w:type="pct"/>
                  <w:vAlign w:val="center"/>
                </w:tcPr>
                <w:p w14:paraId="5BFBD28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continue"/>
                  <w:vAlign w:val="center"/>
                </w:tcPr>
                <w:p w14:paraId="1A0772A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4D6DCF9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58859BE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1.98~3.42</w:t>
                  </w:r>
                </w:p>
              </w:tc>
              <w:tc>
                <w:tcPr>
                  <w:tcW w:w="396" w:type="pct"/>
                  <w:vAlign w:val="center"/>
                </w:tcPr>
                <w:p w14:paraId="067D869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80</w:t>
                  </w:r>
                </w:p>
              </w:tc>
              <w:tc>
                <w:tcPr>
                  <w:tcW w:w="763" w:type="pct"/>
                  <w:vAlign w:val="center"/>
                </w:tcPr>
                <w:p w14:paraId="25D3F5D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09A482A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38C52DA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1786A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restart"/>
                  <w:vAlign w:val="center"/>
                </w:tcPr>
                <w:p w14:paraId="3951C2F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15</w:t>
                  </w:r>
                </w:p>
              </w:tc>
              <w:tc>
                <w:tcPr>
                  <w:tcW w:w="339" w:type="pct"/>
                  <w:vMerge w:val="restart"/>
                  <w:vAlign w:val="center"/>
                </w:tcPr>
                <w:p w14:paraId="3F8A552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食堂</w:t>
                  </w:r>
                </w:p>
              </w:tc>
              <w:tc>
                <w:tcPr>
                  <w:tcW w:w="462" w:type="pct"/>
                  <w:vMerge w:val="restart"/>
                  <w:vAlign w:val="center"/>
                </w:tcPr>
                <w:p w14:paraId="3FC23AE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食堂油烟废气</w:t>
                  </w:r>
                </w:p>
              </w:tc>
              <w:tc>
                <w:tcPr>
                  <w:tcW w:w="555" w:type="pct"/>
                  <w:vAlign w:val="center"/>
                </w:tcPr>
                <w:p w14:paraId="04D6274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油烟</w:t>
                  </w:r>
                </w:p>
              </w:tc>
              <w:tc>
                <w:tcPr>
                  <w:tcW w:w="863" w:type="pct"/>
                  <w:vMerge w:val="restart"/>
                  <w:vAlign w:val="center"/>
                </w:tcPr>
                <w:p w14:paraId="72900BB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油烟净化装置+1根25m高排气筒（DA030）</w:t>
                  </w:r>
                </w:p>
              </w:tc>
              <w:tc>
                <w:tcPr>
                  <w:tcW w:w="414" w:type="pct"/>
                  <w:vMerge w:val="restart"/>
                  <w:vAlign w:val="center"/>
                </w:tcPr>
                <w:p w14:paraId="761CF483">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11025</w:t>
                  </w:r>
                </w:p>
              </w:tc>
              <w:tc>
                <w:tcPr>
                  <w:tcW w:w="493" w:type="pct"/>
                  <w:vAlign w:val="center"/>
                </w:tcPr>
                <w:p w14:paraId="0E8048D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0.4~0.5</w:t>
                  </w:r>
                </w:p>
              </w:tc>
              <w:tc>
                <w:tcPr>
                  <w:tcW w:w="396" w:type="pct"/>
                  <w:vAlign w:val="center"/>
                </w:tcPr>
                <w:p w14:paraId="321D779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1.2</w:t>
                  </w:r>
                </w:p>
              </w:tc>
              <w:tc>
                <w:tcPr>
                  <w:tcW w:w="763" w:type="pct"/>
                  <w:vAlign w:val="center"/>
                </w:tcPr>
                <w:p w14:paraId="7AD356C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4B62BD5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restart"/>
                  <w:vAlign w:val="center"/>
                </w:tcPr>
                <w:p w14:paraId="6F6EA97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4D88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Merge w:val="continue"/>
                  <w:vAlign w:val="center"/>
                </w:tcPr>
                <w:p w14:paraId="1A340DE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highlight w:val="none"/>
                    </w:rPr>
                  </w:pPr>
                </w:p>
              </w:tc>
              <w:tc>
                <w:tcPr>
                  <w:tcW w:w="339" w:type="pct"/>
                  <w:vMerge w:val="continue"/>
                  <w:vAlign w:val="center"/>
                </w:tcPr>
                <w:p w14:paraId="66BFF3B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highlight w:val="none"/>
                    </w:rPr>
                  </w:pPr>
                </w:p>
              </w:tc>
              <w:tc>
                <w:tcPr>
                  <w:tcW w:w="462" w:type="pct"/>
                  <w:vMerge w:val="continue"/>
                  <w:vAlign w:val="center"/>
                </w:tcPr>
                <w:p w14:paraId="1884ED8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highlight w:val="none"/>
                    </w:rPr>
                  </w:pPr>
                </w:p>
              </w:tc>
              <w:tc>
                <w:tcPr>
                  <w:tcW w:w="555" w:type="pct"/>
                  <w:vAlign w:val="center"/>
                </w:tcPr>
                <w:p w14:paraId="1593DD0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863" w:type="pct"/>
                  <w:vMerge w:val="continue"/>
                  <w:vAlign w:val="center"/>
                </w:tcPr>
                <w:p w14:paraId="68630B1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14" w:type="pct"/>
                  <w:vMerge w:val="continue"/>
                  <w:vAlign w:val="center"/>
                </w:tcPr>
                <w:p w14:paraId="165F948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493" w:type="pct"/>
                  <w:vAlign w:val="center"/>
                </w:tcPr>
                <w:p w14:paraId="1BEAD73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3.78~4.18</w:t>
                  </w:r>
                </w:p>
              </w:tc>
              <w:tc>
                <w:tcPr>
                  <w:tcW w:w="396" w:type="pct"/>
                  <w:vAlign w:val="center"/>
                </w:tcPr>
                <w:p w14:paraId="606C64A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10.0</w:t>
                  </w:r>
                </w:p>
              </w:tc>
              <w:tc>
                <w:tcPr>
                  <w:tcW w:w="763" w:type="pct"/>
                  <w:vAlign w:val="center"/>
                </w:tcPr>
                <w:p w14:paraId="3605805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3B8650E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Merge w:val="continue"/>
                  <w:vAlign w:val="center"/>
                </w:tcPr>
                <w:p w14:paraId="27D5554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r>
            <w:tr w14:paraId="18CE1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Align w:val="center"/>
                </w:tcPr>
                <w:p w14:paraId="688EAA5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16</w:t>
                  </w:r>
                </w:p>
              </w:tc>
              <w:tc>
                <w:tcPr>
                  <w:tcW w:w="339" w:type="pct"/>
                  <w:vAlign w:val="center"/>
                </w:tcPr>
                <w:p w14:paraId="0D60CEC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新工艺氨基乙酸车间</w:t>
                  </w:r>
                </w:p>
              </w:tc>
              <w:tc>
                <w:tcPr>
                  <w:tcW w:w="462" w:type="pct"/>
                  <w:vAlign w:val="center"/>
                </w:tcPr>
                <w:p w14:paraId="234B709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干燥废气</w:t>
                  </w:r>
                </w:p>
              </w:tc>
              <w:tc>
                <w:tcPr>
                  <w:tcW w:w="555" w:type="pct"/>
                  <w:vAlign w:val="center"/>
                </w:tcPr>
                <w:p w14:paraId="796E35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Align w:val="center"/>
                </w:tcPr>
                <w:p w14:paraId="2ABFE7B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2级旋风分离器+布袋除尘器（1套）+1根25m排气筒（DA026）</w:t>
                  </w:r>
                </w:p>
              </w:tc>
              <w:tc>
                <w:tcPr>
                  <w:tcW w:w="414" w:type="pct"/>
                  <w:vAlign w:val="center"/>
                </w:tcPr>
                <w:p w14:paraId="04E2886F">
                  <w:pPr>
                    <w:keepNext w:val="0"/>
                    <w:keepLines w:val="0"/>
                    <w:pageBreakBefore w:val="0"/>
                    <w:widowControl/>
                    <w:suppressLineNumbers w:val="0"/>
                    <w:kinsoku/>
                    <w:wordWrap/>
                    <w:overflowPunct/>
                    <w:topLinePunct w:val="0"/>
                    <w:autoSpaceDE/>
                    <w:autoSpaceDN/>
                    <w:bidi w:val="0"/>
                    <w:adjustRightInd/>
                    <w:spacing w:before="0" w:beforeAutospacing="0" w:after="0" w:afterAutospacing="0" w:line="240" w:lineRule="auto"/>
                    <w:ind w:left="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3397</w:t>
                  </w:r>
                </w:p>
              </w:tc>
              <w:tc>
                <w:tcPr>
                  <w:tcW w:w="493" w:type="pct"/>
                  <w:vAlign w:val="center"/>
                </w:tcPr>
                <w:p w14:paraId="5DE268F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2.7~3.0</w:t>
                  </w:r>
                </w:p>
              </w:tc>
              <w:tc>
                <w:tcPr>
                  <w:tcW w:w="396" w:type="pct"/>
                  <w:vAlign w:val="center"/>
                </w:tcPr>
                <w:p w14:paraId="0D980AE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72712B1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0.009~0.011</w:t>
                  </w:r>
                </w:p>
              </w:tc>
              <w:tc>
                <w:tcPr>
                  <w:tcW w:w="279" w:type="pct"/>
                  <w:vAlign w:val="center"/>
                </w:tcPr>
                <w:p w14:paraId="5DC9438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14.45</w:t>
                  </w:r>
                </w:p>
              </w:tc>
              <w:tc>
                <w:tcPr>
                  <w:tcW w:w="262" w:type="pct"/>
                  <w:vAlign w:val="center"/>
                </w:tcPr>
                <w:p w14:paraId="42CC4AF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F7D6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171" w:type="pct"/>
                  <w:vAlign w:val="center"/>
                </w:tcPr>
                <w:p w14:paraId="48EDB2D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17</w:t>
                  </w:r>
                </w:p>
              </w:tc>
              <w:tc>
                <w:tcPr>
                  <w:tcW w:w="339" w:type="pct"/>
                  <w:vAlign w:val="center"/>
                </w:tcPr>
                <w:p w14:paraId="4693B3B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cs="Times New Roman"/>
                      <w:color w:val="auto"/>
                      <w:spacing w:val="0"/>
                      <w:w w:val="100"/>
                      <w:position w:val="0"/>
                      <w:sz w:val="21"/>
                      <w:szCs w:val="21"/>
                      <w:highlight w:val="none"/>
                      <w:lang w:val="en-US" w:eastAsia="zh-CN"/>
                    </w:rPr>
                    <w:t>精制氨基乙酸</w:t>
                  </w:r>
                </w:p>
              </w:tc>
              <w:tc>
                <w:tcPr>
                  <w:tcW w:w="462" w:type="pct"/>
                  <w:vAlign w:val="center"/>
                </w:tcPr>
                <w:p w14:paraId="1A2AA87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cs="Times New Roman"/>
                      <w:color w:val="auto"/>
                      <w:spacing w:val="0"/>
                      <w:w w:val="100"/>
                      <w:position w:val="0"/>
                      <w:sz w:val="21"/>
                      <w:szCs w:val="21"/>
                      <w:highlight w:val="none"/>
                      <w:lang w:val="en-US" w:eastAsia="zh-CN"/>
                    </w:rPr>
                    <w:t>精制废气</w:t>
                  </w:r>
                </w:p>
              </w:tc>
              <w:tc>
                <w:tcPr>
                  <w:tcW w:w="555" w:type="pct"/>
                  <w:vAlign w:val="center"/>
                </w:tcPr>
                <w:p w14:paraId="074D312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863" w:type="pct"/>
                  <w:vAlign w:val="center"/>
                </w:tcPr>
                <w:p w14:paraId="058C567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袋式除尘器+1根25m 排气筒</w:t>
                  </w:r>
                  <w:r>
                    <w:rPr>
                      <w:rFonts w:hint="eastAsia" w:cs="Times New Roman"/>
                      <w:color w:val="auto"/>
                      <w:spacing w:val="0"/>
                      <w:w w:val="100"/>
                      <w:position w:val="0"/>
                      <w:sz w:val="21"/>
                      <w:szCs w:val="21"/>
                      <w:highlight w:val="none"/>
                      <w:lang w:val="en-US" w:eastAsia="zh-CN"/>
                    </w:rPr>
                    <w:t>（DA013）</w:t>
                  </w:r>
                </w:p>
              </w:tc>
              <w:tc>
                <w:tcPr>
                  <w:tcW w:w="414" w:type="pct"/>
                  <w:vAlign w:val="center"/>
                </w:tcPr>
                <w:p w14:paraId="351B133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809</w:t>
                  </w:r>
                </w:p>
              </w:tc>
              <w:tc>
                <w:tcPr>
                  <w:tcW w:w="493" w:type="pct"/>
                  <w:vAlign w:val="center"/>
                </w:tcPr>
                <w:p w14:paraId="74F57E5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3.3~4.4</w:t>
                  </w:r>
                </w:p>
              </w:tc>
              <w:tc>
                <w:tcPr>
                  <w:tcW w:w="396" w:type="pct"/>
                  <w:vAlign w:val="center"/>
                </w:tcPr>
                <w:p w14:paraId="43AE53F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120</w:t>
                  </w:r>
                </w:p>
              </w:tc>
              <w:tc>
                <w:tcPr>
                  <w:tcW w:w="763" w:type="pct"/>
                  <w:vAlign w:val="center"/>
                </w:tcPr>
                <w:p w14:paraId="10E5F40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0.00267~0.00355</w:t>
                  </w:r>
                </w:p>
              </w:tc>
              <w:tc>
                <w:tcPr>
                  <w:tcW w:w="279" w:type="pct"/>
                  <w:vAlign w:val="center"/>
                </w:tcPr>
                <w:p w14:paraId="6A3596D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14.4</w:t>
                  </w:r>
                </w:p>
              </w:tc>
              <w:tc>
                <w:tcPr>
                  <w:tcW w:w="262" w:type="pct"/>
                  <w:vAlign w:val="center"/>
                </w:tcPr>
                <w:p w14:paraId="3847A66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B209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tblHeader/>
                <w:jc w:val="center"/>
              </w:trPr>
              <w:tc>
                <w:tcPr>
                  <w:tcW w:w="171" w:type="pct"/>
                  <w:vAlign w:val="center"/>
                </w:tcPr>
                <w:p w14:paraId="12569A8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18</w:t>
                  </w:r>
                </w:p>
              </w:tc>
              <w:tc>
                <w:tcPr>
                  <w:tcW w:w="339" w:type="pct"/>
                  <w:vAlign w:val="center"/>
                </w:tcPr>
                <w:p w14:paraId="0AC0345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cs="Times New Roman"/>
                      <w:color w:val="auto"/>
                      <w:spacing w:val="0"/>
                      <w:w w:val="100"/>
                      <w:position w:val="0"/>
                      <w:sz w:val="21"/>
                      <w:szCs w:val="21"/>
                      <w:highlight w:val="none"/>
                      <w:lang w:val="en-US" w:eastAsia="zh-CN"/>
                    </w:rPr>
                  </w:pPr>
                  <w:r>
                    <w:rPr>
                      <w:rFonts w:hint="eastAsia" w:ascii="Times New Roman" w:hAnsi="Times New Roman" w:cs="Times New Roman"/>
                      <w:color w:val="auto"/>
                      <w:spacing w:val="0"/>
                      <w:w w:val="100"/>
                      <w:position w:val="0"/>
                      <w:sz w:val="21"/>
                      <w:szCs w:val="21"/>
                      <w:highlight w:val="none"/>
                      <w:lang w:val="en-US" w:eastAsia="zh-CN"/>
                    </w:rPr>
                    <w:t>甘氨酸深加工车间</w:t>
                  </w:r>
                </w:p>
              </w:tc>
              <w:tc>
                <w:tcPr>
                  <w:tcW w:w="462" w:type="pct"/>
                  <w:vAlign w:val="center"/>
                </w:tcPr>
                <w:p w14:paraId="318C143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cs="Times New Roman"/>
                      <w:color w:val="auto"/>
                      <w:spacing w:val="0"/>
                      <w:w w:val="100"/>
                      <w:position w:val="0"/>
                      <w:sz w:val="21"/>
                      <w:szCs w:val="21"/>
                      <w:highlight w:val="none"/>
                      <w:lang w:val="en-US" w:eastAsia="zh-CN"/>
                    </w:rPr>
                    <w:t>投料、</w:t>
                  </w:r>
                  <w:r>
                    <w:rPr>
                      <w:rFonts w:hint="eastAsia" w:cs="Times New Roman"/>
                      <w:color w:val="auto"/>
                      <w:spacing w:val="0"/>
                      <w:w w:val="100"/>
                      <w:position w:val="0"/>
                      <w:sz w:val="21"/>
                      <w:szCs w:val="21"/>
                      <w:highlight w:val="none"/>
                      <w:lang w:val="en-US" w:eastAsia="zh-CN"/>
                    </w:rPr>
                    <w:t>粉碎</w:t>
                  </w:r>
                  <w:r>
                    <w:rPr>
                      <w:rFonts w:hint="eastAsia" w:ascii="Times New Roman" w:hAnsi="Times New Roman" w:cs="Times New Roman"/>
                      <w:color w:val="auto"/>
                      <w:spacing w:val="0"/>
                      <w:w w:val="100"/>
                      <w:position w:val="0"/>
                      <w:sz w:val="21"/>
                      <w:szCs w:val="21"/>
                      <w:highlight w:val="none"/>
                      <w:lang w:val="en-US" w:eastAsia="zh-CN"/>
                    </w:rPr>
                    <w:t>、包装</w:t>
                  </w:r>
                  <w:r>
                    <w:rPr>
                      <w:rFonts w:hint="eastAsia" w:cs="Times New Roman"/>
                      <w:color w:val="auto"/>
                      <w:spacing w:val="0"/>
                      <w:w w:val="100"/>
                      <w:position w:val="0"/>
                      <w:sz w:val="21"/>
                      <w:szCs w:val="21"/>
                      <w:highlight w:val="none"/>
                      <w:lang w:val="en-US" w:eastAsia="zh-CN"/>
                    </w:rPr>
                    <w:t>及</w:t>
                  </w:r>
                  <w:r>
                    <w:rPr>
                      <w:rFonts w:hint="eastAsia" w:ascii="Times New Roman" w:hAnsi="Times New Roman" w:cs="Times New Roman"/>
                      <w:color w:val="auto"/>
                      <w:spacing w:val="0"/>
                      <w:w w:val="100"/>
                      <w:position w:val="0"/>
                      <w:sz w:val="21"/>
                      <w:szCs w:val="21"/>
                      <w:highlight w:val="none"/>
                      <w:lang w:val="en-US" w:eastAsia="zh-CN"/>
                    </w:rPr>
                    <w:t>工序</w:t>
                  </w:r>
                </w:p>
              </w:tc>
              <w:tc>
                <w:tcPr>
                  <w:tcW w:w="555" w:type="pct"/>
                  <w:vAlign w:val="center"/>
                </w:tcPr>
                <w:p w14:paraId="5F1F137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cs="Times New Roman"/>
                      <w:color w:val="auto"/>
                      <w:spacing w:val="0"/>
                      <w:w w:val="100"/>
                      <w:position w:val="0"/>
                      <w:sz w:val="21"/>
                      <w:szCs w:val="21"/>
                      <w:highlight w:val="none"/>
                      <w:lang w:val="en-US" w:eastAsia="zh-CN"/>
                    </w:rPr>
                    <w:t>颗粒物</w:t>
                  </w:r>
                </w:p>
              </w:tc>
              <w:tc>
                <w:tcPr>
                  <w:tcW w:w="863" w:type="pct"/>
                  <w:vAlign w:val="center"/>
                </w:tcPr>
                <w:p w14:paraId="04E4AEC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kern w:val="0"/>
                      <w:sz w:val="21"/>
                      <w:szCs w:val="21"/>
                      <w:highlight w:val="none"/>
                      <w:lang w:val="en-US" w:eastAsia="zh-CN" w:bidi="ar-SA"/>
                    </w:rPr>
                    <w:t>布袋除尘器+1根30m高</w:t>
                  </w:r>
                  <w:r>
                    <w:rPr>
                      <w:rFonts w:ascii="Times New Roman" w:hAnsi="Times New Roman" w:eastAsia="宋体" w:cs="Times New Roman"/>
                      <w:color w:val="auto"/>
                      <w:kern w:val="0"/>
                      <w:sz w:val="21"/>
                      <w:szCs w:val="21"/>
                      <w:highlight w:val="none"/>
                      <w:lang w:val="en-US" w:eastAsia="zh-CN" w:bidi="ar-SA"/>
                    </w:rPr>
                    <w:t>排气筒</w:t>
                  </w:r>
                  <w:r>
                    <w:rPr>
                      <w:rFonts w:hint="eastAsia" w:cs="Times New Roman"/>
                      <w:color w:val="auto"/>
                      <w:kern w:val="0"/>
                      <w:sz w:val="21"/>
                      <w:szCs w:val="21"/>
                      <w:highlight w:val="none"/>
                      <w:lang w:val="en-US" w:eastAsia="zh-CN" w:bidi="ar-SA"/>
                    </w:rPr>
                    <w:t>（</w:t>
                  </w:r>
                  <w:r>
                    <w:rPr>
                      <w:rFonts w:ascii="Times New Roman" w:hAnsi="Times New Roman" w:eastAsia="宋体" w:cs="Times New Roman"/>
                      <w:color w:val="auto"/>
                      <w:kern w:val="0"/>
                      <w:sz w:val="21"/>
                      <w:szCs w:val="21"/>
                      <w:highlight w:val="none"/>
                      <w:lang w:val="en-US" w:eastAsia="zh-CN" w:bidi="ar-SA"/>
                    </w:rPr>
                    <w:t>DA0</w:t>
                  </w:r>
                  <w:r>
                    <w:rPr>
                      <w:rFonts w:hint="eastAsia" w:cs="Times New Roman"/>
                      <w:color w:val="auto"/>
                      <w:kern w:val="0"/>
                      <w:sz w:val="21"/>
                      <w:szCs w:val="21"/>
                      <w:highlight w:val="none"/>
                      <w:lang w:val="en-US" w:eastAsia="zh-CN" w:bidi="ar-SA"/>
                    </w:rPr>
                    <w:t>3</w:t>
                  </w:r>
                  <w:r>
                    <w:rPr>
                      <w:rFonts w:ascii="Times New Roman" w:hAnsi="Times New Roman" w:eastAsia="宋体" w:cs="Times New Roman"/>
                      <w:color w:val="auto"/>
                      <w:kern w:val="0"/>
                      <w:sz w:val="21"/>
                      <w:szCs w:val="21"/>
                      <w:highlight w:val="none"/>
                      <w:lang w:val="en-US" w:eastAsia="zh-CN" w:bidi="ar-SA"/>
                    </w:rPr>
                    <w:t>1</w:t>
                  </w:r>
                  <w:r>
                    <w:rPr>
                      <w:rFonts w:hint="eastAsia" w:cs="Times New Roman"/>
                      <w:color w:val="auto"/>
                      <w:kern w:val="0"/>
                      <w:sz w:val="21"/>
                      <w:szCs w:val="21"/>
                      <w:highlight w:val="none"/>
                      <w:lang w:val="en-US" w:eastAsia="zh-CN" w:bidi="ar-SA"/>
                    </w:rPr>
                    <w:t>）</w:t>
                  </w:r>
                </w:p>
              </w:tc>
              <w:tc>
                <w:tcPr>
                  <w:tcW w:w="414" w:type="pct"/>
                  <w:vAlign w:val="center"/>
                </w:tcPr>
                <w:p w14:paraId="2E8D50E5">
                  <w:pPr>
                    <w:keepNext w:val="0"/>
                    <w:keepLines w:val="0"/>
                    <w:widowControl/>
                    <w:suppressLineNumbers w:val="0"/>
                    <w:jc w:val="center"/>
                    <w:textAlignment w:val="center"/>
                    <w:rPr>
                      <w:rFonts w:hint="default"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1628</w:t>
                  </w:r>
                </w:p>
              </w:tc>
              <w:tc>
                <w:tcPr>
                  <w:tcW w:w="493" w:type="pct"/>
                  <w:vAlign w:val="center"/>
                </w:tcPr>
                <w:p w14:paraId="5F1400B3">
                  <w:pPr>
                    <w:keepNext w:val="0"/>
                    <w:keepLines w:val="0"/>
                    <w:widowControl/>
                    <w:suppressLineNumbers w:val="0"/>
                    <w:jc w:val="center"/>
                    <w:textAlignment w:val="center"/>
                    <w:rPr>
                      <w:rFonts w:hint="eastAsia" w:ascii="Times New Roman" w:hAnsi="Times New Roman" w:eastAsia="宋体" w:cs="Times New Roman"/>
                      <w:i w:val="0"/>
                      <w:iCs w:val="0"/>
                      <w:color w:val="auto"/>
                      <w:kern w:val="2"/>
                      <w:sz w:val="21"/>
                      <w:szCs w:val="21"/>
                      <w:highlight w:val="none"/>
                      <w:u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2.3~2.9</w:t>
                  </w:r>
                </w:p>
              </w:tc>
              <w:tc>
                <w:tcPr>
                  <w:tcW w:w="396" w:type="pct"/>
                  <w:vAlign w:val="center"/>
                </w:tcPr>
                <w:p w14:paraId="468BAC2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120</w:t>
                  </w:r>
                </w:p>
              </w:tc>
              <w:tc>
                <w:tcPr>
                  <w:tcW w:w="763" w:type="pct"/>
                  <w:vAlign w:val="center"/>
                </w:tcPr>
                <w:p w14:paraId="25F9AF7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0.00366~0.00467</w:t>
                  </w:r>
                </w:p>
              </w:tc>
              <w:tc>
                <w:tcPr>
                  <w:tcW w:w="279" w:type="pct"/>
                  <w:vAlign w:val="center"/>
                </w:tcPr>
                <w:p w14:paraId="627C52C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11.5</w:t>
                  </w:r>
                </w:p>
              </w:tc>
              <w:tc>
                <w:tcPr>
                  <w:tcW w:w="262" w:type="pct"/>
                  <w:vAlign w:val="center"/>
                </w:tcPr>
                <w:p w14:paraId="65DC862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2310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restart"/>
                  <w:vAlign w:val="center"/>
                </w:tcPr>
                <w:p w14:paraId="4169E48A">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19</w:t>
                  </w:r>
                </w:p>
              </w:tc>
              <w:tc>
                <w:tcPr>
                  <w:tcW w:w="801" w:type="pct"/>
                  <w:gridSpan w:val="2"/>
                  <w:vMerge w:val="restart"/>
                  <w:vAlign w:val="center"/>
                </w:tcPr>
                <w:p w14:paraId="06A149F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厂界无组织排放</w:t>
                  </w:r>
                </w:p>
              </w:tc>
              <w:tc>
                <w:tcPr>
                  <w:tcW w:w="1418" w:type="pct"/>
                  <w:gridSpan w:val="2"/>
                  <w:vAlign w:val="center"/>
                </w:tcPr>
                <w:p w14:paraId="00F73D7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非甲烷总烃</w:t>
                  </w:r>
                </w:p>
              </w:tc>
              <w:tc>
                <w:tcPr>
                  <w:tcW w:w="414" w:type="pct"/>
                  <w:vAlign w:val="center"/>
                </w:tcPr>
                <w:p w14:paraId="6A30999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3022B77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1.58</w:t>
                  </w:r>
                </w:p>
              </w:tc>
              <w:tc>
                <w:tcPr>
                  <w:tcW w:w="396" w:type="pct"/>
                  <w:vAlign w:val="center"/>
                </w:tcPr>
                <w:p w14:paraId="6A3C029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w:t>
                  </w:r>
                </w:p>
              </w:tc>
              <w:tc>
                <w:tcPr>
                  <w:tcW w:w="763" w:type="pct"/>
                  <w:vAlign w:val="center"/>
                </w:tcPr>
                <w:p w14:paraId="438F2E9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06F85B5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6EEB54F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3F81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5636EE1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55EB1DF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3B4D7F0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硫酸雾</w:t>
                  </w:r>
                </w:p>
              </w:tc>
              <w:tc>
                <w:tcPr>
                  <w:tcW w:w="414" w:type="pct"/>
                  <w:vAlign w:val="center"/>
                </w:tcPr>
                <w:p w14:paraId="7763454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6270271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ND</w:t>
                  </w:r>
                </w:p>
              </w:tc>
              <w:tc>
                <w:tcPr>
                  <w:tcW w:w="396" w:type="pct"/>
                  <w:vAlign w:val="center"/>
                </w:tcPr>
                <w:p w14:paraId="0678FB8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w:t>
                  </w:r>
                </w:p>
              </w:tc>
              <w:tc>
                <w:tcPr>
                  <w:tcW w:w="763" w:type="pct"/>
                  <w:vAlign w:val="center"/>
                </w:tcPr>
                <w:p w14:paraId="3C9A1D2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15561FD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0E5E820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56FAE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0C7F19A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442FDC7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53147B5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颗粒物</w:t>
                  </w:r>
                </w:p>
              </w:tc>
              <w:tc>
                <w:tcPr>
                  <w:tcW w:w="414" w:type="pct"/>
                  <w:vAlign w:val="center"/>
                </w:tcPr>
                <w:p w14:paraId="73378C5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6B00ACD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0.431</w:t>
                  </w:r>
                </w:p>
              </w:tc>
              <w:tc>
                <w:tcPr>
                  <w:tcW w:w="396" w:type="pct"/>
                  <w:vAlign w:val="center"/>
                </w:tcPr>
                <w:p w14:paraId="07582EF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w:t>
                  </w:r>
                </w:p>
              </w:tc>
              <w:tc>
                <w:tcPr>
                  <w:tcW w:w="763" w:type="pct"/>
                  <w:vAlign w:val="center"/>
                </w:tcPr>
                <w:p w14:paraId="5FF499A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25EDAC2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0BE3012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22EAC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67A2A8C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61022F9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3C50861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甲醛</w:t>
                  </w:r>
                </w:p>
              </w:tc>
              <w:tc>
                <w:tcPr>
                  <w:tcW w:w="414" w:type="pct"/>
                  <w:vAlign w:val="center"/>
                </w:tcPr>
                <w:p w14:paraId="6BFA35B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2590967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ND</w:t>
                  </w:r>
                </w:p>
              </w:tc>
              <w:tc>
                <w:tcPr>
                  <w:tcW w:w="396" w:type="pct"/>
                  <w:vAlign w:val="center"/>
                </w:tcPr>
                <w:p w14:paraId="47BC3A0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0.2</w:t>
                  </w:r>
                </w:p>
              </w:tc>
              <w:tc>
                <w:tcPr>
                  <w:tcW w:w="763" w:type="pct"/>
                  <w:vAlign w:val="center"/>
                </w:tcPr>
                <w:p w14:paraId="559994F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31670AA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2D18CDF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7D101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31C091B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29E99B0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05C23BE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氯化氢</w:t>
                  </w:r>
                </w:p>
              </w:tc>
              <w:tc>
                <w:tcPr>
                  <w:tcW w:w="414" w:type="pct"/>
                  <w:vAlign w:val="center"/>
                </w:tcPr>
                <w:p w14:paraId="142596E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4A4E6ED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ND</w:t>
                  </w:r>
                </w:p>
              </w:tc>
              <w:tc>
                <w:tcPr>
                  <w:tcW w:w="396" w:type="pct"/>
                  <w:vAlign w:val="center"/>
                </w:tcPr>
                <w:p w14:paraId="5CD8302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0.2</w:t>
                  </w:r>
                </w:p>
              </w:tc>
              <w:tc>
                <w:tcPr>
                  <w:tcW w:w="763" w:type="pct"/>
                  <w:vAlign w:val="center"/>
                </w:tcPr>
                <w:p w14:paraId="327F459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199F1CB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40CCB65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5C8E5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4E2FC8F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1D25D29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4AB88F4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二氧化硫</w:t>
                  </w:r>
                </w:p>
              </w:tc>
              <w:tc>
                <w:tcPr>
                  <w:tcW w:w="414" w:type="pct"/>
                  <w:vAlign w:val="center"/>
                </w:tcPr>
                <w:p w14:paraId="130046C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14982DF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0.019</w:t>
                  </w:r>
                </w:p>
              </w:tc>
              <w:tc>
                <w:tcPr>
                  <w:tcW w:w="396" w:type="pct"/>
                  <w:vAlign w:val="center"/>
                </w:tcPr>
                <w:p w14:paraId="11648C1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0.4</w:t>
                  </w:r>
                </w:p>
              </w:tc>
              <w:tc>
                <w:tcPr>
                  <w:tcW w:w="763" w:type="pct"/>
                  <w:vAlign w:val="center"/>
                </w:tcPr>
                <w:p w14:paraId="5910D69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380194A7">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0B07104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70D7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blHeader/>
                <w:jc w:val="center"/>
              </w:trPr>
              <w:tc>
                <w:tcPr>
                  <w:tcW w:w="171" w:type="pct"/>
                  <w:vMerge w:val="continue"/>
                  <w:vAlign w:val="center"/>
                </w:tcPr>
                <w:p w14:paraId="55C82DC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00F5FE99">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015B8E0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甲醇</w:t>
                  </w:r>
                </w:p>
              </w:tc>
              <w:tc>
                <w:tcPr>
                  <w:tcW w:w="414" w:type="pct"/>
                  <w:vAlign w:val="center"/>
                </w:tcPr>
                <w:p w14:paraId="6E0C37F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04BB4D74">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ND</w:t>
                  </w:r>
                </w:p>
              </w:tc>
              <w:tc>
                <w:tcPr>
                  <w:tcW w:w="396" w:type="pct"/>
                  <w:vAlign w:val="center"/>
                </w:tcPr>
                <w:p w14:paraId="1616DA0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12</w:t>
                  </w:r>
                </w:p>
              </w:tc>
              <w:tc>
                <w:tcPr>
                  <w:tcW w:w="763" w:type="pct"/>
                  <w:vAlign w:val="center"/>
                </w:tcPr>
                <w:p w14:paraId="5AC97D6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2FB2DFB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2E995AF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35D65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36CE430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1C00D31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17A8E95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氯气</w:t>
                  </w:r>
                </w:p>
              </w:tc>
              <w:tc>
                <w:tcPr>
                  <w:tcW w:w="414" w:type="pct"/>
                  <w:vAlign w:val="center"/>
                </w:tcPr>
                <w:p w14:paraId="0EFDD37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3C1160A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ND</w:t>
                  </w:r>
                </w:p>
              </w:tc>
              <w:tc>
                <w:tcPr>
                  <w:tcW w:w="396" w:type="pct"/>
                  <w:vAlign w:val="center"/>
                </w:tcPr>
                <w:p w14:paraId="6FE5BC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0.4</w:t>
                  </w:r>
                </w:p>
              </w:tc>
              <w:tc>
                <w:tcPr>
                  <w:tcW w:w="763" w:type="pct"/>
                  <w:vAlign w:val="center"/>
                </w:tcPr>
                <w:p w14:paraId="47EA9DC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1BD11C5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04CD300F">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5DF9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799981D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1997818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74BE507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硫化氢</w:t>
                  </w:r>
                </w:p>
              </w:tc>
              <w:tc>
                <w:tcPr>
                  <w:tcW w:w="414" w:type="pct"/>
                  <w:vAlign w:val="center"/>
                </w:tcPr>
                <w:p w14:paraId="5567877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78E17F0E">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0.010</w:t>
                  </w:r>
                </w:p>
              </w:tc>
              <w:tc>
                <w:tcPr>
                  <w:tcW w:w="396" w:type="pct"/>
                  <w:vAlign w:val="center"/>
                </w:tcPr>
                <w:p w14:paraId="5BC8534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0.06</w:t>
                  </w:r>
                </w:p>
              </w:tc>
              <w:tc>
                <w:tcPr>
                  <w:tcW w:w="763" w:type="pct"/>
                  <w:vAlign w:val="center"/>
                </w:tcPr>
                <w:p w14:paraId="1288D20C">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13E7CEE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7F7CE15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5A08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0DE96941">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52A633F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39800C3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氨</w:t>
                  </w:r>
                </w:p>
              </w:tc>
              <w:tc>
                <w:tcPr>
                  <w:tcW w:w="414" w:type="pct"/>
                  <w:vAlign w:val="center"/>
                </w:tcPr>
                <w:p w14:paraId="39A2578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7074BFA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0.16</w:t>
                  </w:r>
                </w:p>
              </w:tc>
              <w:tc>
                <w:tcPr>
                  <w:tcW w:w="396" w:type="pct"/>
                  <w:vAlign w:val="center"/>
                </w:tcPr>
                <w:p w14:paraId="1DFBA15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1.5</w:t>
                  </w:r>
                </w:p>
              </w:tc>
              <w:tc>
                <w:tcPr>
                  <w:tcW w:w="763" w:type="pct"/>
                  <w:vAlign w:val="center"/>
                </w:tcPr>
                <w:p w14:paraId="2A0DD728">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72F0D62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574421B6">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1E0B6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blHeader/>
                <w:jc w:val="center"/>
              </w:trPr>
              <w:tc>
                <w:tcPr>
                  <w:tcW w:w="171" w:type="pct"/>
                  <w:vMerge w:val="continue"/>
                  <w:vAlign w:val="center"/>
                </w:tcPr>
                <w:p w14:paraId="4BDB40F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801" w:type="pct"/>
                  <w:gridSpan w:val="2"/>
                  <w:vMerge w:val="continue"/>
                  <w:vAlign w:val="center"/>
                </w:tcPr>
                <w:p w14:paraId="5D1E46A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p>
              </w:tc>
              <w:tc>
                <w:tcPr>
                  <w:tcW w:w="1418" w:type="pct"/>
                  <w:gridSpan w:val="2"/>
                  <w:vAlign w:val="center"/>
                </w:tcPr>
                <w:p w14:paraId="62FE0AAD">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臭气浓度</w:t>
                  </w:r>
                </w:p>
              </w:tc>
              <w:tc>
                <w:tcPr>
                  <w:tcW w:w="414" w:type="pct"/>
                  <w:vAlign w:val="center"/>
                </w:tcPr>
                <w:p w14:paraId="791E4655">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93" w:type="pct"/>
                  <w:vAlign w:val="center"/>
                </w:tcPr>
                <w:p w14:paraId="51F544D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w:t>
                  </w:r>
                  <w:r>
                    <w:rPr>
                      <w:rFonts w:hint="default" w:ascii="Times New Roman" w:hAnsi="Times New Roman" w:eastAsia="宋体" w:cs="Times New Roman"/>
                      <w:color w:val="auto"/>
                      <w:spacing w:val="0"/>
                      <w:w w:val="100"/>
                      <w:position w:val="0"/>
                      <w:sz w:val="21"/>
                      <w:szCs w:val="21"/>
                      <w:highlight w:val="none"/>
                      <w:lang w:val="en-US" w:eastAsia="zh-CN"/>
                    </w:rPr>
                    <w:t>10（无量纲）</w:t>
                  </w:r>
                </w:p>
              </w:tc>
              <w:tc>
                <w:tcPr>
                  <w:tcW w:w="396" w:type="pct"/>
                  <w:vAlign w:val="center"/>
                </w:tcPr>
                <w:p w14:paraId="10EEE403">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20（无量纲）</w:t>
                  </w:r>
                </w:p>
              </w:tc>
              <w:tc>
                <w:tcPr>
                  <w:tcW w:w="763" w:type="pct"/>
                  <w:vAlign w:val="center"/>
                </w:tcPr>
                <w:p w14:paraId="0733B8A2">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79" w:type="pct"/>
                  <w:vAlign w:val="center"/>
                </w:tcPr>
                <w:p w14:paraId="2E37F990">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262" w:type="pct"/>
                  <w:vAlign w:val="center"/>
                </w:tcPr>
                <w:p w14:paraId="18A7A6EB">
                  <w:pPr>
                    <w:keepNext w:val="0"/>
                    <w:keepLines w:val="0"/>
                    <w:pageBreakBefore w:val="0"/>
                    <w:widowControl w:val="0"/>
                    <w:suppressLineNumbers w:val="0"/>
                    <w:shd w:val="clear"/>
                    <w:kinsoku/>
                    <w:wordWrap/>
                    <w:overflowPunct/>
                    <w:topLinePunct w:val="0"/>
                    <w:autoSpaceDE/>
                    <w:autoSpaceDN/>
                    <w:bidi w:val="0"/>
                    <w:adjustRightInd/>
                    <w:snapToGrid w:val="0"/>
                    <w:spacing w:before="0" w:beforeAutospacing="0" w:after="0" w:afterAutospacing="0" w:line="240" w:lineRule="auto"/>
                    <w:ind w:left="0" w:leftChars="0" w:right="0" w:firstLine="0" w:firstLineChars="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bl>
          <w:p w14:paraId="65BFB483">
            <w:pPr>
              <w:keepNext w:val="0"/>
              <w:keepLines w:val="0"/>
              <w:pageBreakBefore w:val="0"/>
              <w:widowControl w:val="0"/>
              <w:shd w:val="clear"/>
              <w:kinsoku/>
              <w:wordWrap/>
              <w:overflowPunct/>
              <w:topLinePunct w:val="0"/>
              <w:autoSpaceDE/>
              <w:autoSpaceDN/>
              <w:bidi w:val="0"/>
              <w:spacing w:line="360" w:lineRule="auto"/>
              <w:ind w:firstLine="420" w:firstLineChars="20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由上表可知，现有工程废气排放满足《恶臭污染物排放标准》（GB14554-93）、《工业企业挥发性有机物排放控制标准》（DB13/2322-2016）、《大气污染物综合排放标准》（GB16297-1996）、《挥发性有机物无组织排放控制标准》（GB37822-2019）、《餐饮业大气污染物排放标准》(DB13/5808-2023)、《石油化学工业污染物排放标准》(GB31571-2015及修改单)标准限值要求。</w:t>
            </w:r>
          </w:p>
          <w:p w14:paraId="10FDDE86">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tc>
      </w:tr>
    </w:tbl>
    <w:p w14:paraId="48DF4302">
      <w:pPr>
        <w:rPr>
          <w:color w:val="auto"/>
          <w:highlight w:val="none"/>
        </w:rPr>
        <w:sectPr>
          <w:pgSz w:w="16838" w:h="11906" w:orient="landscape"/>
          <w:pgMar w:top="1531" w:right="1701" w:bottom="1531" w:left="1701"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899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53"/>
        <w:gridCol w:w="8237"/>
      </w:tblGrid>
      <w:tr w14:paraId="366362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71" w:hRule="atLeast"/>
          <w:jc w:val="center"/>
        </w:trPr>
        <w:tc>
          <w:tcPr>
            <w:tcW w:w="746" w:type="dxa"/>
            <w:noWrap w:val="0"/>
            <w:vAlign w:val="center"/>
          </w:tcPr>
          <w:p w14:paraId="6DE8368B">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eastAsia="宋体" w:cs="宋体"/>
                <w:bCs/>
                <w:color w:val="auto"/>
                <w:kern w:val="2"/>
                <w:sz w:val="21"/>
                <w:szCs w:val="21"/>
                <w:highlight w:val="none"/>
                <w:lang w:val="en-US" w:eastAsia="zh-CN" w:bidi="ar-SA"/>
              </w:rPr>
              <w:t>与项目有关的原有环境污染问题</w:t>
            </w:r>
          </w:p>
        </w:tc>
        <w:tc>
          <w:tcPr>
            <w:tcW w:w="8162" w:type="dxa"/>
            <w:noWrap w:val="0"/>
            <w:vAlign w:val="center"/>
          </w:tcPr>
          <w:p w14:paraId="5CDC55CF">
            <w:pPr>
              <w:pStyle w:val="7"/>
              <w:pageBreakBefore w:val="0"/>
              <w:widowControl w:val="0"/>
              <w:numPr>
                <w:ilvl w:val="5"/>
                <w:numId w:val="0"/>
              </w:numPr>
              <w:kinsoku/>
              <w:wordWrap/>
              <w:overflowPunct/>
              <w:topLinePunct w:val="0"/>
              <w:autoSpaceDE/>
              <w:autoSpaceDN/>
              <w:bidi w:val="0"/>
              <w:spacing w:beforeLines="0" w:afterLines="0" w:line="360" w:lineRule="auto"/>
              <w:ind w:leftChars="20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表 2-</w:t>
            </w:r>
            <w:r>
              <w:rPr>
                <w:rFonts w:hint="eastAsia" w:cs="Times New Roman"/>
                <w:color w:val="auto"/>
                <w:sz w:val="21"/>
                <w:szCs w:val="21"/>
                <w:highlight w:val="none"/>
                <w:lang w:val="en-US" w:eastAsia="zh-CN"/>
              </w:rPr>
              <w:t>20</w:t>
            </w:r>
            <w:r>
              <w:rPr>
                <w:rFonts w:hint="default" w:ascii="Times New Roman" w:hAnsi="Times New Roman" w:eastAsia="宋体" w:cs="Times New Roman"/>
                <w:color w:val="auto"/>
                <w:sz w:val="21"/>
                <w:szCs w:val="21"/>
                <w:highlight w:val="none"/>
                <w:lang w:val="en-US" w:eastAsia="zh-CN"/>
              </w:rPr>
              <w:t xml:space="preserve"> 现有工程排放量一览表单位：t/a</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1"/>
              <w:gridCol w:w="2682"/>
              <w:gridCol w:w="3699"/>
              <w:gridCol w:w="6"/>
            </w:tblGrid>
            <w:tr w14:paraId="7448C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jc w:val="center"/>
              </w:trPr>
              <w:tc>
                <w:tcPr>
                  <w:tcW w:w="2686" w:type="pct"/>
                  <w:gridSpan w:val="2"/>
                  <w:shd w:val="clear" w:color="auto" w:fill="auto"/>
                  <w:noWrap/>
                  <w:vAlign w:val="center"/>
                </w:tcPr>
                <w:p w14:paraId="2CEE9A31">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firstLine="0" w:firstLineChars="0"/>
                    <w:jc w:val="center"/>
                    <w:textAlignment w:val="baseline"/>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项目</w:t>
                  </w:r>
                </w:p>
              </w:tc>
              <w:tc>
                <w:tcPr>
                  <w:tcW w:w="2313" w:type="pct"/>
                  <w:gridSpan w:val="2"/>
                  <w:shd w:val="clear" w:color="auto" w:fill="auto"/>
                  <w:noWrap/>
                  <w:vAlign w:val="center"/>
                </w:tcPr>
                <w:p w14:paraId="2C6B0D75">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firstLine="0" w:firstLineChars="0"/>
                    <w:jc w:val="center"/>
                    <w:textAlignment w:val="baseline"/>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现有工程实际排放量</w:t>
                  </w:r>
                </w:p>
              </w:tc>
            </w:tr>
            <w:tr w14:paraId="19910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70" w:hRule="atLeast"/>
                <w:jc w:val="center"/>
              </w:trPr>
              <w:tc>
                <w:tcPr>
                  <w:tcW w:w="1012" w:type="pct"/>
                  <w:vMerge w:val="restart"/>
                  <w:shd w:val="clear" w:color="auto" w:fill="auto"/>
                  <w:noWrap/>
                  <w:vAlign w:val="center"/>
                </w:tcPr>
                <w:p w14:paraId="29570DA8">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废气</w:t>
                  </w:r>
                </w:p>
              </w:tc>
              <w:tc>
                <w:tcPr>
                  <w:tcW w:w="1673" w:type="pct"/>
                  <w:shd w:val="clear" w:color="auto" w:fill="auto"/>
                  <w:noWrap/>
                  <w:vAlign w:val="center"/>
                </w:tcPr>
                <w:p w14:paraId="78ED6B5B">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二氧化硫</w:t>
                  </w:r>
                </w:p>
              </w:tc>
              <w:tc>
                <w:tcPr>
                  <w:tcW w:w="2309" w:type="pct"/>
                  <w:shd w:val="clear" w:color="auto" w:fill="auto"/>
                  <w:noWrap/>
                  <w:vAlign w:val="center"/>
                </w:tcPr>
                <w:p w14:paraId="1CE6B827">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kern w:val="2"/>
                      <w:position w:val="0"/>
                      <w:sz w:val="21"/>
                      <w:szCs w:val="21"/>
                      <w:highlight w:val="none"/>
                      <w:lang w:val="en-US" w:eastAsia="zh-CN" w:bidi="ar-SA"/>
                    </w:rPr>
                    <w:t>0.155</w:t>
                  </w:r>
                </w:p>
              </w:tc>
            </w:tr>
            <w:tr w14:paraId="73F2A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551B60DF">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rPr>
                  </w:pPr>
                </w:p>
              </w:tc>
              <w:tc>
                <w:tcPr>
                  <w:tcW w:w="1673" w:type="pct"/>
                  <w:shd w:val="clear" w:color="auto" w:fill="auto"/>
                  <w:vAlign w:val="center"/>
                </w:tcPr>
                <w:p w14:paraId="45D58E36">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firstLine="0" w:firstLineChars="0"/>
                    <w:jc w:val="center"/>
                    <w:textAlignment w:val="baseline"/>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氮氧化物</w:t>
                  </w:r>
                </w:p>
              </w:tc>
              <w:tc>
                <w:tcPr>
                  <w:tcW w:w="2309" w:type="pct"/>
                  <w:shd w:val="clear" w:color="auto" w:fill="auto"/>
                  <w:vAlign w:val="center"/>
                </w:tcPr>
                <w:p w14:paraId="3636B62B">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kern w:val="2"/>
                      <w:position w:val="0"/>
                      <w:sz w:val="21"/>
                      <w:szCs w:val="21"/>
                      <w:highlight w:val="none"/>
                      <w:lang w:val="en-US" w:eastAsia="zh-CN" w:bidi="ar-SA"/>
                    </w:rPr>
                    <w:t>0</w:t>
                  </w:r>
                </w:p>
              </w:tc>
            </w:tr>
            <w:tr w14:paraId="5C3FC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255" w:hRule="atLeast"/>
                <w:jc w:val="center"/>
              </w:trPr>
              <w:tc>
                <w:tcPr>
                  <w:tcW w:w="1012" w:type="pct"/>
                  <w:vMerge w:val="continue"/>
                  <w:shd w:val="clear" w:color="auto" w:fill="auto"/>
                  <w:vAlign w:val="center"/>
                </w:tcPr>
                <w:p w14:paraId="61E14FB4">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p>
              </w:tc>
              <w:tc>
                <w:tcPr>
                  <w:tcW w:w="1673" w:type="pct"/>
                  <w:shd w:val="clear" w:color="auto" w:fill="auto"/>
                  <w:vAlign w:val="center"/>
                </w:tcPr>
                <w:p w14:paraId="403DD6A8">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甲醇</w:t>
                  </w:r>
                </w:p>
              </w:tc>
              <w:tc>
                <w:tcPr>
                  <w:tcW w:w="2309" w:type="pct"/>
                  <w:shd w:val="clear" w:color="auto" w:fill="auto"/>
                  <w:vAlign w:val="center"/>
                </w:tcPr>
                <w:p w14:paraId="762FE2A0">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position w:val="0"/>
                      <w:sz w:val="21"/>
                      <w:szCs w:val="21"/>
                      <w:highlight w:val="none"/>
                      <w:lang w:val="en-US" w:eastAsia="zh-CN"/>
                    </w:rPr>
                    <w:t>2.474</w:t>
                  </w:r>
                </w:p>
              </w:tc>
            </w:tr>
            <w:tr w14:paraId="21D1B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0DCC2464">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p>
              </w:tc>
              <w:tc>
                <w:tcPr>
                  <w:tcW w:w="1673" w:type="pct"/>
                  <w:shd w:val="clear" w:color="auto" w:fill="auto"/>
                  <w:vAlign w:val="center"/>
                </w:tcPr>
                <w:p w14:paraId="03F2F764">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氨</w:t>
                  </w:r>
                </w:p>
              </w:tc>
              <w:tc>
                <w:tcPr>
                  <w:tcW w:w="2309" w:type="pct"/>
                  <w:shd w:val="clear" w:color="auto" w:fill="auto"/>
                  <w:vAlign w:val="center"/>
                </w:tcPr>
                <w:p w14:paraId="0226DB3C">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position w:val="0"/>
                      <w:sz w:val="21"/>
                      <w:szCs w:val="21"/>
                      <w:highlight w:val="none"/>
                      <w:lang w:val="en-US" w:eastAsia="zh-CN"/>
                    </w:rPr>
                    <w:t>0.848</w:t>
                  </w:r>
                </w:p>
              </w:tc>
            </w:tr>
            <w:tr w14:paraId="32C15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6DB4A9FE">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p>
              </w:tc>
              <w:tc>
                <w:tcPr>
                  <w:tcW w:w="1673" w:type="pct"/>
                  <w:shd w:val="clear" w:color="auto" w:fill="auto"/>
                  <w:vAlign w:val="center"/>
                </w:tcPr>
                <w:p w14:paraId="0F63D9B8">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甲醛</w:t>
                  </w:r>
                </w:p>
              </w:tc>
              <w:tc>
                <w:tcPr>
                  <w:tcW w:w="2309" w:type="pct"/>
                  <w:shd w:val="clear" w:color="auto" w:fill="auto"/>
                  <w:vAlign w:val="center"/>
                </w:tcPr>
                <w:p w14:paraId="194DD31C">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position w:val="0"/>
                      <w:sz w:val="21"/>
                      <w:szCs w:val="21"/>
                      <w:highlight w:val="none"/>
                      <w:lang w:val="en-US" w:eastAsia="zh-CN"/>
                    </w:rPr>
                    <w:t>1.290</w:t>
                  </w:r>
                </w:p>
              </w:tc>
            </w:tr>
            <w:tr w14:paraId="2AC59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90" w:hRule="atLeast"/>
                <w:jc w:val="center"/>
              </w:trPr>
              <w:tc>
                <w:tcPr>
                  <w:tcW w:w="1012" w:type="pct"/>
                  <w:vMerge w:val="continue"/>
                  <w:shd w:val="clear" w:color="auto" w:fill="auto"/>
                  <w:vAlign w:val="center"/>
                </w:tcPr>
                <w:p w14:paraId="5C090B95">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p>
              </w:tc>
              <w:tc>
                <w:tcPr>
                  <w:tcW w:w="1673" w:type="pct"/>
                  <w:shd w:val="clear" w:color="auto" w:fill="auto"/>
                  <w:vAlign w:val="center"/>
                </w:tcPr>
                <w:p w14:paraId="28FE330D">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非甲烷总烃</w:t>
                  </w:r>
                </w:p>
              </w:tc>
              <w:tc>
                <w:tcPr>
                  <w:tcW w:w="2309" w:type="pct"/>
                  <w:shd w:val="clear" w:color="auto" w:fill="auto"/>
                  <w:vAlign w:val="center"/>
                </w:tcPr>
                <w:p w14:paraId="279F6C34">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kern w:val="2"/>
                      <w:sz w:val="21"/>
                      <w:szCs w:val="24"/>
                      <w:highlight w:val="none"/>
                      <w:lang w:val="en-US" w:eastAsia="zh-CN" w:bidi="ar-SA"/>
                    </w:rPr>
                  </w:pPr>
                  <w:r>
                    <w:rPr>
                      <w:rFonts w:hint="eastAsia" w:cs="Times New Roman"/>
                      <w:b w:val="0"/>
                      <w:bCs w:val="0"/>
                      <w:color w:val="auto"/>
                      <w:spacing w:val="0"/>
                      <w:w w:val="100"/>
                      <w:position w:val="0"/>
                      <w:sz w:val="21"/>
                      <w:szCs w:val="21"/>
                      <w:highlight w:val="none"/>
                      <w:lang w:val="en-US" w:eastAsia="zh-CN"/>
                    </w:rPr>
                    <w:t>6.529</w:t>
                  </w:r>
                </w:p>
              </w:tc>
            </w:tr>
            <w:tr w14:paraId="2C84C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2FACAC28">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p>
              </w:tc>
              <w:tc>
                <w:tcPr>
                  <w:tcW w:w="1673" w:type="pct"/>
                  <w:shd w:val="clear" w:color="auto" w:fill="auto"/>
                  <w:vAlign w:val="center"/>
                </w:tcPr>
                <w:p w14:paraId="361CF970">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firstLine="0" w:firstLineChars="0"/>
                    <w:jc w:val="center"/>
                    <w:textAlignment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颗粒物</w:t>
                  </w:r>
                </w:p>
              </w:tc>
              <w:tc>
                <w:tcPr>
                  <w:tcW w:w="2309" w:type="pct"/>
                  <w:shd w:val="clear" w:color="auto" w:fill="auto"/>
                  <w:vAlign w:val="center"/>
                </w:tcPr>
                <w:p w14:paraId="4EF36131">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position w:val="0"/>
                      <w:sz w:val="21"/>
                      <w:szCs w:val="21"/>
                      <w:highlight w:val="none"/>
                      <w:lang w:val="en-US" w:eastAsia="zh-CN"/>
                    </w:rPr>
                    <w:t>1.211</w:t>
                  </w:r>
                </w:p>
              </w:tc>
            </w:tr>
            <w:tr w14:paraId="37B08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4CC2E83A">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p>
              </w:tc>
              <w:tc>
                <w:tcPr>
                  <w:tcW w:w="1673" w:type="pct"/>
                  <w:shd w:val="clear" w:color="auto" w:fill="auto"/>
                  <w:vAlign w:val="center"/>
                </w:tcPr>
                <w:p w14:paraId="2B24DC52">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default" w:ascii="Times New Roman" w:hAnsi="Times New Roman" w:eastAsia="宋体" w:cs="Times New Roman"/>
                      <w:b w:val="0"/>
                      <w:bCs w:val="0"/>
                      <w:color w:val="auto"/>
                      <w:spacing w:val="0"/>
                      <w:w w:val="100"/>
                      <w:position w:val="0"/>
                      <w:sz w:val="21"/>
                      <w:szCs w:val="21"/>
                      <w:highlight w:val="none"/>
                      <w:lang w:val="en-US" w:eastAsia="zh-CN"/>
                    </w:rPr>
                    <w:t>硫化氢</w:t>
                  </w:r>
                </w:p>
              </w:tc>
              <w:tc>
                <w:tcPr>
                  <w:tcW w:w="2309" w:type="pct"/>
                  <w:shd w:val="clear" w:color="auto" w:fill="auto"/>
                  <w:vAlign w:val="center"/>
                </w:tcPr>
                <w:p w14:paraId="488186FD">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position w:val="0"/>
                      <w:sz w:val="21"/>
                      <w:szCs w:val="21"/>
                      <w:highlight w:val="none"/>
                      <w:lang w:val="en-US" w:eastAsia="zh-CN"/>
                    </w:rPr>
                    <w:t>0.189</w:t>
                  </w:r>
                </w:p>
              </w:tc>
            </w:tr>
            <w:tr w14:paraId="5DD12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7128664C">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p>
              </w:tc>
              <w:tc>
                <w:tcPr>
                  <w:tcW w:w="1673" w:type="pct"/>
                  <w:shd w:val="clear" w:color="auto" w:fill="auto"/>
                  <w:vAlign w:val="center"/>
                </w:tcPr>
                <w:p w14:paraId="1FB311BB">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default" w:ascii="Times New Roman" w:hAnsi="Times New Roman" w:eastAsia="宋体" w:cs="Times New Roman"/>
                      <w:b w:val="0"/>
                      <w:bCs w:val="0"/>
                      <w:color w:val="auto"/>
                      <w:spacing w:val="0"/>
                      <w:w w:val="100"/>
                      <w:position w:val="0"/>
                      <w:sz w:val="21"/>
                      <w:szCs w:val="21"/>
                      <w:highlight w:val="none"/>
                      <w:lang w:val="en-US" w:eastAsia="zh-CN"/>
                    </w:rPr>
                    <w:t>氯化氢</w:t>
                  </w:r>
                </w:p>
              </w:tc>
              <w:tc>
                <w:tcPr>
                  <w:tcW w:w="2309" w:type="pct"/>
                  <w:shd w:val="clear" w:color="auto" w:fill="auto"/>
                  <w:vAlign w:val="center"/>
                </w:tcPr>
                <w:p w14:paraId="64B6E01A">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cs="Times New Roman"/>
                      <w:b w:val="0"/>
                      <w:bCs w:val="0"/>
                      <w:color w:val="auto"/>
                      <w:spacing w:val="0"/>
                      <w:w w:val="100"/>
                      <w:position w:val="0"/>
                      <w:sz w:val="21"/>
                      <w:szCs w:val="21"/>
                      <w:highlight w:val="none"/>
                      <w:lang w:val="en-US" w:eastAsia="zh-CN"/>
                    </w:rPr>
                    <w:t>1.977</w:t>
                  </w:r>
                </w:p>
              </w:tc>
            </w:tr>
            <w:tr w14:paraId="60C5A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 w:type="pct"/>
                <w:trHeight w:val="60" w:hRule="atLeast"/>
                <w:jc w:val="center"/>
              </w:trPr>
              <w:tc>
                <w:tcPr>
                  <w:tcW w:w="1012" w:type="pct"/>
                  <w:vMerge w:val="continue"/>
                  <w:shd w:val="clear" w:color="auto" w:fill="auto"/>
                  <w:vAlign w:val="center"/>
                </w:tcPr>
                <w:p w14:paraId="04C5AFDB">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p>
              </w:tc>
              <w:tc>
                <w:tcPr>
                  <w:tcW w:w="1673" w:type="pct"/>
                  <w:shd w:val="clear" w:color="auto" w:fill="auto"/>
                  <w:vAlign w:val="center"/>
                </w:tcPr>
                <w:p w14:paraId="7E0A2B9E">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eastAsia" w:ascii="Times New Roman" w:hAnsi="Times New Roman" w:eastAsia="宋体" w:cs="Times New Roman"/>
                      <w:b w:val="0"/>
                      <w:bCs w:val="0"/>
                      <w:color w:val="auto"/>
                      <w:spacing w:val="0"/>
                      <w:w w:val="100"/>
                      <w:position w:val="0"/>
                      <w:sz w:val="21"/>
                      <w:szCs w:val="21"/>
                      <w:highlight w:val="none"/>
                      <w:lang w:val="en-US" w:eastAsia="zh-CN"/>
                    </w:rPr>
                    <w:t>氯气</w:t>
                  </w:r>
                </w:p>
              </w:tc>
              <w:tc>
                <w:tcPr>
                  <w:tcW w:w="2309" w:type="pct"/>
                  <w:shd w:val="clear" w:color="auto" w:fill="auto"/>
                  <w:vAlign w:val="center"/>
                </w:tcPr>
                <w:p w14:paraId="1ADCC408">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ascii="Times New Roman" w:hAnsi="Times New Roman" w:eastAsia="宋体" w:cs="Times New Roman"/>
                      <w:b w:val="0"/>
                      <w:bCs w:val="0"/>
                      <w:color w:val="auto"/>
                      <w:spacing w:val="0"/>
                      <w:w w:val="100"/>
                      <w:position w:val="0"/>
                      <w:sz w:val="21"/>
                      <w:szCs w:val="21"/>
                      <w:highlight w:val="none"/>
                      <w:lang w:val="en-US" w:eastAsia="zh-CN"/>
                    </w:rPr>
                    <w:t>0</w:t>
                  </w:r>
                </w:p>
              </w:tc>
            </w:tr>
          </w:tbl>
          <w:p w14:paraId="360185F9">
            <w:pPr>
              <w:keepNext w:val="0"/>
              <w:keepLines w:val="0"/>
              <w:pageBreakBefore w:val="0"/>
              <w:widowControl w:val="0"/>
              <w:shd w:val="clear"/>
              <w:kinsoku/>
              <w:wordWrap/>
              <w:overflowPunct/>
              <w:topLinePunct w:val="0"/>
              <w:autoSpaceDE/>
              <w:autoSpaceDN/>
              <w:bidi w:val="0"/>
              <w:adjustRightInd/>
              <w:snapToGrid/>
              <w:ind w:leftChars="0" w:firstLine="420" w:firstLineChars="200"/>
              <w:textAlignment w:val="auto"/>
              <w:rPr>
                <w:rFonts w:hint="default"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注：本次排放量核算均已折算至满负荷工况。</w:t>
            </w:r>
          </w:p>
          <w:p w14:paraId="1283997F">
            <w:pPr>
              <w:keepNext w:val="0"/>
              <w:keepLines w:val="0"/>
              <w:pageBreakBefore w:val="0"/>
              <w:widowControl w:val="0"/>
              <w:kinsoku/>
              <w:wordWrap/>
              <w:overflowPunct/>
              <w:topLinePunct w:val="0"/>
              <w:autoSpaceDE/>
              <w:autoSpaceDN/>
              <w:bidi w:val="0"/>
              <w:adjustRightInd/>
              <w:snapToGrid/>
              <w:ind w:leftChars="0" w:firstLine="420" w:firstLineChars="200"/>
              <w:textAlignment w:val="auto"/>
              <w:rPr>
                <w:rFonts w:hint="eastAsia"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根据检测数据现有工程满负荷工况下，二氧化硫排放量为0.155t/a、颗粒物排放量为1.211t/a、非甲烷总烃排放量为6.529t/a、甲醇排放量为2.474t/a、氨排放量为0.848t/a、甲醛排放量为1.290t/a、硫化氢排放量0.189t/a、氯化氢排放量为1.977t/a。</w:t>
            </w:r>
          </w:p>
          <w:p w14:paraId="0FC89EAA">
            <w:pPr>
              <w:pStyle w:val="10"/>
              <w:keepNext w:val="0"/>
              <w:keepLines w:val="0"/>
              <w:pageBreakBefore w:val="0"/>
              <w:widowControl w:val="0"/>
              <w:kinsoku/>
              <w:wordWrap/>
              <w:overflowPunct/>
              <w:topLinePunct w:val="0"/>
              <w:autoSpaceDE/>
              <w:autoSpaceDN/>
              <w:bidi w:val="0"/>
              <w:adjustRightInd w:val="0"/>
              <w:snapToGrid w:val="0"/>
              <w:ind w:firstLine="420" w:firstLineChars="20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厂界无组织排放废气中总悬浮颗粒物、非甲</w:t>
            </w:r>
            <w:r>
              <w:rPr>
                <w:rFonts w:hint="default" w:ascii="Times New Roman" w:hAnsi="Times New Roman" w:eastAsia="宋体" w:cs="Times New Roman"/>
                <w:color w:val="auto"/>
                <w:spacing w:val="0"/>
                <w:w w:val="100"/>
                <w:position w:val="0"/>
                <w:sz w:val="21"/>
                <w:szCs w:val="21"/>
                <w:highlight w:val="none"/>
                <w:lang w:val="en-US" w:eastAsia="zh-CN"/>
              </w:rPr>
              <w:t>烷总烃、氨、硫化氢、臭气浓度根据</w:t>
            </w:r>
            <w:r>
              <w:rPr>
                <w:rFonts w:hint="default" w:ascii="Times New Roman" w:hAnsi="Times New Roman" w:eastAsia="宋体" w:cs="Times New Roman"/>
                <w:color w:val="auto"/>
                <w:sz w:val="21"/>
                <w:szCs w:val="21"/>
                <w:highlight w:val="none"/>
                <w:lang w:val="en-US" w:eastAsia="zh-CN"/>
              </w:rPr>
              <w:t>2026年石家庄东华金龙化工有限公司甘氨酸深加工项目验收监测报告（监测公司：河北环海检测科技有限公司，报告编号：环检验（2026）第003号，生产工况为正常）</w:t>
            </w:r>
            <w:r>
              <w:rPr>
                <w:rFonts w:hint="eastAsia" w:ascii="Times New Roman" w:hAnsi="Times New Roman" w:eastAsia="宋体" w:cs="Times New Roman"/>
                <w:color w:val="auto"/>
                <w:spacing w:val="0"/>
                <w:w w:val="100"/>
                <w:position w:val="0"/>
                <w:sz w:val="21"/>
                <w:szCs w:val="21"/>
                <w:highlight w:val="none"/>
                <w:lang w:val="en-US" w:eastAsia="zh-CN"/>
              </w:rPr>
              <w:t>。</w:t>
            </w:r>
            <w:r>
              <w:rPr>
                <w:rFonts w:hint="eastAsia" w:cs="Times New Roman"/>
                <w:color w:val="auto"/>
                <w:spacing w:val="0"/>
                <w:w w:val="100"/>
                <w:position w:val="0"/>
                <w:sz w:val="21"/>
                <w:szCs w:val="21"/>
                <w:highlight w:val="none"/>
                <w:lang w:val="en-US" w:eastAsia="zh-CN"/>
              </w:rPr>
              <w:t>厂界无组织排放废气中氯气、氯化氢浓度值根据2</w:t>
            </w:r>
            <w:r>
              <w:rPr>
                <w:rFonts w:hint="default" w:ascii="Times New Roman" w:hAnsi="Times New Roman" w:eastAsia="宋体" w:cs="Times New Roman"/>
                <w:color w:val="auto"/>
                <w:spacing w:val="0"/>
                <w:w w:val="100"/>
                <w:position w:val="0"/>
                <w:sz w:val="21"/>
                <w:szCs w:val="21"/>
                <w:highlight w:val="none"/>
                <w:lang w:val="en-US" w:eastAsia="zh-CN"/>
              </w:rPr>
              <w:t>026年石家庄东华金龙化工有限公司60kt/a液体氯乙酸升级改造项目验收监测报告（监测公司：河北环海检测科技有限公司，报告编号：环检验（2026）第002号）。</w:t>
            </w:r>
            <w:r>
              <w:rPr>
                <w:rFonts w:hint="eastAsia" w:ascii="Times New Roman" w:hAnsi="Times New Roman" w:eastAsia="宋体" w:cs="Times New Roman"/>
                <w:color w:val="auto"/>
                <w:spacing w:val="0"/>
                <w:w w:val="100"/>
                <w:position w:val="0"/>
                <w:sz w:val="21"/>
                <w:szCs w:val="21"/>
                <w:highlight w:val="none"/>
                <w:lang w:val="en-US" w:eastAsia="zh-CN"/>
              </w:rPr>
              <w:t>厂界无组织排放废气中甲醛、甲醇、二氧化硫、硫酸雾等其他污染物浓度值根据2025年第三季度监测报告（监测公司：河北华盖环保科技有限公司，报告编号：HGHB[自]字2025641号，生产工况为50%）。</w:t>
            </w:r>
          </w:p>
          <w:p w14:paraId="44565084">
            <w:pPr>
              <w:pStyle w:val="10"/>
              <w:keepNext w:val="0"/>
              <w:keepLines w:val="0"/>
              <w:pageBreakBefore w:val="0"/>
              <w:widowControl w:val="0"/>
              <w:kinsoku/>
              <w:wordWrap/>
              <w:overflowPunct/>
              <w:topLinePunct w:val="0"/>
              <w:autoSpaceDE/>
              <w:autoSpaceDN/>
              <w:bidi w:val="0"/>
              <w:adjustRightInd w:val="0"/>
              <w:snapToGrid w:val="0"/>
              <w:ind w:firstLine="420" w:firstLineChars="200"/>
              <w:jc w:val="both"/>
              <w:textAlignment w:val="baseline"/>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厂界无组织废气中</w:t>
            </w:r>
            <w:r>
              <w:rPr>
                <w:rFonts w:hint="default" w:ascii="Times New Roman" w:hAnsi="Times New Roman" w:eastAsia="宋体" w:cs="Times New Roman"/>
                <w:color w:val="auto"/>
                <w:spacing w:val="0"/>
                <w:w w:val="100"/>
                <w:position w:val="0"/>
                <w:sz w:val="21"/>
                <w:szCs w:val="21"/>
                <w:highlight w:val="none"/>
                <w:lang w:val="en-US" w:eastAsia="zh-CN"/>
              </w:rPr>
              <w:t>总悬浮颗粒物浓度最大值为335μg/m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甲醛ND（未检出）</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甲醇ND（未检出）</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氯气ND（未检出）</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氯化氢ND（未检出）</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硫酸雾ND（未检出）</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二氧化硫0.019</w:t>
            </w:r>
            <w:r>
              <w:rPr>
                <w:rFonts w:hint="default" w:ascii="Times New Roman" w:hAnsi="Times New Roman" w:eastAsia="宋体" w:cs="Times New Roman"/>
                <w:color w:val="auto"/>
                <w:spacing w:val="0"/>
                <w:w w:val="100"/>
                <w:position w:val="0"/>
                <w:sz w:val="21"/>
                <w:szCs w:val="21"/>
                <w:highlight w:val="none"/>
                <w:lang w:val="en-US" w:eastAsia="zh-CN"/>
              </w:rPr>
              <w:t>mg/m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满足《大气污染物综合排放标准》GB16297-1996表2无组织排放监控浓度限值要求；</w:t>
            </w:r>
            <w:r>
              <w:rPr>
                <w:rFonts w:hint="default" w:ascii="Times New Roman" w:hAnsi="Times New Roman" w:eastAsia="宋体" w:cs="Times New Roman"/>
                <w:color w:val="auto"/>
                <w:spacing w:val="0"/>
                <w:w w:val="100"/>
                <w:position w:val="0"/>
                <w:sz w:val="21"/>
                <w:szCs w:val="21"/>
                <w:highlight w:val="none"/>
                <w:lang w:val="en-US" w:eastAsia="zh-CN"/>
              </w:rPr>
              <w:t>非甲烷总烃浓度最大值1.29mg/m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满足《工业企业挥发性有机物排放控制标准》DB13/2322-2016表2企业边界大气污染物浓度限值；</w:t>
            </w:r>
            <w:r>
              <w:rPr>
                <w:rFonts w:hint="default" w:ascii="Times New Roman" w:hAnsi="Times New Roman" w:eastAsia="宋体" w:cs="Times New Roman"/>
                <w:color w:val="auto"/>
                <w:spacing w:val="0"/>
                <w:w w:val="100"/>
                <w:position w:val="0"/>
                <w:sz w:val="21"/>
                <w:szCs w:val="21"/>
                <w:highlight w:val="none"/>
                <w:lang w:val="en-US" w:eastAsia="zh-CN"/>
              </w:rPr>
              <w:t>氨最大值为0.235mg/m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，硫化氢最大值为0.009mg/m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，臭气浓度&lt;10（无量纲），</w:t>
            </w:r>
            <w:r>
              <w:rPr>
                <w:rFonts w:hint="eastAsia" w:ascii="Times New Roman" w:hAnsi="Times New Roman" w:eastAsia="宋体" w:cs="Times New Roman"/>
                <w:color w:val="auto"/>
                <w:spacing w:val="0"/>
                <w:w w:val="100"/>
                <w:position w:val="0"/>
                <w:sz w:val="21"/>
                <w:szCs w:val="21"/>
                <w:highlight w:val="none"/>
                <w:lang w:val="en-US" w:eastAsia="zh-CN"/>
              </w:rPr>
              <w:t>满足《恶臭污染物排放标准》GB14554-1993表1二级（新扩改建）恶臭污染物厂界标准值要求；厂区内监控点非甲烷总烃1小时浓度均值最大值1.87</w:t>
            </w:r>
            <w:r>
              <w:rPr>
                <w:rFonts w:hint="default" w:ascii="Times New Roman" w:hAnsi="Times New Roman" w:eastAsia="宋体" w:cs="Times New Roman"/>
                <w:color w:val="auto"/>
                <w:spacing w:val="0"/>
                <w:w w:val="100"/>
                <w:position w:val="0"/>
                <w:sz w:val="21"/>
                <w:szCs w:val="21"/>
                <w:highlight w:val="none"/>
                <w:lang w:val="en-US" w:eastAsia="zh-CN"/>
              </w:rPr>
              <w:t>mg/m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任意一次浓度值最大值1.84</w:t>
            </w:r>
            <w:r>
              <w:rPr>
                <w:rFonts w:hint="default" w:ascii="Times New Roman" w:hAnsi="Times New Roman" w:eastAsia="宋体" w:cs="Times New Roman"/>
                <w:color w:val="auto"/>
                <w:spacing w:val="0"/>
                <w:w w:val="100"/>
                <w:position w:val="0"/>
                <w:sz w:val="21"/>
                <w:szCs w:val="21"/>
                <w:highlight w:val="none"/>
                <w:lang w:val="en-US" w:eastAsia="zh-CN"/>
              </w:rPr>
              <w:t>mg/m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w:t>
            </w:r>
            <w:r>
              <w:rPr>
                <w:rFonts w:hint="eastAsia" w:ascii="Times New Roman" w:hAnsi="Times New Roman" w:eastAsia="宋体" w:cs="Times New Roman"/>
                <w:color w:val="auto"/>
                <w:spacing w:val="0"/>
                <w:w w:val="100"/>
                <w:position w:val="0"/>
                <w:sz w:val="21"/>
                <w:szCs w:val="21"/>
                <w:highlight w:val="none"/>
                <w:lang w:val="en-US" w:eastAsia="zh-CN"/>
              </w:rPr>
              <w:t>满足《挥发性有机物无组织排放控制标准》GB37822-2019中要求。</w:t>
            </w:r>
          </w:p>
          <w:p w14:paraId="437BA800">
            <w:pPr>
              <w:keepNext w:val="0"/>
              <w:keepLines w:val="0"/>
              <w:pageBreakBefore w:val="0"/>
              <w:widowControl w:val="0"/>
              <w:kinsoku/>
              <w:wordWrap/>
              <w:overflowPunct/>
              <w:topLinePunct w:val="0"/>
              <w:autoSpaceDE/>
              <w:autoSpaceDN/>
              <w:bidi w:val="0"/>
              <w:adjustRightInd/>
              <w:snapToGrid/>
              <w:ind w:leftChars="0" w:firstLine="420" w:firstLineChars="200"/>
              <w:textAlignment w:val="auto"/>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（3）噪声</w:t>
            </w:r>
          </w:p>
          <w:p w14:paraId="5BBFD089">
            <w:pPr>
              <w:pageBreakBefore w:val="0"/>
              <w:widowControl w:val="0"/>
              <w:shd w:val="clear"/>
              <w:kinsoku/>
              <w:wordWrap/>
              <w:overflowPunct/>
              <w:topLinePunct w:val="0"/>
              <w:autoSpaceDE/>
              <w:autoSpaceDN/>
              <w:bidi w:val="0"/>
              <w:adjustRightInd/>
              <w:snapToGrid/>
              <w:spacing w:line="360" w:lineRule="auto"/>
              <w:ind w:leftChars="0" w:firstLine="420" w:firstLineChars="200"/>
              <w:textAlignment w:val="auto"/>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现有工程噪声污染源来自于离心机、搅拌机、烘干机、</w:t>
            </w:r>
            <w:r>
              <w:rPr>
                <w:rFonts w:hint="eastAsia" w:cs="Times New Roman"/>
                <w:color w:val="auto"/>
                <w:spacing w:val="0"/>
                <w:w w:val="100"/>
                <w:position w:val="0"/>
                <w:sz w:val="21"/>
                <w:szCs w:val="21"/>
                <w:highlight w:val="none"/>
                <w:lang w:eastAsia="zh-CN"/>
              </w:rPr>
              <w:t>筛分</w:t>
            </w:r>
            <w:r>
              <w:rPr>
                <w:rFonts w:hint="default" w:ascii="Times New Roman" w:hAnsi="Times New Roman" w:eastAsia="宋体" w:cs="Times New Roman"/>
                <w:color w:val="auto"/>
                <w:spacing w:val="0"/>
                <w:w w:val="100"/>
                <w:position w:val="0"/>
                <w:sz w:val="21"/>
                <w:szCs w:val="21"/>
                <w:highlight w:val="none"/>
              </w:rPr>
              <w:t>机、风机、泵等生产设备，根据</w:t>
            </w:r>
            <w:r>
              <w:rPr>
                <w:rFonts w:hint="eastAsia"/>
                <w:color w:val="auto"/>
                <w:sz w:val="21"/>
                <w:szCs w:val="21"/>
                <w:highlight w:val="none"/>
                <w:lang w:val="en-US" w:eastAsia="zh-CN"/>
              </w:rPr>
              <w:t>石家庄东华金龙化工有限公司60kt/a液体氯乙酸升级改造项目验收监测报告</w:t>
            </w:r>
            <w:r>
              <w:rPr>
                <w:rFonts w:hint="default"/>
                <w:color w:val="auto"/>
                <w:sz w:val="21"/>
                <w:szCs w:val="21"/>
                <w:highlight w:val="none"/>
                <w:lang w:val="en-US" w:eastAsia="zh-CN"/>
              </w:rPr>
              <w:t>（监测公司：</w:t>
            </w:r>
            <w:r>
              <w:rPr>
                <w:rFonts w:hint="eastAsia"/>
                <w:color w:val="auto"/>
                <w:sz w:val="21"/>
                <w:szCs w:val="21"/>
                <w:highlight w:val="none"/>
                <w:lang w:val="en-US" w:eastAsia="zh-CN"/>
              </w:rPr>
              <w:t>河北环海检测科技有限公司</w:t>
            </w:r>
            <w:r>
              <w:rPr>
                <w:rFonts w:hint="default"/>
                <w:color w:val="auto"/>
                <w:sz w:val="21"/>
                <w:szCs w:val="21"/>
                <w:highlight w:val="none"/>
                <w:lang w:val="en-US" w:eastAsia="zh-CN"/>
              </w:rPr>
              <w:t>，报告编号：</w:t>
            </w:r>
            <w:r>
              <w:rPr>
                <w:rFonts w:hint="eastAsia"/>
                <w:color w:val="auto"/>
                <w:sz w:val="21"/>
                <w:szCs w:val="21"/>
                <w:highlight w:val="none"/>
                <w:lang w:val="en-US" w:eastAsia="zh-CN"/>
              </w:rPr>
              <w:t>环检验（2026）第002号</w:t>
            </w:r>
            <w:r>
              <w:rPr>
                <w:rFonts w:hint="default"/>
                <w:color w:val="auto"/>
                <w:sz w:val="21"/>
                <w:szCs w:val="21"/>
                <w:highlight w:val="none"/>
                <w:lang w:val="en-US" w:eastAsia="zh-CN"/>
              </w:rPr>
              <w:t>）</w:t>
            </w:r>
            <w:r>
              <w:rPr>
                <w:rFonts w:hint="eastAsia"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现有工程噪声检测结果如下：</w:t>
            </w:r>
          </w:p>
          <w:p w14:paraId="7F92BA93">
            <w:pPr>
              <w:pStyle w:val="7"/>
              <w:pageBreakBefore w:val="0"/>
              <w:widowControl w:val="0"/>
              <w:numPr>
                <w:ilvl w:val="5"/>
                <w:numId w:val="0"/>
              </w:numPr>
              <w:kinsoku/>
              <w:wordWrap/>
              <w:overflowPunct/>
              <w:topLinePunct w:val="0"/>
              <w:autoSpaceDE/>
              <w:autoSpaceDN/>
              <w:bidi w:val="0"/>
              <w:adjustRightInd/>
              <w:snapToGrid/>
              <w:spacing w:beforeLines="0" w:afterLines="0" w:line="360" w:lineRule="auto"/>
              <w:ind w:leftChars="0" w:firstLine="422" w:firstLineChars="200"/>
              <w:jc w:val="center"/>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 xml:space="preserve">表 </w:t>
            </w:r>
            <w:r>
              <w:rPr>
                <w:rFonts w:hint="eastAsia" w:ascii="Times New Roman" w:hAnsi="Times New Roman" w:eastAsia="宋体" w:cs="Times New Roman"/>
                <w:color w:val="auto"/>
                <w:spacing w:val="0"/>
                <w:w w:val="100"/>
                <w:position w:val="0"/>
                <w:sz w:val="21"/>
                <w:szCs w:val="21"/>
                <w:highlight w:val="none"/>
                <w:lang w:val="en-US" w:eastAsia="zh-CN"/>
              </w:rPr>
              <w:t>2-2</w:t>
            </w:r>
            <w:r>
              <w:rPr>
                <w:rFonts w:hint="eastAsia" w:cs="Times New Roman"/>
                <w:color w:val="auto"/>
                <w:spacing w:val="0"/>
                <w:w w:val="100"/>
                <w:position w:val="0"/>
                <w:sz w:val="21"/>
                <w:szCs w:val="21"/>
                <w:highlight w:val="none"/>
                <w:lang w:val="en-US" w:eastAsia="zh-CN"/>
              </w:rPr>
              <w:t>1</w:t>
            </w:r>
            <w:r>
              <w:rPr>
                <w:rFonts w:hint="default" w:ascii="Times New Roman" w:hAnsi="Times New Roman" w:eastAsia="宋体" w:cs="Times New Roman"/>
                <w:color w:val="auto"/>
                <w:spacing w:val="0"/>
                <w:w w:val="100"/>
                <w:position w:val="0"/>
                <w:sz w:val="21"/>
                <w:szCs w:val="21"/>
                <w:highlight w:val="none"/>
                <w:lang w:val="en-US" w:eastAsia="zh-CN"/>
              </w:rPr>
              <w:t xml:space="preserve"> 现有工程噪声检测结果    单位：dB（A）</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3"/>
              <w:gridCol w:w="1898"/>
              <w:gridCol w:w="809"/>
              <w:gridCol w:w="769"/>
              <w:gridCol w:w="952"/>
              <w:gridCol w:w="758"/>
              <w:gridCol w:w="780"/>
              <w:gridCol w:w="939"/>
            </w:tblGrid>
            <w:tr w14:paraId="024C1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688" w:type="pct"/>
                  <w:vMerge w:val="restart"/>
                  <w:vAlign w:val="center"/>
                </w:tcPr>
                <w:p w14:paraId="0DA8D86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时间</w:t>
                  </w:r>
                </w:p>
              </w:tc>
              <w:tc>
                <w:tcPr>
                  <w:tcW w:w="1185" w:type="pct"/>
                  <w:vMerge w:val="restart"/>
                  <w:vAlign w:val="center"/>
                </w:tcPr>
                <w:p w14:paraId="251BCF8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点位</w:t>
                  </w:r>
                </w:p>
              </w:tc>
              <w:tc>
                <w:tcPr>
                  <w:tcW w:w="1579" w:type="pct"/>
                  <w:gridSpan w:val="3"/>
                  <w:vAlign w:val="center"/>
                </w:tcPr>
                <w:p w14:paraId="6913DDD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昼间</w:t>
                  </w:r>
                </w:p>
              </w:tc>
              <w:tc>
                <w:tcPr>
                  <w:tcW w:w="1546" w:type="pct"/>
                  <w:gridSpan w:val="3"/>
                  <w:vAlign w:val="center"/>
                </w:tcPr>
                <w:p w14:paraId="1123C6B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夜间</w:t>
                  </w:r>
                </w:p>
              </w:tc>
            </w:tr>
            <w:tr w14:paraId="419B6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688" w:type="pct"/>
                  <w:vMerge w:val="continue"/>
                  <w:vAlign w:val="center"/>
                </w:tcPr>
                <w:p w14:paraId="4ADEE9C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p>
              </w:tc>
              <w:tc>
                <w:tcPr>
                  <w:tcW w:w="1185" w:type="pct"/>
                  <w:vMerge w:val="continue"/>
                  <w:vAlign w:val="center"/>
                </w:tcPr>
                <w:p w14:paraId="6E34F87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p>
              </w:tc>
              <w:tc>
                <w:tcPr>
                  <w:tcW w:w="505" w:type="pct"/>
                  <w:vAlign w:val="center"/>
                </w:tcPr>
                <w:p w14:paraId="20D75AA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现状值</w:t>
                  </w:r>
                </w:p>
              </w:tc>
              <w:tc>
                <w:tcPr>
                  <w:tcW w:w="480" w:type="pct"/>
                  <w:vAlign w:val="center"/>
                </w:tcPr>
                <w:p w14:paraId="0CDC97E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标准值</w:t>
                  </w:r>
                </w:p>
              </w:tc>
              <w:tc>
                <w:tcPr>
                  <w:tcW w:w="594" w:type="pct"/>
                  <w:vAlign w:val="center"/>
                </w:tcPr>
                <w:p w14:paraId="4E7A17B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达标情况</w:t>
                  </w:r>
                </w:p>
              </w:tc>
              <w:tc>
                <w:tcPr>
                  <w:tcW w:w="473" w:type="pct"/>
                  <w:vAlign w:val="center"/>
                </w:tcPr>
                <w:p w14:paraId="0750402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现状值</w:t>
                  </w:r>
                </w:p>
              </w:tc>
              <w:tc>
                <w:tcPr>
                  <w:tcW w:w="487" w:type="pct"/>
                  <w:vAlign w:val="center"/>
                </w:tcPr>
                <w:p w14:paraId="653F647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标准值</w:t>
                  </w:r>
                </w:p>
              </w:tc>
              <w:tc>
                <w:tcPr>
                  <w:tcW w:w="586" w:type="pct"/>
                  <w:vAlign w:val="center"/>
                </w:tcPr>
                <w:p w14:paraId="7E595B6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达标情况</w:t>
                  </w:r>
                </w:p>
              </w:tc>
            </w:tr>
            <w:tr w14:paraId="2E55E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8" w:type="pct"/>
                  <w:vMerge w:val="restart"/>
                  <w:vAlign w:val="center"/>
                </w:tcPr>
                <w:p w14:paraId="289DFC7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202</w:t>
                  </w:r>
                  <w:r>
                    <w:rPr>
                      <w:rFonts w:hint="eastAsia" w:cs="Times New Roman"/>
                      <w:color w:val="auto"/>
                      <w:spacing w:val="0"/>
                      <w:w w:val="100"/>
                      <w:position w:val="0"/>
                      <w:sz w:val="21"/>
                      <w:szCs w:val="21"/>
                      <w:highlight w:val="none"/>
                      <w:lang w:val="en-US" w:eastAsia="zh-CN"/>
                    </w:rPr>
                    <w:t>6.4</w:t>
                  </w:r>
                  <w:r>
                    <w:rPr>
                      <w:rFonts w:hint="eastAsia" w:ascii="Times New Roman" w:hAnsi="Times New Roman" w:eastAsia="宋体" w:cs="Times New Roman"/>
                      <w:color w:val="auto"/>
                      <w:spacing w:val="0"/>
                      <w:w w:val="100"/>
                      <w:position w:val="0"/>
                      <w:sz w:val="21"/>
                      <w:szCs w:val="21"/>
                      <w:highlight w:val="none"/>
                      <w:lang w:val="en-US" w:eastAsia="zh-CN"/>
                    </w:rPr>
                    <w:t>.</w:t>
                  </w:r>
                  <w:r>
                    <w:rPr>
                      <w:rFonts w:hint="eastAsia" w:cs="Times New Roman"/>
                      <w:color w:val="auto"/>
                      <w:spacing w:val="0"/>
                      <w:w w:val="100"/>
                      <w:position w:val="0"/>
                      <w:sz w:val="21"/>
                      <w:szCs w:val="21"/>
                      <w:highlight w:val="none"/>
                      <w:lang w:val="en-US" w:eastAsia="zh-CN"/>
                    </w:rPr>
                    <w:t>1~</w:t>
                  </w:r>
                  <w:r>
                    <w:rPr>
                      <w:rFonts w:hint="default" w:ascii="Times New Roman" w:hAnsi="Times New Roman" w:eastAsia="宋体" w:cs="Times New Roman"/>
                      <w:color w:val="auto"/>
                      <w:spacing w:val="0"/>
                      <w:w w:val="100"/>
                      <w:position w:val="0"/>
                      <w:sz w:val="21"/>
                      <w:szCs w:val="21"/>
                      <w:highlight w:val="none"/>
                      <w:lang w:val="en-US" w:eastAsia="zh-CN"/>
                    </w:rPr>
                    <w:t>202</w:t>
                  </w:r>
                  <w:r>
                    <w:rPr>
                      <w:rFonts w:hint="eastAsia" w:cs="Times New Roman"/>
                      <w:color w:val="auto"/>
                      <w:spacing w:val="0"/>
                      <w:w w:val="100"/>
                      <w:position w:val="0"/>
                      <w:sz w:val="21"/>
                      <w:szCs w:val="21"/>
                      <w:highlight w:val="none"/>
                      <w:lang w:val="en-US" w:eastAsia="zh-CN"/>
                    </w:rPr>
                    <w:t>6.4</w:t>
                  </w:r>
                  <w:r>
                    <w:rPr>
                      <w:rFonts w:hint="eastAsia" w:ascii="Times New Roman" w:hAnsi="Times New Roman" w:eastAsia="宋体" w:cs="Times New Roman"/>
                      <w:color w:val="auto"/>
                      <w:spacing w:val="0"/>
                      <w:w w:val="100"/>
                      <w:position w:val="0"/>
                      <w:sz w:val="21"/>
                      <w:szCs w:val="21"/>
                      <w:highlight w:val="none"/>
                      <w:lang w:val="en-US" w:eastAsia="zh-CN"/>
                    </w:rPr>
                    <w:t>.</w:t>
                  </w:r>
                  <w:r>
                    <w:rPr>
                      <w:rFonts w:hint="eastAsia" w:cs="Times New Roman"/>
                      <w:color w:val="auto"/>
                      <w:spacing w:val="0"/>
                      <w:w w:val="100"/>
                      <w:position w:val="0"/>
                      <w:sz w:val="21"/>
                      <w:szCs w:val="21"/>
                      <w:highlight w:val="none"/>
                      <w:lang w:val="en-US" w:eastAsia="zh-CN"/>
                    </w:rPr>
                    <w:t>2</w:t>
                  </w:r>
                </w:p>
              </w:tc>
              <w:tc>
                <w:tcPr>
                  <w:tcW w:w="1185" w:type="pct"/>
                  <w:vAlign w:val="center"/>
                </w:tcPr>
                <w:p w14:paraId="5B66966D">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1</w:t>
                  </w:r>
                  <w:r>
                    <w:rPr>
                      <w:rFonts w:hint="default" w:ascii="Times New Roman" w:hAnsi="Times New Roman" w:eastAsia="宋体" w:cs="Times New Roman"/>
                      <w:color w:val="auto"/>
                      <w:spacing w:val="0"/>
                      <w:w w:val="100"/>
                      <w:position w:val="0"/>
                      <w:sz w:val="21"/>
                      <w:szCs w:val="21"/>
                      <w:highlight w:val="none"/>
                      <w:lang w:val="en-US" w:eastAsia="zh-CN"/>
                    </w:rPr>
                    <w:t>#（南厂界）</w:t>
                  </w:r>
                </w:p>
              </w:tc>
              <w:tc>
                <w:tcPr>
                  <w:tcW w:w="505" w:type="pct"/>
                  <w:vAlign w:val="center"/>
                </w:tcPr>
                <w:p w14:paraId="365403FD">
                  <w:pPr>
                    <w:snapToGrid w:val="0"/>
                    <w:spacing w:line="280" w:lineRule="exact"/>
                    <w:ind w:left="-10" w:leftChars="-4"/>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55</w:t>
                  </w:r>
                </w:p>
              </w:tc>
              <w:tc>
                <w:tcPr>
                  <w:tcW w:w="480" w:type="pct"/>
                  <w:vAlign w:val="center"/>
                </w:tcPr>
                <w:p w14:paraId="79B75FB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65</w:t>
                  </w:r>
                </w:p>
              </w:tc>
              <w:tc>
                <w:tcPr>
                  <w:tcW w:w="594" w:type="pct"/>
                  <w:vAlign w:val="center"/>
                </w:tcPr>
                <w:p w14:paraId="424B127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c>
                <w:tcPr>
                  <w:tcW w:w="473" w:type="pct"/>
                  <w:vAlign w:val="center"/>
                </w:tcPr>
                <w:p w14:paraId="46A951E0">
                  <w:pPr>
                    <w:snapToGrid w:val="0"/>
                    <w:spacing w:line="280" w:lineRule="exact"/>
                    <w:ind w:left="-10" w:leftChars="-4"/>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47</w:t>
                  </w:r>
                </w:p>
              </w:tc>
              <w:tc>
                <w:tcPr>
                  <w:tcW w:w="487" w:type="pct"/>
                  <w:vAlign w:val="center"/>
                </w:tcPr>
                <w:p w14:paraId="6DFBCBD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55</w:t>
                  </w:r>
                </w:p>
              </w:tc>
              <w:tc>
                <w:tcPr>
                  <w:tcW w:w="586" w:type="pct"/>
                  <w:vAlign w:val="center"/>
                </w:tcPr>
                <w:p w14:paraId="1535E99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0BB32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8" w:type="pct"/>
                  <w:vMerge w:val="continue"/>
                  <w:vAlign w:val="center"/>
                </w:tcPr>
                <w:p w14:paraId="6D4994B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1185" w:type="pct"/>
                  <w:vAlign w:val="center"/>
                </w:tcPr>
                <w:p w14:paraId="38979B50">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2</w:t>
                  </w:r>
                  <w:r>
                    <w:rPr>
                      <w:rFonts w:hint="default" w:ascii="Times New Roman" w:hAnsi="Times New Roman" w:eastAsia="宋体" w:cs="Times New Roman"/>
                      <w:color w:val="auto"/>
                      <w:spacing w:val="0"/>
                      <w:w w:val="100"/>
                      <w:position w:val="0"/>
                      <w:sz w:val="21"/>
                      <w:szCs w:val="21"/>
                      <w:highlight w:val="none"/>
                      <w:lang w:val="en-US" w:eastAsia="zh-CN"/>
                    </w:rPr>
                    <w:t>#（西厂界）</w:t>
                  </w:r>
                </w:p>
              </w:tc>
              <w:tc>
                <w:tcPr>
                  <w:tcW w:w="505" w:type="pct"/>
                  <w:vAlign w:val="center"/>
                </w:tcPr>
                <w:p w14:paraId="712A4E66">
                  <w:pPr>
                    <w:snapToGrid w:val="0"/>
                    <w:spacing w:line="280" w:lineRule="exact"/>
                    <w:ind w:left="-10" w:leftChars="-4"/>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56</w:t>
                  </w:r>
                </w:p>
              </w:tc>
              <w:tc>
                <w:tcPr>
                  <w:tcW w:w="480" w:type="pct"/>
                  <w:vAlign w:val="center"/>
                </w:tcPr>
                <w:p w14:paraId="71B0436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65</w:t>
                  </w:r>
                </w:p>
              </w:tc>
              <w:tc>
                <w:tcPr>
                  <w:tcW w:w="594" w:type="pct"/>
                  <w:vAlign w:val="center"/>
                </w:tcPr>
                <w:p w14:paraId="4A54578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c>
                <w:tcPr>
                  <w:tcW w:w="473" w:type="pct"/>
                  <w:vAlign w:val="center"/>
                </w:tcPr>
                <w:p w14:paraId="7D5C37B7">
                  <w:pPr>
                    <w:snapToGrid w:val="0"/>
                    <w:spacing w:line="280" w:lineRule="exact"/>
                    <w:ind w:left="-10" w:leftChars="-4"/>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52</w:t>
                  </w:r>
                </w:p>
              </w:tc>
              <w:tc>
                <w:tcPr>
                  <w:tcW w:w="487" w:type="pct"/>
                  <w:vAlign w:val="center"/>
                </w:tcPr>
                <w:p w14:paraId="52FDEF3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55</w:t>
                  </w:r>
                </w:p>
              </w:tc>
              <w:tc>
                <w:tcPr>
                  <w:tcW w:w="586" w:type="pct"/>
                  <w:vAlign w:val="center"/>
                </w:tcPr>
                <w:p w14:paraId="72DF570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r w14:paraId="6DD377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8" w:type="pct"/>
                  <w:vMerge w:val="continue"/>
                  <w:vAlign w:val="center"/>
                </w:tcPr>
                <w:p w14:paraId="59D4066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1185" w:type="pct"/>
                  <w:vAlign w:val="center"/>
                </w:tcPr>
                <w:p w14:paraId="091A9F5E">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ascii="Times New Roman" w:hAnsi="Times New Roman" w:eastAsia="宋体" w:cs="Times New Roman"/>
                      <w:color w:val="auto"/>
                      <w:spacing w:val="0"/>
                      <w:w w:val="100"/>
                      <w:position w:val="0"/>
                      <w:sz w:val="21"/>
                      <w:szCs w:val="21"/>
                      <w:highlight w:val="none"/>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#（北厂界）</w:t>
                  </w:r>
                </w:p>
              </w:tc>
              <w:tc>
                <w:tcPr>
                  <w:tcW w:w="505" w:type="pct"/>
                  <w:vAlign w:val="center"/>
                </w:tcPr>
                <w:p w14:paraId="7D4DFF19">
                  <w:pPr>
                    <w:snapToGrid w:val="0"/>
                    <w:spacing w:line="280" w:lineRule="exact"/>
                    <w:ind w:left="-10" w:leftChars="-4"/>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60</w:t>
                  </w:r>
                </w:p>
              </w:tc>
              <w:tc>
                <w:tcPr>
                  <w:tcW w:w="480" w:type="pct"/>
                  <w:vAlign w:val="center"/>
                </w:tcPr>
                <w:p w14:paraId="5034774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65</w:t>
                  </w:r>
                </w:p>
              </w:tc>
              <w:tc>
                <w:tcPr>
                  <w:tcW w:w="594" w:type="pct"/>
                  <w:vAlign w:val="center"/>
                </w:tcPr>
                <w:p w14:paraId="7790C0C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c>
                <w:tcPr>
                  <w:tcW w:w="473" w:type="pct"/>
                  <w:vAlign w:val="center"/>
                </w:tcPr>
                <w:p w14:paraId="4533E629">
                  <w:pPr>
                    <w:snapToGrid w:val="0"/>
                    <w:spacing w:line="280" w:lineRule="exact"/>
                    <w:ind w:left="-10" w:leftChars="-4"/>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51</w:t>
                  </w:r>
                </w:p>
              </w:tc>
              <w:tc>
                <w:tcPr>
                  <w:tcW w:w="487" w:type="pct"/>
                  <w:vAlign w:val="center"/>
                </w:tcPr>
                <w:p w14:paraId="04F9066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55</w:t>
                  </w:r>
                </w:p>
              </w:tc>
              <w:tc>
                <w:tcPr>
                  <w:tcW w:w="586" w:type="pct"/>
                  <w:vAlign w:val="center"/>
                </w:tcPr>
                <w:p w14:paraId="6CB0115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达标</w:t>
                  </w:r>
                </w:p>
              </w:tc>
            </w:tr>
          </w:tbl>
          <w:p w14:paraId="4828755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rPr>
              <w:t>现有工程厂界噪声值均满足《工业企业厂界环境噪声排放标准》</w:t>
            </w:r>
            <w:r>
              <w:rPr>
                <w:rFonts w:hint="eastAsia"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GB12348-2008</w:t>
            </w:r>
            <w:r>
              <w:rPr>
                <w:rFonts w:hint="eastAsia"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中3类标准。</w:t>
            </w:r>
          </w:p>
          <w:p w14:paraId="68B582AF">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（4）固废</w:t>
            </w:r>
          </w:p>
          <w:p w14:paraId="3A4E52D0">
            <w:pPr>
              <w:keepNext w:val="0"/>
              <w:keepLines w:val="0"/>
              <w:pageBreakBefore w:val="0"/>
              <w:widowControl/>
              <w:shd w:val="clea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石家庄东华金龙化工有限公司危废暂存间位于厂内中部，建筑面积为216平方米</w:t>
            </w:r>
            <w:r>
              <w:rPr>
                <w:rFonts w:hint="eastAsia" w:ascii="Times New Roman" w:hAnsi="Times New Roman" w:eastAsia="宋体" w:cs="Times New Roman"/>
                <w:color w:val="auto"/>
                <w:sz w:val="21"/>
                <w:szCs w:val="21"/>
                <w:highlight w:val="none"/>
                <w:lang w:val="en-US" w:eastAsia="zh-CN"/>
              </w:rPr>
              <w:t>（二次密闭后为64</w:t>
            </w:r>
            <w:r>
              <w:rPr>
                <w:rFonts w:hint="default" w:ascii="Times New Roman" w:hAnsi="Times New Roman" w:eastAsia="宋体" w:cs="Times New Roman"/>
                <w:color w:val="auto"/>
                <w:sz w:val="21"/>
                <w:szCs w:val="21"/>
                <w:highlight w:val="none"/>
                <w:lang w:val="en-US" w:eastAsia="zh-CN"/>
              </w:rPr>
              <w:t>平方米</w:t>
            </w:r>
            <w:r>
              <w:rPr>
                <w:rFonts w:hint="eastAsia"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；危废间满足《危险废物贮存污染控制标准》（GB18597-2023）中要求，危废暂存间能够容纳所产危险废物。</w:t>
            </w:r>
          </w:p>
          <w:p w14:paraId="1F6F1D7A">
            <w:pPr>
              <w:keepNext w:val="0"/>
              <w:keepLines w:val="0"/>
              <w:pageBreakBefore w:val="0"/>
              <w:widowControl/>
              <w:shd w:val="clea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危废</w:t>
            </w:r>
            <w:r>
              <w:rPr>
                <w:rFonts w:hint="default" w:ascii="Times New Roman" w:hAnsi="Times New Roman" w:eastAsia="宋体" w:cs="Times New Roman"/>
                <w:color w:val="auto"/>
                <w:sz w:val="21"/>
                <w:szCs w:val="21"/>
                <w:highlight w:val="none"/>
                <w:lang w:val="en-US" w:eastAsia="zh-CN"/>
              </w:rPr>
              <w:t>间</w:t>
            </w:r>
            <w:r>
              <w:rPr>
                <w:rFonts w:hint="default" w:ascii="Times New Roman" w:hAnsi="Times New Roman" w:eastAsia="宋体" w:cs="Times New Roman"/>
                <w:color w:val="auto"/>
                <w:sz w:val="21"/>
                <w:szCs w:val="21"/>
                <w:highlight w:val="none"/>
              </w:rPr>
              <w:t>外墙±0.000m以下采用混凝土实心砖水泥砂浆砌筑，±0.0m</w:t>
            </w:r>
            <w:r>
              <w:rPr>
                <w:rFonts w:hint="default" w:ascii="Times New Roman" w:hAnsi="Times New Roman" w:eastAsia="宋体"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1.2m采用加气混凝土砌块混合水泥砂浆砌筑；1.2m以上采用玻纤镁质凝胶防火板墙体。坡屋面用玻纤镁质凝胶防火防腐板屋面，</w:t>
            </w:r>
            <w:r>
              <w:rPr>
                <w:rFonts w:hint="default" w:ascii="Times New Roman" w:hAnsi="Times New Roman" w:eastAsia="宋体" w:cs="Times New Roman"/>
                <w:color w:val="auto"/>
                <w:sz w:val="21"/>
                <w:szCs w:val="21"/>
                <w:highlight w:val="none"/>
                <w:lang w:val="en-US" w:eastAsia="zh-CN"/>
              </w:rPr>
              <w:t>危废间</w:t>
            </w:r>
            <w:r>
              <w:rPr>
                <w:rFonts w:hint="default" w:ascii="Times New Roman" w:hAnsi="Times New Roman" w:eastAsia="宋体" w:cs="Times New Roman"/>
                <w:color w:val="auto"/>
                <w:sz w:val="21"/>
                <w:szCs w:val="21"/>
                <w:highlight w:val="none"/>
              </w:rPr>
              <w:t>内按照危废类别不同进行区域划分，采用内隔墙隔开。危废</w:t>
            </w:r>
            <w:r>
              <w:rPr>
                <w:rFonts w:hint="default" w:ascii="Times New Roman" w:hAnsi="Times New Roman" w:eastAsia="宋体" w:cs="Times New Roman"/>
                <w:color w:val="auto"/>
                <w:sz w:val="21"/>
                <w:szCs w:val="21"/>
                <w:highlight w:val="none"/>
                <w:lang w:val="en-US" w:eastAsia="zh-CN"/>
              </w:rPr>
              <w:t>间</w:t>
            </w:r>
            <w:r>
              <w:rPr>
                <w:rFonts w:hint="default" w:ascii="Times New Roman" w:hAnsi="Times New Roman" w:eastAsia="宋体" w:cs="Times New Roman"/>
                <w:color w:val="auto"/>
                <w:sz w:val="21"/>
                <w:szCs w:val="21"/>
                <w:highlight w:val="none"/>
              </w:rPr>
              <w:t>设置双锁，由双人进行管理。门口张贴标准规范的危废标识和危废信息板。危废</w:t>
            </w:r>
            <w:r>
              <w:rPr>
                <w:rFonts w:hint="default" w:ascii="Times New Roman" w:hAnsi="Times New Roman" w:eastAsia="宋体" w:cs="Times New Roman"/>
                <w:color w:val="auto"/>
                <w:sz w:val="21"/>
                <w:szCs w:val="21"/>
                <w:highlight w:val="none"/>
                <w:lang w:val="en-US" w:eastAsia="zh-CN"/>
              </w:rPr>
              <w:t>间</w:t>
            </w:r>
            <w:r>
              <w:rPr>
                <w:rFonts w:hint="default" w:ascii="Times New Roman" w:hAnsi="Times New Roman" w:eastAsia="宋体" w:cs="Times New Roman"/>
                <w:color w:val="auto"/>
                <w:sz w:val="21"/>
                <w:szCs w:val="21"/>
                <w:highlight w:val="none"/>
              </w:rPr>
              <w:t>内张贴《危险废物管理制度》，各危废分区张贴标准规范的危废信息板。此外危废</w:t>
            </w:r>
            <w:r>
              <w:rPr>
                <w:rFonts w:hint="default" w:ascii="Times New Roman" w:hAnsi="Times New Roman" w:eastAsia="宋体" w:cs="Times New Roman"/>
                <w:color w:val="auto"/>
                <w:sz w:val="21"/>
                <w:szCs w:val="21"/>
                <w:highlight w:val="none"/>
                <w:lang w:val="en-US" w:eastAsia="zh-CN"/>
              </w:rPr>
              <w:t>间</w:t>
            </w:r>
            <w:r>
              <w:rPr>
                <w:rFonts w:hint="default" w:ascii="Times New Roman" w:hAnsi="Times New Roman" w:eastAsia="宋体" w:cs="Times New Roman"/>
                <w:color w:val="auto"/>
                <w:sz w:val="21"/>
                <w:szCs w:val="21"/>
                <w:highlight w:val="none"/>
              </w:rPr>
              <w:t>内设置围堰、收集池、事故倒排沟等环境风险应急设施。</w:t>
            </w:r>
          </w:p>
          <w:p w14:paraId="1BEEB523">
            <w:pPr>
              <w:keepNext w:val="0"/>
              <w:keepLines w:val="0"/>
              <w:pageBreakBefore w:val="0"/>
              <w:widowControl/>
              <w:shd w:val="clea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z w:val="21"/>
                <w:szCs w:val="21"/>
                <w:highlight w:val="none"/>
              </w:rPr>
              <w:t>危废</w:t>
            </w:r>
            <w:r>
              <w:rPr>
                <w:rFonts w:hint="default" w:ascii="Times New Roman" w:hAnsi="Times New Roman" w:eastAsia="宋体" w:cs="Times New Roman"/>
                <w:color w:val="auto"/>
                <w:sz w:val="21"/>
                <w:szCs w:val="21"/>
                <w:highlight w:val="none"/>
                <w:lang w:val="en-US" w:eastAsia="zh-CN"/>
              </w:rPr>
              <w:t>间</w:t>
            </w:r>
            <w:r>
              <w:rPr>
                <w:rFonts w:hint="default" w:ascii="Times New Roman" w:hAnsi="Times New Roman" w:eastAsia="宋体" w:cs="Times New Roman"/>
                <w:color w:val="auto"/>
                <w:sz w:val="21"/>
                <w:szCs w:val="21"/>
                <w:highlight w:val="none"/>
              </w:rPr>
              <w:t>底部高于地下水最高水位，基础已严格按照</w:t>
            </w:r>
            <w:r>
              <w:rPr>
                <w:rFonts w:hint="default" w:ascii="Times New Roman" w:hAnsi="Times New Roman" w:eastAsia="宋体" w:cs="Times New Roman"/>
                <w:color w:val="auto"/>
                <w:kern w:val="0"/>
                <w:sz w:val="21"/>
                <w:szCs w:val="21"/>
                <w:highlight w:val="none"/>
              </w:rPr>
              <w:t>《危险废物贮存污染控制标准》（GB18597-2023）</w:t>
            </w:r>
            <w:r>
              <w:rPr>
                <w:rFonts w:hint="default" w:ascii="Times New Roman" w:hAnsi="Times New Roman" w:eastAsia="宋体" w:cs="Times New Roman"/>
                <w:color w:val="auto"/>
                <w:sz w:val="21"/>
                <w:szCs w:val="21"/>
                <w:highlight w:val="none"/>
              </w:rPr>
              <w:t>进行了防渗处理（自上而下）</w:t>
            </w:r>
            <w:r>
              <w:rPr>
                <w:rFonts w:hint="eastAsia"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5mm环氧砂浆面层，下铺1.0mm环氧玻璃钢隔离层；0.15mm环氧打底料2道；150mmC30细石混凝土垫层，内配单层，φ8钢筋网；铺设HDPE—GCL复合防渗系统（2</w:t>
            </w:r>
            <w:r>
              <w:rPr>
                <w:rFonts w:hint="eastAsia"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rPr>
              <w:t>2mm厚高密度聚氯乙烯膜上、下，土工织物膨润土垫）；150mm</w:t>
            </w:r>
            <w:r>
              <w:rPr>
                <w:rFonts w:hint="eastAsia" w:ascii="Times New Roman" w:hAnsi="Times New Roman" w:eastAsia="宋体" w:cs="Times New Roman"/>
                <w:color w:val="auto"/>
                <w:sz w:val="21"/>
                <w:szCs w:val="21"/>
                <w:highlight w:val="none"/>
                <w:vertAlign w:val="superscript"/>
                <w:lang w:val="en-US" w:eastAsia="zh-CN"/>
              </w:rPr>
              <w:t xml:space="preserve"> </w:t>
            </w:r>
            <w:r>
              <w:rPr>
                <w:rFonts w:hint="default" w:ascii="Times New Roman" w:hAnsi="Times New Roman" w:eastAsia="宋体" w:cs="Times New Roman"/>
                <w:color w:val="auto"/>
                <w:sz w:val="21"/>
                <w:szCs w:val="21"/>
                <w:highlight w:val="none"/>
                <w:vertAlign w:val="superscript"/>
              </w:rPr>
              <w:t>3</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7灰土；素土夯实</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防渗层渗透系数小于1×10</w:t>
            </w:r>
            <w:r>
              <w:rPr>
                <w:rFonts w:hint="default" w:ascii="Times New Roman" w:hAnsi="Times New Roman" w:eastAsia="宋体" w:cs="Times New Roman"/>
                <w:color w:val="auto"/>
                <w:sz w:val="21"/>
                <w:szCs w:val="21"/>
                <w:highlight w:val="none"/>
                <w:vertAlign w:val="superscript"/>
              </w:rPr>
              <w:t>-10</w:t>
            </w:r>
            <w:r>
              <w:rPr>
                <w:rFonts w:hint="default" w:ascii="Times New Roman" w:hAnsi="Times New Roman" w:eastAsia="宋体" w:cs="Times New Roman"/>
                <w:color w:val="auto"/>
                <w:sz w:val="21"/>
                <w:szCs w:val="21"/>
                <w:highlight w:val="none"/>
              </w:rPr>
              <w:t>cm/s。</w:t>
            </w:r>
          </w:p>
          <w:p w14:paraId="79EBD02B">
            <w:pPr>
              <w:keepNext w:val="0"/>
              <w:keepLines w:val="0"/>
              <w:pageBreakBefore w:val="0"/>
              <w:shd w:val="clear"/>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现有工程固体废物产生及处置情况如下。</w:t>
            </w:r>
          </w:p>
          <w:p w14:paraId="37135868">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p w14:paraId="757CF42F">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p w14:paraId="621A9B87">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p w14:paraId="03971088">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p w14:paraId="3EBCB05F">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ascii="Times New Roman" w:hAnsi="Times New Roman" w:eastAsia="宋体" w:cs="Times New Roman"/>
                <w:b/>
                <w:bCs/>
                <w:color w:val="auto"/>
                <w:spacing w:val="0"/>
                <w:w w:val="100"/>
                <w:position w:val="0"/>
                <w:sz w:val="21"/>
                <w:szCs w:val="21"/>
                <w:highlight w:val="none"/>
                <w:lang w:val="en-US" w:eastAsia="zh-CN"/>
              </w:rPr>
            </w:pPr>
          </w:p>
          <w:p w14:paraId="7B40E2E6">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center"/>
              <w:textAlignment w:val="auto"/>
              <w:rPr>
                <w:rFonts w:hint="default"/>
                <w:color w:val="auto"/>
                <w:highlight w:val="none"/>
              </w:rPr>
            </w:pPr>
            <w:r>
              <w:rPr>
                <w:rFonts w:hint="default" w:ascii="Times New Roman" w:hAnsi="Times New Roman" w:eastAsia="宋体" w:cs="Times New Roman"/>
                <w:b/>
                <w:bCs/>
                <w:color w:val="auto"/>
                <w:spacing w:val="0"/>
                <w:w w:val="100"/>
                <w:position w:val="0"/>
                <w:sz w:val="21"/>
                <w:szCs w:val="21"/>
                <w:highlight w:val="none"/>
                <w:lang w:val="en-US" w:eastAsia="zh-CN"/>
              </w:rPr>
              <w:t xml:space="preserve">表 </w:t>
            </w:r>
            <w:r>
              <w:rPr>
                <w:rFonts w:hint="eastAsia" w:ascii="Times New Roman" w:hAnsi="Times New Roman" w:eastAsia="宋体" w:cs="Times New Roman"/>
                <w:b/>
                <w:bCs/>
                <w:color w:val="auto"/>
                <w:spacing w:val="0"/>
                <w:w w:val="100"/>
                <w:position w:val="0"/>
                <w:sz w:val="21"/>
                <w:szCs w:val="21"/>
                <w:highlight w:val="none"/>
                <w:lang w:val="en-US" w:eastAsia="zh-CN"/>
              </w:rPr>
              <w:t>2-2</w:t>
            </w:r>
            <w:r>
              <w:rPr>
                <w:rFonts w:hint="eastAsia" w:cs="Times New Roman"/>
                <w:b/>
                <w:bCs/>
                <w:color w:val="auto"/>
                <w:spacing w:val="0"/>
                <w:w w:val="100"/>
                <w:position w:val="0"/>
                <w:sz w:val="21"/>
                <w:szCs w:val="21"/>
                <w:highlight w:val="none"/>
                <w:lang w:val="en-US" w:eastAsia="zh-CN"/>
              </w:rPr>
              <w:t>2</w:t>
            </w:r>
            <w:r>
              <w:rPr>
                <w:rFonts w:hint="default" w:ascii="Times New Roman" w:hAnsi="Times New Roman" w:eastAsia="宋体" w:cs="Times New Roman"/>
                <w:b/>
                <w:bCs/>
                <w:color w:val="auto"/>
                <w:spacing w:val="0"/>
                <w:w w:val="100"/>
                <w:position w:val="0"/>
                <w:sz w:val="21"/>
                <w:szCs w:val="21"/>
                <w:highlight w:val="none"/>
                <w:lang w:val="en-US" w:eastAsia="zh-CN"/>
              </w:rPr>
              <w:t xml:space="preserve"> 现有工程固体废物产生及处置情况一览表</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417"/>
              <w:gridCol w:w="812"/>
              <w:gridCol w:w="767"/>
              <w:gridCol w:w="1187"/>
              <w:gridCol w:w="679"/>
              <w:gridCol w:w="627"/>
              <w:gridCol w:w="417"/>
              <w:gridCol w:w="626"/>
              <w:gridCol w:w="486"/>
              <w:gridCol w:w="733"/>
              <w:gridCol w:w="844"/>
            </w:tblGrid>
            <w:tr w14:paraId="027F7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blHeader/>
              </w:trPr>
              <w:tc>
                <w:tcPr>
                  <w:tcW w:w="259" w:type="pct"/>
                  <w:vAlign w:val="center"/>
                </w:tcPr>
                <w:p w14:paraId="4DF5CD6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序号</w:t>
                  </w:r>
                </w:p>
              </w:tc>
              <w:tc>
                <w:tcPr>
                  <w:tcW w:w="260" w:type="pct"/>
                  <w:vAlign w:val="center"/>
                </w:tcPr>
                <w:p w14:paraId="0B0877F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类别</w:t>
                  </w:r>
                </w:p>
              </w:tc>
              <w:tc>
                <w:tcPr>
                  <w:tcW w:w="506" w:type="pct"/>
                  <w:vAlign w:val="center"/>
                </w:tcPr>
                <w:p w14:paraId="1ED12D6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危废名称</w:t>
                  </w:r>
                </w:p>
              </w:tc>
              <w:tc>
                <w:tcPr>
                  <w:tcW w:w="478" w:type="pct"/>
                  <w:vAlign w:val="center"/>
                </w:tcPr>
                <w:p w14:paraId="6F53C4C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危废类别</w:t>
                  </w:r>
                </w:p>
              </w:tc>
              <w:tc>
                <w:tcPr>
                  <w:tcW w:w="740" w:type="pct"/>
                  <w:vAlign w:val="center"/>
                </w:tcPr>
                <w:p w14:paraId="5B21E79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危废代码</w:t>
                  </w:r>
                </w:p>
              </w:tc>
              <w:tc>
                <w:tcPr>
                  <w:tcW w:w="423" w:type="pct"/>
                  <w:vAlign w:val="center"/>
                </w:tcPr>
                <w:p w14:paraId="5B938AF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产生量(t/a)</w:t>
                  </w:r>
                </w:p>
              </w:tc>
              <w:tc>
                <w:tcPr>
                  <w:tcW w:w="391" w:type="pct"/>
                  <w:vAlign w:val="center"/>
                </w:tcPr>
                <w:p w14:paraId="1810442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产生工序</w:t>
                  </w:r>
                </w:p>
                <w:p w14:paraId="641BB1E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（装置）</w:t>
                  </w:r>
                </w:p>
              </w:tc>
              <w:tc>
                <w:tcPr>
                  <w:tcW w:w="260" w:type="pct"/>
                  <w:vAlign w:val="center"/>
                </w:tcPr>
                <w:p w14:paraId="2668DB6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形态</w:t>
                  </w:r>
                </w:p>
              </w:tc>
              <w:tc>
                <w:tcPr>
                  <w:tcW w:w="390" w:type="pct"/>
                  <w:vAlign w:val="center"/>
                </w:tcPr>
                <w:p w14:paraId="2159653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主要成分</w:t>
                  </w:r>
                </w:p>
              </w:tc>
              <w:tc>
                <w:tcPr>
                  <w:tcW w:w="303" w:type="pct"/>
                  <w:vAlign w:val="center"/>
                </w:tcPr>
                <w:p w14:paraId="086088D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产废周期</w:t>
                  </w:r>
                </w:p>
              </w:tc>
              <w:tc>
                <w:tcPr>
                  <w:tcW w:w="457" w:type="pct"/>
                  <w:vAlign w:val="center"/>
                </w:tcPr>
                <w:p w14:paraId="2F88D84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危险特性</w:t>
                  </w:r>
                </w:p>
              </w:tc>
              <w:tc>
                <w:tcPr>
                  <w:tcW w:w="526" w:type="pct"/>
                  <w:vAlign w:val="center"/>
                </w:tcPr>
                <w:p w14:paraId="1C12580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b/>
                      <w:bCs/>
                      <w:color w:val="auto"/>
                      <w:spacing w:val="0"/>
                      <w:w w:val="100"/>
                      <w:position w:val="0"/>
                      <w:sz w:val="21"/>
                      <w:szCs w:val="21"/>
                      <w:highlight w:val="none"/>
                      <w:lang w:val="en-US" w:eastAsia="zh-CN"/>
                    </w:rPr>
                  </w:pPr>
                  <w:r>
                    <w:rPr>
                      <w:rFonts w:hint="default" w:ascii="Times New Roman" w:hAnsi="Times New Roman" w:eastAsia="宋体" w:cs="Times New Roman"/>
                      <w:b/>
                      <w:bCs/>
                      <w:color w:val="auto"/>
                      <w:spacing w:val="0"/>
                      <w:w w:val="100"/>
                      <w:position w:val="0"/>
                      <w:sz w:val="21"/>
                      <w:szCs w:val="21"/>
                      <w:highlight w:val="none"/>
                      <w:lang w:val="en-US" w:eastAsia="zh-CN"/>
                    </w:rPr>
                    <w:t>污染防治措施</w:t>
                  </w:r>
                </w:p>
              </w:tc>
            </w:tr>
            <w:tr w14:paraId="36545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Align w:val="center"/>
                </w:tcPr>
                <w:p w14:paraId="59648AE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w:t>
                  </w:r>
                </w:p>
              </w:tc>
              <w:tc>
                <w:tcPr>
                  <w:tcW w:w="260" w:type="pct"/>
                  <w:vMerge w:val="restart"/>
                  <w:vAlign w:val="center"/>
                </w:tcPr>
                <w:p w14:paraId="07B796D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危险废物</w:t>
                  </w:r>
                </w:p>
              </w:tc>
              <w:tc>
                <w:tcPr>
                  <w:tcW w:w="506" w:type="pct"/>
                  <w:vAlign w:val="center"/>
                </w:tcPr>
                <w:p w14:paraId="61B996F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氯乙酸内包装</w:t>
                  </w:r>
                </w:p>
              </w:tc>
              <w:tc>
                <w:tcPr>
                  <w:tcW w:w="478" w:type="pct"/>
                  <w:vAlign w:val="center"/>
                </w:tcPr>
                <w:p w14:paraId="2C5E500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1BE6932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900-041-49</w:t>
                  </w:r>
                </w:p>
              </w:tc>
              <w:tc>
                <w:tcPr>
                  <w:tcW w:w="423" w:type="pct"/>
                  <w:vAlign w:val="center"/>
                </w:tcPr>
                <w:p w14:paraId="04780DF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w:t>
                  </w:r>
                </w:p>
              </w:tc>
              <w:tc>
                <w:tcPr>
                  <w:tcW w:w="391" w:type="pct"/>
                  <w:vAlign w:val="center"/>
                </w:tcPr>
                <w:p w14:paraId="7314B31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原料包装</w:t>
                  </w:r>
                </w:p>
              </w:tc>
              <w:tc>
                <w:tcPr>
                  <w:tcW w:w="260" w:type="pct"/>
                  <w:vAlign w:val="center"/>
                </w:tcPr>
                <w:p w14:paraId="60DB373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372C5EE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废包装</w:t>
                  </w:r>
                </w:p>
              </w:tc>
              <w:tc>
                <w:tcPr>
                  <w:tcW w:w="303" w:type="pct"/>
                  <w:vAlign w:val="center"/>
                </w:tcPr>
                <w:p w14:paraId="01F8AAF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每天</w:t>
                  </w:r>
                </w:p>
              </w:tc>
              <w:tc>
                <w:tcPr>
                  <w:tcW w:w="457" w:type="pct"/>
                  <w:vAlign w:val="center"/>
                </w:tcPr>
                <w:p w14:paraId="66CE09C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w:t>
                  </w:r>
                </w:p>
              </w:tc>
              <w:tc>
                <w:tcPr>
                  <w:tcW w:w="526" w:type="pct"/>
                  <w:vMerge w:val="restart"/>
                  <w:vAlign w:val="center"/>
                </w:tcPr>
                <w:p w14:paraId="2B36BFE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暂存于危废间内，定期交由有资质单位处置</w:t>
                  </w:r>
                </w:p>
              </w:tc>
            </w:tr>
            <w:tr w14:paraId="5F91B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Align w:val="center"/>
                </w:tcPr>
                <w:p w14:paraId="37F5F11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w:t>
                  </w:r>
                </w:p>
              </w:tc>
              <w:tc>
                <w:tcPr>
                  <w:tcW w:w="260" w:type="pct"/>
                  <w:vMerge w:val="continue"/>
                  <w:vAlign w:val="center"/>
                </w:tcPr>
                <w:p w14:paraId="7206097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16ED6FD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在线监测废试剂</w:t>
                  </w:r>
                </w:p>
              </w:tc>
              <w:tc>
                <w:tcPr>
                  <w:tcW w:w="478" w:type="pct"/>
                  <w:vAlign w:val="center"/>
                </w:tcPr>
                <w:p w14:paraId="65191DA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4993978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900-047-49</w:t>
                  </w:r>
                </w:p>
              </w:tc>
              <w:tc>
                <w:tcPr>
                  <w:tcW w:w="423" w:type="pct"/>
                  <w:vAlign w:val="center"/>
                </w:tcPr>
                <w:p w14:paraId="4E441B7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0.72</w:t>
                  </w:r>
                </w:p>
              </w:tc>
              <w:tc>
                <w:tcPr>
                  <w:tcW w:w="391" w:type="pct"/>
                  <w:vAlign w:val="center"/>
                </w:tcPr>
                <w:p w14:paraId="4F66BE0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在线监测设施</w:t>
                  </w:r>
                </w:p>
              </w:tc>
              <w:tc>
                <w:tcPr>
                  <w:tcW w:w="260" w:type="pct"/>
                  <w:vAlign w:val="center"/>
                </w:tcPr>
                <w:p w14:paraId="50F94C9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液体</w:t>
                  </w:r>
                </w:p>
              </w:tc>
              <w:tc>
                <w:tcPr>
                  <w:tcW w:w="390" w:type="pct"/>
                  <w:vAlign w:val="center"/>
                </w:tcPr>
                <w:p w14:paraId="26B7DB1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废试剂</w:t>
                  </w:r>
                </w:p>
              </w:tc>
              <w:tc>
                <w:tcPr>
                  <w:tcW w:w="303" w:type="pct"/>
                  <w:vAlign w:val="center"/>
                </w:tcPr>
                <w:p w14:paraId="2160BB7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74EFD26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w:t>
                  </w:r>
                </w:p>
              </w:tc>
              <w:tc>
                <w:tcPr>
                  <w:tcW w:w="526" w:type="pct"/>
                  <w:vMerge w:val="continue"/>
                  <w:vAlign w:val="center"/>
                </w:tcPr>
                <w:p w14:paraId="5AD42E3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1DF81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Align w:val="center"/>
                </w:tcPr>
                <w:p w14:paraId="0296454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3</w:t>
                  </w:r>
                </w:p>
              </w:tc>
              <w:tc>
                <w:tcPr>
                  <w:tcW w:w="260" w:type="pct"/>
                  <w:vMerge w:val="continue"/>
                  <w:vAlign w:val="center"/>
                </w:tcPr>
                <w:p w14:paraId="1C976BC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2B27083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废机油</w:t>
                  </w:r>
                </w:p>
              </w:tc>
              <w:tc>
                <w:tcPr>
                  <w:tcW w:w="478" w:type="pct"/>
                  <w:vAlign w:val="center"/>
                </w:tcPr>
                <w:p w14:paraId="7ACB122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HW08</w:t>
                  </w:r>
                </w:p>
              </w:tc>
              <w:tc>
                <w:tcPr>
                  <w:tcW w:w="740" w:type="pct"/>
                  <w:vAlign w:val="center"/>
                </w:tcPr>
                <w:p w14:paraId="6E77008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900-219-08</w:t>
                  </w:r>
                </w:p>
              </w:tc>
              <w:tc>
                <w:tcPr>
                  <w:tcW w:w="423" w:type="pct"/>
                  <w:vAlign w:val="center"/>
                </w:tcPr>
                <w:p w14:paraId="445CE42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3.5</w:t>
                  </w:r>
                </w:p>
              </w:tc>
              <w:tc>
                <w:tcPr>
                  <w:tcW w:w="391" w:type="pct"/>
                  <w:vAlign w:val="center"/>
                </w:tcPr>
                <w:p w14:paraId="74D0D93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冷冻机组</w:t>
                  </w:r>
                </w:p>
              </w:tc>
              <w:tc>
                <w:tcPr>
                  <w:tcW w:w="260" w:type="pct"/>
                  <w:vAlign w:val="center"/>
                </w:tcPr>
                <w:p w14:paraId="3B2E324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液体</w:t>
                  </w:r>
                </w:p>
              </w:tc>
              <w:tc>
                <w:tcPr>
                  <w:tcW w:w="390" w:type="pct"/>
                  <w:vAlign w:val="center"/>
                </w:tcPr>
                <w:p w14:paraId="0D9DB0B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废机油</w:t>
                  </w:r>
                </w:p>
              </w:tc>
              <w:tc>
                <w:tcPr>
                  <w:tcW w:w="303" w:type="pct"/>
                  <w:vAlign w:val="center"/>
                </w:tcPr>
                <w:p w14:paraId="088205D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6个月</w:t>
                  </w:r>
                </w:p>
              </w:tc>
              <w:tc>
                <w:tcPr>
                  <w:tcW w:w="457" w:type="pct"/>
                  <w:vAlign w:val="center"/>
                </w:tcPr>
                <w:p w14:paraId="77F0A2A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 I</w:t>
                  </w:r>
                </w:p>
              </w:tc>
              <w:tc>
                <w:tcPr>
                  <w:tcW w:w="526" w:type="pct"/>
                  <w:vMerge w:val="continue"/>
                  <w:vAlign w:val="center"/>
                </w:tcPr>
                <w:p w14:paraId="7789D37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2E24C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Align w:val="center"/>
                </w:tcPr>
                <w:p w14:paraId="3610126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4</w:t>
                  </w:r>
                </w:p>
              </w:tc>
              <w:tc>
                <w:tcPr>
                  <w:tcW w:w="260" w:type="pct"/>
                  <w:vMerge w:val="continue"/>
                  <w:vAlign w:val="center"/>
                </w:tcPr>
                <w:p w14:paraId="769CBBE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1B968AED">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废润滑油</w:t>
                  </w:r>
                </w:p>
              </w:tc>
              <w:tc>
                <w:tcPr>
                  <w:tcW w:w="478" w:type="pct"/>
                  <w:vAlign w:val="center"/>
                </w:tcPr>
                <w:p w14:paraId="117E769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HW08</w:t>
                  </w:r>
                </w:p>
              </w:tc>
              <w:tc>
                <w:tcPr>
                  <w:tcW w:w="740" w:type="pct"/>
                  <w:vAlign w:val="center"/>
                </w:tcPr>
                <w:p w14:paraId="720BE77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900-217-08</w:t>
                  </w:r>
                </w:p>
              </w:tc>
              <w:tc>
                <w:tcPr>
                  <w:tcW w:w="423" w:type="pct"/>
                  <w:vAlign w:val="center"/>
                </w:tcPr>
                <w:p w14:paraId="6D0ABB7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1.5</w:t>
                  </w:r>
                </w:p>
              </w:tc>
              <w:tc>
                <w:tcPr>
                  <w:tcW w:w="391" w:type="pct"/>
                  <w:vAlign w:val="center"/>
                </w:tcPr>
                <w:p w14:paraId="436F106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设备维护保养</w:t>
                  </w:r>
                </w:p>
              </w:tc>
              <w:tc>
                <w:tcPr>
                  <w:tcW w:w="260" w:type="pct"/>
                  <w:vAlign w:val="center"/>
                </w:tcPr>
                <w:p w14:paraId="2564155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液体</w:t>
                  </w:r>
                </w:p>
              </w:tc>
              <w:tc>
                <w:tcPr>
                  <w:tcW w:w="390" w:type="pct"/>
                  <w:vAlign w:val="center"/>
                </w:tcPr>
                <w:p w14:paraId="3CACC2A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废润滑油</w:t>
                  </w:r>
                </w:p>
              </w:tc>
              <w:tc>
                <w:tcPr>
                  <w:tcW w:w="303" w:type="pct"/>
                  <w:vAlign w:val="center"/>
                </w:tcPr>
                <w:p w14:paraId="12530D5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6个月</w:t>
                  </w:r>
                </w:p>
              </w:tc>
              <w:tc>
                <w:tcPr>
                  <w:tcW w:w="457" w:type="pct"/>
                  <w:vAlign w:val="center"/>
                </w:tcPr>
                <w:p w14:paraId="173D45C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 I</w:t>
                  </w:r>
                </w:p>
              </w:tc>
              <w:tc>
                <w:tcPr>
                  <w:tcW w:w="526" w:type="pct"/>
                  <w:vMerge w:val="continue"/>
                  <w:vAlign w:val="center"/>
                </w:tcPr>
                <w:p w14:paraId="69D2F4E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77AC5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259" w:type="pct"/>
                  <w:shd w:val="clear" w:color="auto" w:fill="auto"/>
                  <w:vAlign w:val="center"/>
                </w:tcPr>
                <w:p w14:paraId="5E1F6924">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5</w:t>
                  </w:r>
                </w:p>
              </w:tc>
              <w:tc>
                <w:tcPr>
                  <w:tcW w:w="260" w:type="pct"/>
                  <w:vMerge w:val="continue"/>
                  <w:vAlign w:val="center"/>
                </w:tcPr>
                <w:p w14:paraId="57DEECC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46C27B7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废润滑油桶</w:t>
                  </w:r>
                </w:p>
              </w:tc>
              <w:tc>
                <w:tcPr>
                  <w:tcW w:w="478" w:type="pct"/>
                  <w:vAlign w:val="center"/>
                </w:tcPr>
                <w:p w14:paraId="68773D1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HW08</w:t>
                  </w:r>
                </w:p>
              </w:tc>
              <w:tc>
                <w:tcPr>
                  <w:tcW w:w="740" w:type="pct"/>
                  <w:vAlign w:val="center"/>
                </w:tcPr>
                <w:p w14:paraId="4DF5289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900-249-08</w:t>
                  </w:r>
                </w:p>
              </w:tc>
              <w:tc>
                <w:tcPr>
                  <w:tcW w:w="423" w:type="pct"/>
                  <w:vAlign w:val="center"/>
                </w:tcPr>
                <w:p w14:paraId="5CEFC27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0.002</w:t>
                  </w:r>
                </w:p>
              </w:tc>
              <w:tc>
                <w:tcPr>
                  <w:tcW w:w="391" w:type="pct"/>
                  <w:vAlign w:val="center"/>
                </w:tcPr>
                <w:p w14:paraId="551F837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w:t>
                  </w:r>
                </w:p>
              </w:tc>
              <w:tc>
                <w:tcPr>
                  <w:tcW w:w="260" w:type="pct"/>
                  <w:vAlign w:val="center"/>
                </w:tcPr>
                <w:p w14:paraId="161367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固体</w:t>
                  </w:r>
                </w:p>
              </w:tc>
              <w:tc>
                <w:tcPr>
                  <w:tcW w:w="390" w:type="pct"/>
                  <w:vAlign w:val="center"/>
                </w:tcPr>
                <w:p w14:paraId="1D78722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润滑油</w:t>
                  </w:r>
                </w:p>
              </w:tc>
              <w:tc>
                <w:tcPr>
                  <w:tcW w:w="303" w:type="pct"/>
                  <w:shd w:val="clear" w:color="auto" w:fill="auto"/>
                  <w:vAlign w:val="center"/>
                </w:tcPr>
                <w:p w14:paraId="1AE13A13">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6个月</w:t>
                  </w:r>
                </w:p>
              </w:tc>
              <w:tc>
                <w:tcPr>
                  <w:tcW w:w="457" w:type="pct"/>
                  <w:shd w:val="clear" w:color="auto" w:fill="auto"/>
                  <w:vAlign w:val="center"/>
                </w:tcPr>
                <w:p w14:paraId="3893926B">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T I</w:t>
                  </w:r>
                </w:p>
              </w:tc>
              <w:tc>
                <w:tcPr>
                  <w:tcW w:w="526" w:type="pct"/>
                  <w:vMerge w:val="continue"/>
                  <w:vAlign w:val="center"/>
                </w:tcPr>
                <w:p w14:paraId="24DFDC2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14B24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21D43CA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6</w:t>
                  </w:r>
                </w:p>
              </w:tc>
              <w:tc>
                <w:tcPr>
                  <w:tcW w:w="260" w:type="pct"/>
                  <w:vMerge w:val="continue"/>
                  <w:vAlign w:val="center"/>
                </w:tcPr>
                <w:p w14:paraId="29132E4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6821A8B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废气处理设施废活性炭</w:t>
                  </w:r>
                </w:p>
              </w:tc>
              <w:tc>
                <w:tcPr>
                  <w:tcW w:w="478" w:type="pct"/>
                  <w:vAlign w:val="center"/>
                </w:tcPr>
                <w:p w14:paraId="797466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481285B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900-039-49</w:t>
                  </w:r>
                </w:p>
              </w:tc>
              <w:tc>
                <w:tcPr>
                  <w:tcW w:w="423" w:type="pct"/>
                  <w:vAlign w:val="center"/>
                </w:tcPr>
                <w:p w14:paraId="32E71D5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52</w:t>
                  </w:r>
                </w:p>
              </w:tc>
              <w:tc>
                <w:tcPr>
                  <w:tcW w:w="391" w:type="pct"/>
                  <w:vAlign w:val="center"/>
                </w:tcPr>
                <w:p w14:paraId="596586B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废气治理吸附</w:t>
                  </w:r>
                </w:p>
              </w:tc>
              <w:tc>
                <w:tcPr>
                  <w:tcW w:w="260" w:type="pct"/>
                  <w:vAlign w:val="center"/>
                </w:tcPr>
                <w:p w14:paraId="5EB22EB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2DE80F1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废活性炭</w:t>
                  </w:r>
                </w:p>
              </w:tc>
              <w:tc>
                <w:tcPr>
                  <w:tcW w:w="303" w:type="pct"/>
                  <w:vAlign w:val="center"/>
                </w:tcPr>
                <w:p w14:paraId="01E8E4D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163C18D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T/I</w:t>
                  </w:r>
                </w:p>
              </w:tc>
              <w:tc>
                <w:tcPr>
                  <w:tcW w:w="526" w:type="pct"/>
                  <w:vMerge w:val="continue"/>
                  <w:vAlign w:val="center"/>
                </w:tcPr>
                <w:p w14:paraId="1F25625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12B6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33" w:hRule="atLeast"/>
              </w:trPr>
              <w:tc>
                <w:tcPr>
                  <w:tcW w:w="259" w:type="pct"/>
                  <w:vMerge w:val="restart"/>
                  <w:shd w:val="clear" w:color="auto" w:fill="auto"/>
                  <w:vAlign w:val="center"/>
                </w:tcPr>
                <w:p w14:paraId="476CD8A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7</w:t>
                  </w:r>
                </w:p>
              </w:tc>
              <w:tc>
                <w:tcPr>
                  <w:tcW w:w="260" w:type="pct"/>
                  <w:vMerge w:val="continue"/>
                  <w:vAlign w:val="center"/>
                </w:tcPr>
                <w:p w14:paraId="4506B3A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Merge w:val="restart"/>
                  <w:vAlign w:val="center"/>
                </w:tcPr>
                <w:p w14:paraId="6FD734F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实验室废液、废试剂（含未按实验室管理的清洗试剂包装物、容器）</w:t>
                  </w:r>
                </w:p>
              </w:tc>
              <w:tc>
                <w:tcPr>
                  <w:tcW w:w="478" w:type="pct"/>
                  <w:vAlign w:val="center"/>
                </w:tcPr>
                <w:p w14:paraId="68299EC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701C9C2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900-047-49</w:t>
                  </w:r>
                </w:p>
              </w:tc>
              <w:tc>
                <w:tcPr>
                  <w:tcW w:w="423" w:type="pct"/>
                  <w:vAlign w:val="center"/>
                </w:tcPr>
                <w:p w14:paraId="37C719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5</w:t>
                  </w:r>
                </w:p>
              </w:tc>
              <w:tc>
                <w:tcPr>
                  <w:tcW w:w="391" w:type="pct"/>
                  <w:vAlign w:val="center"/>
                </w:tcPr>
                <w:p w14:paraId="0F3D14C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化验</w:t>
                  </w:r>
                </w:p>
              </w:tc>
              <w:tc>
                <w:tcPr>
                  <w:tcW w:w="260" w:type="pct"/>
                  <w:vAlign w:val="center"/>
                </w:tcPr>
                <w:p w14:paraId="7610634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液体</w:t>
                  </w:r>
                </w:p>
              </w:tc>
              <w:tc>
                <w:tcPr>
                  <w:tcW w:w="390" w:type="pct"/>
                  <w:vAlign w:val="center"/>
                </w:tcPr>
                <w:p w14:paraId="3131379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废液、废试剂</w:t>
                  </w:r>
                </w:p>
              </w:tc>
              <w:tc>
                <w:tcPr>
                  <w:tcW w:w="303" w:type="pct"/>
                  <w:vAlign w:val="center"/>
                </w:tcPr>
                <w:p w14:paraId="0448668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3040F66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T/C/R</w:t>
                  </w:r>
                </w:p>
              </w:tc>
              <w:tc>
                <w:tcPr>
                  <w:tcW w:w="526" w:type="pct"/>
                  <w:vMerge w:val="continue"/>
                  <w:vAlign w:val="center"/>
                </w:tcPr>
                <w:p w14:paraId="73F0B77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4A9E9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Merge w:val="continue"/>
                  <w:shd w:val="clear" w:color="auto" w:fill="auto"/>
                  <w:vAlign w:val="center"/>
                </w:tcPr>
                <w:p w14:paraId="2C5DA558">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260" w:type="pct"/>
                  <w:vMerge w:val="continue"/>
                  <w:vAlign w:val="center"/>
                </w:tcPr>
                <w:p w14:paraId="21116BC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Merge w:val="continue"/>
                  <w:vAlign w:val="center"/>
                </w:tcPr>
                <w:p w14:paraId="5A36E9A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478" w:type="pct"/>
                  <w:vAlign w:val="center"/>
                </w:tcPr>
                <w:p w14:paraId="7E8A633A">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32FB29F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900-047-49</w:t>
                  </w:r>
                </w:p>
              </w:tc>
              <w:tc>
                <w:tcPr>
                  <w:tcW w:w="423" w:type="pct"/>
                  <w:vAlign w:val="center"/>
                </w:tcPr>
                <w:p w14:paraId="389AECD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3</w:t>
                  </w:r>
                </w:p>
              </w:tc>
              <w:tc>
                <w:tcPr>
                  <w:tcW w:w="391" w:type="pct"/>
                  <w:vAlign w:val="center"/>
                </w:tcPr>
                <w:p w14:paraId="3B1B349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化验</w:t>
                  </w:r>
                </w:p>
              </w:tc>
              <w:tc>
                <w:tcPr>
                  <w:tcW w:w="260" w:type="pct"/>
                  <w:vAlign w:val="center"/>
                </w:tcPr>
                <w:p w14:paraId="2C2F149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固体</w:t>
                  </w:r>
                </w:p>
              </w:tc>
              <w:tc>
                <w:tcPr>
                  <w:tcW w:w="390" w:type="pct"/>
                  <w:vAlign w:val="center"/>
                </w:tcPr>
                <w:p w14:paraId="0FCD360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废试剂瓶</w:t>
                  </w:r>
                </w:p>
              </w:tc>
              <w:tc>
                <w:tcPr>
                  <w:tcW w:w="303" w:type="pct"/>
                  <w:vAlign w:val="center"/>
                </w:tcPr>
                <w:p w14:paraId="4462AB65">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63690871">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T/C/R</w:t>
                  </w:r>
                </w:p>
              </w:tc>
              <w:tc>
                <w:tcPr>
                  <w:tcW w:w="526" w:type="pct"/>
                  <w:vMerge w:val="continue"/>
                  <w:vAlign w:val="center"/>
                </w:tcPr>
                <w:p w14:paraId="26F4E47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57BFA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74E2A1C8">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8</w:t>
                  </w:r>
                </w:p>
              </w:tc>
              <w:tc>
                <w:tcPr>
                  <w:tcW w:w="260" w:type="pct"/>
                  <w:vMerge w:val="continue"/>
                  <w:vAlign w:val="center"/>
                </w:tcPr>
                <w:p w14:paraId="5F55366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026A012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废铅酸蓄电池</w:t>
                  </w:r>
                </w:p>
              </w:tc>
              <w:tc>
                <w:tcPr>
                  <w:tcW w:w="478" w:type="pct"/>
                  <w:vAlign w:val="center"/>
                </w:tcPr>
                <w:p w14:paraId="31D3FC0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HW31</w:t>
                  </w:r>
                </w:p>
              </w:tc>
              <w:tc>
                <w:tcPr>
                  <w:tcW w:w="740" w:type="pct"/>
                  <w:vAlign w:val="center"/>
                </w:tcPr>
                <w:p w14:paraId="13AB6D2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900-052-31</w:t>
                  </w:r>
                </w:p>
              </w:tc>
              <w:tc>
                <w:tcPr>
                  <w:tcW w:w="423" w:type="pct"/>
                  <w:vAlign w:val="center"/>
                </w:tcPr>
                <w:p w14:paraId="3F3DB91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w:t>
                  </w:r>
                </w:p>
              </w:tc>
              <w:tc>
                <w:tcPr>
                  <w:tcW w:w="391" w:type="pct"/>
                  <w:vAlign w:val="center"/>
                </w:tcPr>
                <w:p w14:paraId="0944807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厂内叉车运输</w:t>
                  </w:r>
                </w:p>
              </w:tc>
              <w:tc>
                <w:tcPr>
                  <w:tcW w:w="260" w:type="pct"/>
                  <w:vAlign w:val="center"/>
                </w:tcPr>
                <w:p w14:paraId="4B67FD2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584F388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废铅酸电池</w:t>
                  </w:r>
                </w:p>
              </w:tc>
              <w:tc>
                <w:tcPr>
                  <w:tcW w:w="303" w:type="pct"/>
                  <w:vAlign w:val="center"/>
                </w:tcPr>
                <w:p w14:paraId="245B2B7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2-3年</w:t>
                  </w:r>
                </w:p>
              </w:tc>
              <w:tc>
                <w:tcPr>
                  <w:tcW w:w="457" w:type="pct"/>
                  <w:vAlign w:val="center"/>
                </w:tcPr>
                <w:p w14:paraId="4969E2F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T/C</w:t>
                  </w:r>
                </w:p>
              </w:tc>
              <w:tc>
                <w:tcPr>
                  <w:tcW w:w="526" w:type="pct"/>
                  <w:vMerge w:val="continue"/>
                  <w:vAlign w:val="center"/>
                </w:tcPr>
                <w:p w14:paraId="796A3FA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78488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0C8CDD49">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w:t>
                  </w:r>
                </w:p>
              </w:tc>
              <w:tc>
                <w:tcPr>
                  <w:tcW w:w="260" w:type="pct"/>
                  <w:vMerge w:val="continue"/>
                  <w:vAlign w:val="center"/>
                </w:tcPr>
                <w:p w14:paraId="05251D9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3C9FD3F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废油漆桶</w:t>
                  </w:r>
                </w:p>
              </w:tc>
              <w:tc>
                <w:tcPr>
                  <w:tcW w:w="478" w:type="pct"/>
                  <w:vAlign w:val="center"/>
                </w:tcPr>
                <w:p w14:paraId="308DD8E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169B14C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900-041-49</w:t>
                  </w:r>
                </w:p>
              </w:tc>
              <w:tc>
                <w:tcPr>
                  <w:tcW w:w="423" w:type="pct"/>
                  <w:vAlign w:val="center"/>
                </w:tcPr>
                <w:p w14:paraId="3A2FE1A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w:t>
                  </w:r>
                </w:p>
              </w:tc>
              <w:tc>
                <w:tcPr>
                  <w:tcW w:w="391" w:type="pct"/>
                  <w:vAlign w:val="center"/>
                </w:tcPr>
                <w:p w14:paraId="06487E0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公司防腐防渗</w:t>
                  </w:r>
                </w:p>
              </w:tc>
              <w:tc>
                <w:tcPr>
                  <w:tcW w:w="260" w:type="pct"/>
                  <w:vAlign w:val="center"/>
                </w:tcPr>
                <w:p w14:paraId="105572A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0641003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含毒性物质</w:t>
                  </w:r>
                </w:p>
              </w:tc>
              <w:tc>
                <w:tcPr>
                  <w:tcW w:w="303" w:type="pct"/>
                  <w:vAlign w:val="center"/>
                </w:tcPr>
                <w:p w14:paraId="0DE3F5B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182C71E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w:t>
                  </w:r>
                </w:p>
              </w:tc>
              <w:tc>
                <w:tcPr>
                  <w:tcW w:w="526" w:type="pct"/>
                  <w:vMerge w:val="continue"/>
                  <w:vAlign w:val="center"/>
                </w:tcPr>
                <w:p w14:paraId="472AF55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4713E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62D0AAC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10</w:t>
                  </w:r>
                </w:p>
              </w:tc>
              <w:tc>
                <w:tcPr>
                  <w:tcW w:w="260" w:type="pct"/>
                  <w:vMerge w:val="continue"/>
                  <w:vAlign w:val="center"/>
                </w:tcPr>
                <w:p w14:paraId="5BD6FC9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5DA4AAC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废切削液</w:t>
                  </w:r>
                </w:p>
              </w:tc>
              <w:tc>
                <w:tcPr>
                  <w:tcW w:w="478" w:type="pct"/>
                  <w:vAlign w:val="center"/>
                </w:tcPr>
                <w:p w14:paraId="51B5883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HW09</w:t>
                  </w:r>
                </w:p>
              </w:tc>
              <w:tc>
                <w:tcPr>
                  <w:tcW w:w="740" w:type="pct"/>
                  <w:vAlign w:val="center"/>
                </w:tcPr>
                <w:p w14:paraId="783714A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900-006-09</w:t>
                  </w:r>
                </w:p>
              </w:tc>
              <w:tc>
                <w:tcPr>
                  <w:tcW w:w="423" w:type="pct"/>
                  <w:vAlign w:val="center"/>
                </w:tcPr>
                <w:p w14:paraId="5C0E552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0.01</w:t>
                  </w:r>
                </w:p>
              </w:tc>
              <w:tc>
                <w:tcPr>
                  <w:tcW w:w="391" w:type="pct"/>
                  <w:vAlign w:val="center"/>
                </w:tcPr>
                <w:p w14:paraId="5C879C8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机修</w:t>
                  </w:r>
                </w:p>
              </w:tc>
              <w:tc>
                <w:tcPr>
                  <w:tcW w:w="260" w:type="pct"/>
                  <w:vAlign w:val="center"/>
                </w:tcPr>
                <w:p w14:paraId="7079A78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液体</w:t>
                  </w:r>
                </w:p>
              </w:tc>
              <w:tc>
                <w:tcPr>
                  <w:tcW w:w="390" w:type="pct"/>
                  <w:vAlign w:val="center"/>
                </w:tcPr>
                <w:p w14:paraId="6C3CF13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废切削液</w:t>
                  </w:r>
                </w:p>
              </w:tc>
              <w:tc>
                <w:tcPr>
                  <w:tcW w:w="303" w:type="pct"/>
                  <w:vAlign w:val="center"/>
                </w:tcPr>
                <w:p w14:paraId="5BEE16C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2-3年</w:t>
                  </w:r>
                </w:p>
              </w:tc>
              <w:tc>
                <w:tcPr>
                  <w:tcW w:w="457" w:type="pct"/>
                  <w:vAlign w:val="center"/>
                </w:tcPr>
                <w:p w14:paraId="6875A69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w:t>
                  </w:r>
                </w:p>
              </w:tc>
              <w:tc>
                <w:tcPr>
                  <w:tcW w:w="526" w:type="pct"/>
                  <w:vMerge w:val="continue"/>
                  <w:vAlign w:val="center"/>
                </w:tcPr>
                <w:p w14:paraId="7D1C56A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432CA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7E39A233">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11</w:t>
                  </w:r>
                </w:p>
              </w:tc>
              <w:tc>
                <w:tcPr>
                  <w:tcW w:w="260" w:type="pct"/>
                  <w:vMerge w:val="continue"/>
                  <w:vAlign w:val="center"/>
                </w:tcPr>
                <w:p w14:paraId="2CD48F1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21F0E81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纤维过滤棉</w:t>
                  </w:r>
                </w:p>
              </w:tc>
              <w:tc>
                <w:tcPr>
                  <w:tcW w:w="478" w:type="pct"/>
                  <w:vAlign w:val="center"/>
                </w:tcPr>
                <w:p w14:paraId="30C5D03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5C50B07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900-039-49</w:t>
                  </w:r>
                </w:p>
              </w:tc>
              <w:tc>
                <w:tcPr>
                  <w:tcW w:w="423" w:type="pct"/>
                  <w:vAlign w:val="center"/>
                </w:tcPr>
                <w:p w14:paraId="287B8FE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0.03</w:t>
                  </w:r>
                </w:p>
              </w:tc>
              <w:tc>
                <w:tcPr>
                  <w:tcW w:w="391" w:type="pct"/>
                  <w:vAlign w:val="center"/>
                </w:tcPr>
                <w:p w14:paraId="1F2A683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废气治理吸附</w:t>
                  </w:r>
                </w:p>
              </w:tc>
              <w:tc>
                <w:tcPr>
                  <w:tcW w:w="260" w:type="pct"/>
                  <w:vAlign w:val="center"/>
                </w:tcPr>
                <w:p w14:paraId="6798901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0435D7A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废过滤棉</w:t>
                  </w:r>
                </w:p>
              </w:tc>
              <w:tc>
                <w:tcPr>
                  <w:tcW w:w="303" w:type="pct"/>
                  <w:vAlign w:val="center"/>
                </w:tcPr>
                <w:p w14:paraId="49581F9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1年</w:t>
                  </w:r>
                </w:p>
              </w:tc>
              <w:tc>
                <w:tcPr>
                  <w:tcW w:w="457" w:type="pct"/>
                  <w:vAlign w:val="center"/>
                </w:tcPr>
                <w:p w14:paraId="339A0AD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T/I</w:t>
                  </w:r>
                </w:p>
              </w:tc>
              <w:tc>
                <w:tcPr>
                  <w:tcW w:w="526" w:type="pct"/>
                  <w:vMerge w:val="continue"/>
                  <w:vAlign w:val="center"/>
                </w:tcPr>
                <w:p w14:paraId="16D041ED">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19ADB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Align w:val="center"/>
                </w:tcPr>
                <w:p w14:paraId="66392A4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12</w:t>
                  </w:r>
                </w:p>
              </w:tc>
              <w:tc>
                <w:tcPr>
                  <w:tcW w:w="260" w:type="pct"/>
                  <w:vMerge w:val="continue"/>
                  <w:vAlign w:val="center"/>
                </w:tcPr>
                <w:p w14:paraId="37DA6F9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6D446B7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生产工艺脱色废活性炭</w:t>
                  </w:r>
                </w:p>
              </w:tc>
              <w:tc>
                <w:tcPr>
                  <w:tcW w:w="478" w:type="pct"/>
                  <w:vAlign w:val="center"/>
                </w:tcPr>
                <w:p w14:paraId="0CCDE01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740" w:type="pct"/>
                  <w:vAlign w:val="center"/>
                </w:tcPr>
                <w:p w14:paraId="52A7E9C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900-039-49</w:t>
                  </w:r>
                </w:p>
              </w:tc>
              <w:tc>
                <w:tcPr>
                  <w:tcW w:w="423" w:type="pct"/>
                  <w:vAlign w:val="center"/>
                </w:tcPr>
                <w:p w14:paraId="578C3EA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position w:val="0"/>
                      <w:sz w:val="21"/>
                      <w:szCs w:val="21"/>
                      <w:highlight w:val="none"/>
                      <w:lang w:val="en-US" w:eastAsia="zh-CN"/>
                    </w:rPr>
                    <w:t>20</w:t>
                  </w:r>
                </w:p>
              </w:tc>
              <w:tc>
                <w:tcPr>
                  <w:tcW w:w="391" w:type="pct"/>
                  <w:vAlign w:val="center"/>
                </w:tcPr>
                <w:p w14:paraId="3CE8873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新工艺氨基乙酸车间脱色</w:t>
                  </w:r>
                </w:p>
              </w:tc>
              <w:tc>
                <w:tcPr>
                  <w:tcW w:w="260" w:type="pct"/>
                  <w:vAlign w:val="center"/>
                </w:tcPr>
                <w:p w14:paraId="3EED6D0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15C7347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废活性炭</w:t>
                  </w:r>
                </w:p>
              </w:tc>
              <w:tc>
                <w:tcPr>
                  <w:tcW w:w="303" w:type="pct"/>
                  <w:vAlign w:val="center"/>
                </w:tcPr>
                <w:p w14:paraId="1B7B1CF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每天</w:t>
                  </w:r>
                </w:p>
              </w:tc>
              <w:tc>
                <w:tcPr>
                  <w:tcW w:w="457" w:type="pct"/>
                  <w:vAlign w:val="center"/>
                </w:tcPr>
                <w:p w14:paraId="1628C0C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T</w:t>
                  </w:r>
                </w:p>
              </w:tc>
              <w:tc>
                <w:tcPr>
                  <w:tcW w:w="526" w:type="pct"/>
                  <w:vMerge w:val="continue"/>
                  <w:vAlign w:val="center"/>
                </w:tcPr>
                <w:p w14:paraId="33B321D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r>
            <w:tr w14:paraId="5B649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03D05EF3">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13</w:t>
                  </w:r>
                </w:p>
              </w:tc>
              <w:tc>
                <w:tcPr>
                  <w:tcW w:w="260" w:type="pct"/>
                  <w:vMerge w:val="restart"/>
                  <w:vAlign w:val="center"/>
                </w:tcPr>
                <w:p w14:paraId="58FF679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一般固废</w:t>
                  </w:r>
                </w:p>
              </w:tc>
              <w:tc>
                <w:tcPr>
                  <w:tcW w:w="506" w:type="pct"/>
                  <w:vAlign w:val="center"/>
                </w:tcPr>
                <w:p w14:paraId="4A23920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污泥</w:t>
                  </w:r>
                </w:p>
              </w:tc>
              <w:tc>
                <w:tcPr>
                  <w:tcW w:w="478" w:type="pct"/>
                  <w:vAlign w:val="center"/>
                </w:tcPr>
                <w:p w14:paraId="020843D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40" w:type="pct"/>
                  <w:vAlign w:val="center"/>
                </w:tcPr>
                <w:p w14:paraId="7693185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23" w:type="pct"/>
                  <w:vAlign w:val="center"/>
                </w:tcPr>
                <w:p w14:paraId="07BEF45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cs="Times New Roman"/>
                      <w:color w:val="auto"/>
                      <w:spacing w:val="0"/>
                      <w:w w:val="100"/>
                      <w:position w:val="0"/>
                      <w:sz w:val="21"/>
                      <w:szCs w:val="21"/>
                      <w:highlight w:val="none"/>
                      <w:lang w:val="en-US" w:eastAsia="zh-CN"/>
                    </w:rPr>
                    <w:t>500</w:t>
                  </w:r>
                </w:p>
              </w:tc>
              <w:tc>
                <w:tcPr>
                  <w:tcW w:w="391" w:type="pct"/>
                  <w:vAlign w:val="center"/>
                </w:tcPr>
                <w:p w14:paraId="7BC167B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污水处理</w:t>
                  </w:r>
                </w:p>
              </w:tc>
              <w:tc>
                <w:tcPr>
                  <w:tcW w:w="260" w:type="pct"/>
                  <w:vAlign w:val="center"/>
                </w:tcPr>
                <w:p w14:paraId="295DEE8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11F7647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污泥</w:t>
                  </w:r>
                </w:p>
              </w:tc>
              <w:tc>
                <w:tcPr>
                  <w:tcW w:w="303" w:type="pct"/>
                  <w:vAlign w:val="center"/>
                </w:tcPr>
                <w:p w14:paraId="0D2F112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4BC04E2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526" w:type="pct"/>
                  <w:vAlign w:val="center"/>
                </w:tcPr>
                <w:p w14:paraId="246A77F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定期</w:t>
                  </w:r>
                  <w:r>
                    <w:rPr>
                      <w:rFonts w:hint="eastAsia" w:ascii="Times New Roman" w:hAnsi="Times New Roman" w:eastAsia="宋体" w:cs="Times New Roman"/>
                      <w:color w:val="auto"/>
                      <w:spacing w:val="0"/>
                      <w:w w:val="100"/>
                      <w:position w:val="0"/>
                      <w:sz w:val="21"/>
                      <w:szCs w:val="21"/>
                      <w:highlight w:val="none"/>
                      <w:lang w:val="en-US" w:eastAsia="zh-CN"/>
                    </w:rPr>
                    <w:t>交</w:t>
                  </w:r>
                  <w:r>
                    <w:rPr>
                      <w:rFonts w:hint="eastAsia" w:cs="Times New Roman"/>
                      <w:color w:val="auto"/>
                      <w:spacing w:val="0"/>
                      <w:w w:val="100"/>
                      <w:position w:val="0"/>
                      <w:sz w:val="21"/>
                      <w:szCs w:val="21"/>
                      <w:highlight w:val="none"/>
                      <w:lang w:val="en-US" w:eastAsia="zh-CN"/>
                    </w:rPr>
                    <w:t>由石家庄云泉生物科技有限公司好氧无害化处置</w:t>
                  </w:r>
                </w:p>
              </w:tc>
            </w:tr>
            <w:tr w14:paraId="148B6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188B6654">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14</w:t>
                  </w:r>
                </w:p>
              </w:tc>
              <w:tc>
                <w:tcPr>
                  <w:tcW w:w="260" w:type="pct"/>
                  <w:vMerge w:val="continue"/>
                  <w:vAlign w:val="center"/>
                </w:tcPr>
                <w:p w14:paraId="60E075E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34033B3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生产工艺脱色废活性炭</w:t>
                  </w:r>
                </w:p>
              </w:tc>
              <w:tc>
                <w:tcPr>
                  <w:tcW w:w="478" w:type="pct"/>
                  <w:vAlign w:val="center"/>
                </w:tcPr>
                <w:p w14:paraId="5547E7F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w:t>
                  </w:r>
                </w:p>
              </w:tc>
              <w:tc>
                <w:tcPr>
                  <w:tcW w:w="740" w:type="pct"/>
                  <w:vAlign w:val="center"/>
                </w:tcPr>
                <w:p w14:paraId="291DDEC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w:t>
                  </w:r>
                </w:p>
              </w:tc>
              <w:tc>
                <w:tcPr>
                  <w:tcW w:w="423" w:type="pct"/>
                  <w:vAlign w:val="center"/>
                </w:tcPr>
                <w:p w14:paraId="66F78C5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168</w:t>
                  </w:r>
                </w:p>
              </w:tc>
              <w:tc>
                <w:tcPr>
                  <w:tcW w:w="391" w:type="pct"/>
                  <w:vAlign w:val="center"/>
                </w:tcPr>
                <w:p w14:paraId="0B43C5B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精制脱色</w:t>
                  </w:r>
                </w:p>
              </w:tc>
              <w:tc>
                <w:tcPr>
                  <w:tcW w:w="260" w:type="pct"/>
                  <w:vAlign w:val="center"/>
                </w:tcPr>
                <w:p w14:paraId="005622F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7E6C947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废活性炭</w:t>
                  </w:r>
                </w:p>
              </w:tc>
              <w:tc>
                <w:tcPr>
                  <w:tcW w:w="303" w:type="pct"/>
                  <w:vAlign w:val="center"/>
                </w:tcPr>
                <w:p w14:paraId="33FA810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1个月</w:t>
                  </w:r>
                </w:p>
              </w:tc>
              <w:tc>
                <w:tcPr>
                  <w:tcW w:w="457" w:type="pct"/>
                  <w:vAlign w:val="center"/>
                </w:tcPr>
                <w:p w14:paraId="64D2620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w:t>
                  </w:r>
                </w:p>
              </w:tc>
              <w:tc>
                <w:tcPr>
                  <w:tcW w:w="526" w:type="pct"/>
                  <w:vAlign w:val="center"/>
                </w:tcPr>
                <w:p w14:paraId="51503876">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定期交由</w:t>
                  </w:r>
                  <w:r>
                    <w:rPr>
                      <w:rFonts w:hint="eastAsia" w:ascii="Times New Roman" w:hAnsi="Times New Roman" w:eastAsia="宋体" w:cs="Times New Roman"/>
                      <w:color w:val="auto"/>
                      <w:spacing w:val="0"/>
                      <w:w w:val="100"/>
                      <w:position w:val="0"/>
                      <w:sz w:val="21"/>
                      <w:szCs w:val="21"/>
                      <w:highlight w:val="none"/>
                      <w:lang w:val="en-US" w:eastAsia="zh-CN"/>
                    </w:rPr>
                    <w:t>辛集市瀚蓝环保科技有限</w:t>
                  </w:r>
                  <w:r>
                    <w:rPr>
                      <w:rFonts w:hint="default" w:ascii="Times New Roman" w:hAnsi="Times New Roman" w:eastAsia="宋体" w:cs="Times New Roman"/>
                      <w:color w:val="auto"/>
                      <w:spacing w:val="0"/>
                      <w:w w:val="100"/>
                      <w:position w:val="0"/>
                      <w:sz w:val="21"/>
                      <w:szCs w:val="21"/>
                      <w:highlight w:val="none"/>
                      <w:lang w:val="en-US" w:eastAsia="zh-CN"/>
                    </w:rPr>
                    <w:t>公司处置</w:t>
                  </w:r>
                </w:p>
              </w:tc>
            </w:tr>
            <w:tr w14:paraId="15A73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shd w:val="clear" w:color="auto" w:fill="auto"/>
                  <w:vAlign w:val="center"/>
                </w:tcPr>
                <w:p w14:paraId="241BDDA4">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15</w:t>
                  </w:r>
                </w:p>
              </w:tc>
              <w:tc>
                <w:tcPr>
                  <w:tcW w:w="260" w:type="pct"/>
                  <w:vMerge w:val="continue"/>
                  <w:vAlign w:val="center"/>
                </w:tcPr>
                <w:p w14:paraId="786FECA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p>
              </w:tc>
              <w:tc>
                <w:tcPr>
                  <w:tcW w:w="506" w:type="pct"/>
                  <w:vAlign w:val="center"/>
                </w:tcPr>
                <w:p w14:paraId="65D5A8C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废外包装材料</w:t>
                  </w:r>
                </w:p>
              </w:tc>
              <w:tc>
                <w:tcPr>
                  <w:tcW w:w="478" w:type="pct"/>
                  <w:vAlign w:val="center"/>
                </w:tcPr>
                <w:p w14:paraId="0DF1F51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40" w:type="pct"/>
                  <w:vAlign w:val="center"/>
                </w:tcPr>
                <w:p w14:paraId="4F555574">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23" w:type="pct"/>
                  <w:vAlign w:val="center"/>
                </w:tcPr>
                <w:p w14:paraId="442BBB5B">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20.5</w:t>
                  </w:r>
                </w:p>
              </w:tc>
              <w:tc>
                <w:tcPr>
                  <w:tcW w:w="391" w:type="pct"/>
                  <w:vAlign w:val="center"/>
                </w:tcPr>
                <w:p w14:paraId="7E6CCF68">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外包装</w:t>
                  </w:r>
                </w:p>
              </w:tc>
              <w:tc>
                <w:tcPr>
                  <w:tcW w:w="260" w:type="pct"/>
                  <w:vAlign w:val="center"/>
                </w:tcPr>
                <w:p w14:paraId="6D1429E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zh-CN" w:eastAsia="zh-CN"/>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52CC3537">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废包装材料</w:t>
                  </w:r>
                </w:p>
              </w:tc>
              <w:tc>
                <w:tcPr>
                  <w:tcW w:w="303" w:type="pct"/>
                  <w:vAlign w:val="center"/>
                </w:tcPr>
                <w:p w14:paraId="234A68D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每天</w:t>
                  </w:r>
                </w:p>
              </w:tc>
              <w:tc>
                <w:tcPr>
                  <w:tcW w:w="457" w:type="pct"/>
                  <w:vAlign w:val="center"/>
                </w:tcPr>
                <w:p w14:paraId="2A385A8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526" w:type="pct"/>
                  <w:vAlign w:val="center"/>
                </w:tcPr>
                <w:p w14:paraId="6BA127EE">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由生产厂家回收</w:t>
                  </w:r>
                </w:p>
              </w:tc>
            </w:tr>
            <w:tr w14:paraId="5AD67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 w:hRule="atLeast"/>
              </w:trPr>
              <w:tc>
                <w:tcPr>
                  <w:tcW w:w="259" w:type="pct"/>
                  <w:vAlign w:val="center"/>
                </w:tcPr>
                <w:p w14:paraId="17C7EDC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16</w:t>
                  </w:r>
                </w:p>
              </w:tc>
              <w:tc>
                <w:tcPr>
                  <w:tcW w:w="260" w:type="pct"/>
                  <w:vAlign w:val="center"/>
                </w:tcPr>
                <w:p w14:paraId="12B3204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生活垃圾</w:t>
                  </w:r>
                </w:p>
              </w:tc>
              <w:tc>
                <w:tcPr>
                  <w:tcW w:w="506" w:type="pct"/>
                  <w:vAlign w:val="center"/>
                </w:tcPr>
                <w:p w14:paraId="6549F032">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生活垃圾</w:t>
                  </w:r>
                </w:p>
              </w:tc>
              <w:tc>
                <w:tcPr>
                  <w:tcW w:w="478" w:type="pct"/>
                  <w:vAlign w:val="center"/>
                </w:tcPr>
                <w:p w14:paraId="05995E91">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740" w:type="pct"/>
                  <w:vAlign w:val="center"/>
                </w:tcPr>
                <w:p w14:paraId="1F4262F0">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423" w:type="pct"/>
                  <w:vAlign w:val="center"/>
                </w:tcPr>
                <w:p w14:paraId="2C499893">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135</w:t>
                  </w:r>
                </w:p>
              </w:tc>
              <w:tc>
                <w:tcPr>
                  <w:tcW w:w="391" w:type="pct"/>
                  <w:vAlign w:val="center"/>
                </w:tcPr>
                <w:p w14:paraId="6B424F5A">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职工生活</w:t>
                  </w:r>
                </w:p>
              </w:tc>
              <w:tc>
                <w:tcPr>
                  <w:tcW w:w="260" w:type="pct"/>
                  <w:vAlign w:val="center"/>
                </w:tcPr>
                <w:p w14:paraId="7343CBE5">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固体</w:t>
                  </w:r>
                </w:p>
              </w:tc>
              <w:tc>
                <w:tcPr>
                  <w:tcW w:w="390" w:type="pct"/>
                  <w:vAlign w:val="center"/>
                </w:tcPr>
                <w:p w14:paraId="6D38F87F">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生活垃圾</w:t>
                  </w:r>
                </w:p>
              </w:tc>
              <w:tc>
                <w:tcPr>
                  <w:tcW w:w="303" w:type="pct"/>
                  <w:vAlign w:val="center"/>
                </w:tcPr>
                <w:p w14:paraId="2DF2C25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每天</w:t>
                  </w:r>
                </w:p>
              </w:tc>
              <w:tc>
                <w:tcPr>
                  <w:tcW w:w="457" w:type="pct"/>
                  <w:vAlign w:val="center"/>
                </w:tcPr>
                <w:p w14:paraId="141BF199">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w:t>
                  </w:r>
                </w:p>
              </w:tc>
              <w:tc>
                <w:tcPr>
                  <w:tcW w:w="526" w:type="pct"/>
                  <w:vAlign w:val="center"/>
                </w:tcPr>
                <w:p w14:paraId="55EE22EC">
                  <w:pPr>
                    <w:keepNext w:val="0"/>
                    <w:keepLines w:val="0"/>
                    <w:suppressLineNumbers w:val="0"/>
                    <w:shd w:val="clear"/>
                    <w:snapToGrid w:val="0"/>
                    <w:spacing w:before="0" w:beforeAutospacing="0" w:after="0" w:afterAutospacing="0" w:line="280" w:lineRule="exact"/>
                    <w:ind w:left="-10" w:leftChars="-4" w:right="0" w:firstLine="0" w:firstLineChars="0"/>
                    <w:jc w:val="center"/>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由环卫部门处理</w:t>
                  </w:r>
                </w:p>
              </w:tc>
            </w:tr>
          </w:tbl>
          <w:p w14:paraId="2974C46F">
            <w:pPr>
              <w:pStyle w:val="5"/>
              <w:keepNext/>
              <w:keepLines/>
              <w:pageBreakBefore w:val="0"/>
              <w:widowControl w:val="0"/>
              <w:numPr>
                <w:ilvl w:val="2"/>
                <w:numId w:val="0"/>
              </w:numPr>
              <w:kinsoku/>
              <w:wordWrap/>
              <w:overflowPunct/>
              <w:topLinePunct w:val="0"/>
              <w:autoSpaceDE/>
              <w:autoSpaceDN/>
              <w:bidi w:val="0"/>
              <w:adjustRightInd/>
              <w:snapToGrid/>
              <w:spacing w:before="0" w:after="0" w:line="360" w:lineRule="auto"/>
              <w:ind w:leftChars="0" w:firstLine="420" w:firstLineChars="200"/>
              <w:textAlignment w:val="auto"/>
              <w:rPr>
                <w:rFonts w:hint="default" w:ascii="Times New Roman" w:hAnsi="Times New Roman" w:eastAsia="宋体" w:cs="Times New Roman"/>
                <w:b w:val="0"/>
                <w:bCs/>
                <w:color w:val="auto"/>
                <w:spacing w:val="0"/>
                <w:w w:val="100"/>
                <w:position w:val="0"/>
                <w:sz w:val="21"/>
                <w:szCs w:val="21"/>
                <w:lang w:val="en-US" w:eastAsia="zh-CN"/>
              </w:rPr>
            </w:pPr>
            <w:r>
              <w:rPr>
                <w:rFonts w:hint="default" w:ascii="Times New Roman" w:hAnsi="Times New Roman" w:eastAsia="宋体" w:cs="Times New Roman"/>
                <w:b w:val="0"/>
                <w:bCs/>
                <w:color w:val="auto"/>
                <w:spacing w:val="0"/>
                <w:w w:val="100"/>
                <w:position w:val="0"/>
                <w:sz w:val="21"/>
                <w:szCs w:val="21"/>
                <w:lang w:val="en-US" w:eastAsia="zh-CN"/>
              </w:rPr>
              <w:t>（5）其他环境管理措施</w:t>
            </w:r>
          </w:p>
          <w:p w14:paraId="4CBF5305">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1、风险防范措施</w:t>
            </w:r>
          </w:p>
          <w:p w14:paraId="1373C7A0">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1）罐区防范措施</w:t>
            </w:r>
          </w:p>
          <w:p w14:paraId="33505D1B">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①</w:t>
            </w:r>
            <w:r>
              <w:rPr>
                <w:rFonts w:hint="default" w:ascii="Times New Roman" w:hAnsi="Times New Roman" w:eastAsia="宋体" w:cs="Times New Roman"/>
                <w:color w:val="auto"/>
                <w:spacing w:val="0"/>
                <w:w w:val="100"/>
                <w:position w:val="0"/>
                <w:sz w:val="21"/>
                <w:szCs w:val="21"/>
                <w:highlight w:val="none"/>
              </w:rPr>
              <w:t>储罐区采用耐腐蚀性水泥及玻璃纤维等进行地面防渗处理，周围设置围堰，防止物料泄露漫流。</w:t>
            </w:r>
          </w:p>
          <w:p w14:paraId="70F01C58">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②</w:t>
            </w:r>
            <w:r>
              <w:rPr>
                <w:rFonts w:hint="default" w:ascii="Times New Roman" w:hAnsi="Times New Roman" w:eastAsia="宋体" w:cs="Times New Roman"/>
                <w:color w:val="auto"/>
                <w:spacing w:val="0"/>
                <w:w w:val="100"/>
                <w:position w:val="0"/>
                <w:sz w:val="21"/>
                <w:szCs w:val="21"/>
                <w:highlight w:val="none"/>
              </w:rPr>
              <w:t>当发生物料泄漏时能回收利用的尽量回用，不能回收的排入厂区污水处理站经进行处理。</w:t>
            </w:r>
          </w:p>
          <w:p w14:paraId="0849DA1C">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③</w:t>
            </w:r>
            <w:r>
              <w:rPr>
                <w:rFonts w:hint="default" w:ascii="Times New Roman" w:hAnsi="Times New Roman" w:eastAsia="宋体" w:cs="Times New Roman"/>
                <w:color w:val="auto"/>
                <w:spacing w:val="0"/>
                <w:w w:val="100"/>
                <w:position w:val="0"/>
                <w:sz w:val="21"/>
                <w:szCs w:val="21"/>
                <w:highlight w:val="none"/>
              </w:rPr>
              <w:t>设置消防废水收集池，发生事故后消防废水被收集于</w:t>
            </w:r>
            <w:r>
              <w:rPr>
                <w:rFonts w:hint="default" w:ascii="Times New Roman" w:hAnsi="Times New Roman" w:eastAsia="宋体" w:cs="Times New Roman"/>
                <w:color w:val="auto"/>
                <w:spacing w:val="0"/>
                <w:w w:val="100"/>
                <w:position w:val="0"/>
                <w:sz w:val="21"/>
                <w:szCs w:val="21"/>
                <w:highlight w:val="none"/>
                <w:lang w:val="en-US" w:eastAsia="zh-CN"/>
              </w:rPr>
              <w:t>初期</w:t>
            </w:r>
            <w:r>
              <w:rPr>
                <w:rFonts w:hint="default" w:ascii="Times New Roman" w:hAnsi="Times New Roman" w:eastAsia="宋体" w:cs="Times New Roman"/>
                <w:color w:val="auto"/>
                <w:spacing w:val="0"/>
                <w:w w:val="100"/>
                <w:position w:val="0"/>
                <w:sz w:val="21"/>
                <w:szCs w:val="21"/>
                <w:highlight w:val="none"/>
              </w:rPr>
              <w:t>雨水收集池（兼</w:t>
            </w:r>
            <w:r>
              <w:rPr>
                <w:rFonts w:hint="default" w:ascii="Times New Roman" w:hAnsi="Times New Roman" w:eastAsia="宋体" w:cs="Times New Roman"/>
                <w:color w:val="auto"/>
                <w:spacing w:val="0"/>
                <w:w w:val="100"/>
                <w:position w:val="0"/>
                <w:sz w:val="21"/>
                <w:szCs w:val="21"/>
                <w:highlight w:val="none"/>
                <w:lang w:eastAsia="zh-CN"/>
              </w:rPr>
              <w:t>事故水池</w:t>
            </w:r>
            <w:r>
              <w:rPr>
                <w:rFonts w:hint="default" w:ascii="Times New Roman" w:hAnsi="Times New Roman" w:eastAsia="宋体" w:cs="Times New Roman"/>
                <w:color w:val="auto"/>
                <w:spacing w:val="0"/>
                <w:w w:val="100"/>
                <w:position w:val="0"/>
                <w:sz w:val="21"/>
                <w:szCs w:val="21"/>
                <w:highlight w:val="none"/>
              </w:rPr>
              <w:t>）内，消防废水严禁直接排放，阻断事故污水进入外环境，避免发生废水次生污染。</w:t>
            </w:r>
          </w:p>
          <w:p w14:paraId="7ADDA733">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④</w:t>
            </w:r>
            <w:r>
              <w:rPr>
                <w:rFonts w:hint="default" w:ascii="Times New Roman" w:hAnsi="Times New Roman" w:eastAsia="宋体" w:cs="Times New Roman"/>
                <w:color w:val="auto"/>
                <w:spacing w:val="0"/>
                <w:w w:val="100"/>
                <w:position w:val="0"/>
                <w:sz w:val="21"/>
                <w:szCs w:val="21"/>
                <w:highlight w:val="none"/>
              </w:rPr>
              <w:t>甲醇罐区每个罐上都安装呼吸阀以保证甲醇中溶解的低沸点气体闪蒸出去，使储罐处于常压状态。</w:t>
            </w:r>
          </w:p>
          <w:p w14:paraId="454DD98F">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2</w:t>
            </w:r>
            <w:r>
              <w:rPr>
                <w:rFonts w:hint="default" w:ascii="Times New Roman" w:hAnsi="Times New Roman" w:eastAsia="宋体"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lang w:val="en-US" w:eastAsia="zh-CN"/>
              </w:rPr>
              <w:t>生产车间防范措施</w:t>
            </w:r>
          </w:p>
          <w:p w14:paraId="13C2223D">
            <w:pPr>
              <w:shd w:val="clear"/>
              <w:ind w:firstLine="480"/>
              <w:rPr>
                <w:rFonts w:hint="default" w:ascii="Times New Roman" w:hAnsi="Times New Roman" w:eastAsia="宋体" w:cs="Times New Roman"/>
                <w:color w:val="auto"/>
                <w:spacing w:val="0"/>
                <w:w w:val="100"/>
                <w:position w:val="0"/>
                <w:sz w:val="21"/>
                <w:szCs w:val="21"/>
                <w:highlight w:val="none"/>
              </w:rPr>
            </w:pPr>
            <w:bookmarkStart w:id="29" w:name="_Toc335083113"/>
            <w:bookmarkStart w:id="30" w:name="_Toc335082970"/>
            <w:r>
              <w:rPr>
                <w:rFonts w:hint="default" w:ascii="Times New Roman" w:hAnsi="Times New Roman" w:eastAsia="宋体" w:cs="Times New Roman"/>
                <w:color w:val="auto"/>
                <w:spacing w:val="0"/>
                <w:w w:val="100"/>
                <w:position w:val="0"/>
                <w:sz w:val="21"/>
                <w:szCs w:val="21"/>
                <w:highlight w:val="none"/>
                <w:lang w:val="en-US" w:eastAsia="zh-CN"/>
              </w:rPr>
              <w:t>①</w:t>
            </w:r>
            <w:bookmarkEnd w:id="29"/>
            <w:bookmarkEnd w:id="30"/>
            <w:r>
              <w:rPr>
                <w:rFonts w:hint="default" w:ascii="Times New Roman" w:hAnsi="Times New Roman" w:eastAsia="宋体" w:cs="Times New Roman"/>
                <w:color w:val="auto"/>
                <w:spacing w:val="0"/>
                <w:w w:val="100"/>
                <w:position w:val="0"/>
                <w:sz w:val="21"/>
                <w:szCs w:val="21"/>
                <w:highlight w:val="none"/>
              </w:rPr>
              <w:t>生产设计中尽量采用自动化控制，减少操作人员接触有毒化学品的机会。</w:t>
            </w:r>
          </w:p>
          <w:p w14:paraId="71B86720">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②</w:t>
            </w:r>
            <w:r>
              <w:rPr>
                <w:rFonts w:hint="default" w:ascii="Times New Roman" w:hAnsi="Times New Roman" w:eastAsia="宋体" w:cs="Times New Roman"/>
                <w:color w:val="auto"/>
                <w:spacing w:val="0"/>
                <w:w w:val="100"/>
                <w:position w:val="0"/>
                <w:sz w:val="21"/>
                <w:szCs w:val="21"/>
                <w:highlight w:val="none"/>
              </w:rPr>
              <w:t>具有火灾爆炸危险或设备、容器、管道、贮罐等按规定设计安全阀等保护设施。</w:t>
            </w:r>
          </w:p>
          <w:p w14:paraId="08BDED87">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③</w:t>
            </w:r>
            <w:r>
              <w:rPr>
                <w:rFonts w:hint="default" w:ascii="Times New Roman" w:hAnsi="Times New Roman" w:eastAsia="宋体" w:cs="Times New Roman"/>
                <w:color w:val="auto"/>
                <w:spacing w:val="0"/>
                <w:w w:val="100"/>
                <w:position w:val="0"/>
                <w:sz w:val="21"/>
                <w:szCs w:val="21"/>
                <w:highlight w:val="none"/>
              </w:rPr>
              <w:t>生产车间内地面全部水泥硬化防渗处理，各生产车间均建设事故防渗池，事故池采取水泥硬化防渗，同时在生产车间内设收集口，当发生事故时，溢流的事故废液能有效收集至事故池内。</w:t>
            </w:r>
          </w:p>
          <w:p w14:paraId="551DBA85">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3）污水处理站防范措施</w:t>
            </w:r>
          </w:p>
          <w:p w14:paraId="4630F7C1">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①</w:t>
            </w:r>
            <w:r>
              <w:rPr>
                <w:rFonts w:hint="default" w:ascii="Times New Roman" w:hAnsi="Times New Roman" w:eastAsia="宋体" w:cs="Times New Roman"/>
                <w:color w:val="auto"/>
                <w:spacing w:val="0"/>
                <w:w w:val="100"/>
                <w:position w:val="0"/>
                <w:sz w:val="21"/>
                <w:szCs w:val="21"/>
                <w:highlight w:val="none"/>
              </w:rPr>
              <w:t>全厂污水经收水管网排入污水处理站，经污水处理站处理后的污水经污水总排水口排入污水管网。</w:t>
            </w:r>
          </w:p>
          <w:p w14:paraId="7ABAD9BB">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②</w:t>
            </w:r>
            <w:r>
              <w:rPr>
                <w:rFonts w:hint="default" w:ascii="Times New Roman" w:hAnsi="Times New Roman" w:eastAsia="宋体" w:cs="Times New Roman"/>
                <w:color w:val="auto"/>
                <w:spacing w:val="0"/>
                <w:w w:val="100"/>
                <w:position w:val="0"/>
                <w:sz w:val="21"/>
                <w:szCs w:val="21"/>
                <w:highlight w:val="none"/>
              </w:rPr>
              <w:t>装置生产中排水的水质、水量都可能受各种因素的影响而发生波动。特别是装置大检修和开停工时有较大量或较高浓度的污水排出。为防止非正常工况下污水冲击对污水处理站可能造成的影响，厂区建有800</w:t>
            </w:r>
            <w:r>
              <w:rPr>
                <w:rFonts w:hint="default" w:ascii="Times New Roman" w:hAnsi="Times New Roman" w:eastAsia="宋体" w:cs="Times New Roman"/>
                <w:color w:val="auto"/>
                <w:spacing w:val="0"/>
                <w:w w:val="100"/>
                <w:position w:val="0"/>
                <w:sz w:val="21"/>
                <w:szCs w:val="21"/>
                <w:highlight w:val="none"/>
                <w:lang w:val="en-US" w:eastAsia="zh-CN"/>
              </w:rPr>
              <w:t>m³</w:t>
            </w:r>
            <w:r>
              <w:rPr>
                <w:rFonts w:hint="default" w:ascii="Times New Roman" w:hAnsi="Times New Roman" w:eastAsia="宋体" w:cs="Times New Roman"/>
                <w:color w:val="auto"/>
                <w:spacing w:val="0"/>
                <w:w w:val="100"/>
                <w:position w:val="0"/>
                <w:sz w:val="21"/>
                <w:szCs w:val="21"/>
                <w:highlight w:val="none"/>
              </w:rPr>
              <w:t>的事故收集池</w:t>
            </w:r>
            <w:r>
              <w:rPr>
                <w:rFonts w:hint="default" w:ascii="Times New Roman" w:hAnsi="Times New Roman" w:eastAsia="宋体"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可尽量减少非正常工况下的污水的冲击。</w:t>
            </w:r>
          </w:p>
          <w:p w14:paraId="33929D7D">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③</w:t>
            </w:r>
            <w:r>
              <w:rPr>
                <w:rFonts w:hint="default" w:ascii="Times New Roman" w:hAnsi="Times New Roman" w:eastAsia="宋体" w:cs="Times New Roman"/>
                <w:color w:val="auto"/>
                <w:spacing w:val="0"/>
                <w:w w:val="100"/>
                <w:position w:val="0"/>
                <w:sz w:val="21"/>
                <w:szCs w:val="21"/>
                <w:highlight w:val="none"/>
              </w:rPr>
              <w:t>对污水站各处理单元定时进行监测化验。</w:t>
            </w:r>
          </w:p>
          <w:p w14:paraId="23A1ADA1">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④</w:t>
            </w:r>
            <w:r>
              <w:rPr>
                <w:rFonts w:hint="default" w:ascii="Times New Roman" w:hAnsi="Times New Roman" w:eastAsia="宋体" w:cs="Times New Roman"/>
                <w:color w:val="auto"/>
                <w:spacing w:val="0"/>
                <w:w w:val="100"/>
                <w:position w:val="0"/>
                <w:sz w:val="21"/>
                <w:szCs w:val="21"/>
                <w:highlight w:val="none"/>
              </w:rPr>
              <w:t>在总排水口设置在线监测装置，定时取样析化验，以掌握实时数据。</w:t>
            </w:r>
          </w:p>
          <w:p w14:paraId="77C9DDC3">
            <w:pPr>
              <w:shd w:val="clear"/>
              <w:ind w:firstLine="48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⑤</w:t>
            </w:r>
            <w:r>
              <w:rPr>
                <w:rFonts w:hint="default" w:ascii="Times New Roman" w:hAnsi="Times New Roman" w:eastAsia="宋体" w:cs="Times New Roman"/>
                <w:color w:val="auto"/>
                <w:spacing w:val="0"/>
                <w:w w:val="100"/>
                <w:position w:val="0"/>
                <w:sz w:val="21"/>
                <w:szCs w:val="21"/>
                <w:highlight w:val="none"/>
              </w:rPr>
              <w:t>为防止污水外溢，公司另在污水站建了一座1560</w:t>
            </w:r>
            <w:r>
              <w:rPr>
                <w:rFonts w:hint="default" w:ascii="Times New Roman" w:hAnsi="Times New Roman" w:eastAsia="宋体" w:cs="Times New Roman"/>
                <w:color w:val="auto"/>
                <w:spacing w:val="0"/>
                <w:w w:val="100"/>
                <w:position w:val="0"/>
                <w:sz w:val="21"/>
                <w:szCs w:val="21"/>
                <w:highlight w:val="none"/>
                <w:lang w:val="en-US" w:eastAsia="zh-CN"/>
              </w:rPr>
              <w:t>m³</w:t>
            </w:r>
            <w:r>
              <w:rPr>
                <w:rFonts w:hint="default" w:ascii="Times New Roman" w:hAnsi="Times New Roman" w:eastAsia="宋体" w:cs="Times New Roman"/>
                <w:color w:val="auto"/>
                <w:spacing w:val="0"/>
                <w:w w:val="100"/>
                <w:position w:val="0"/>
                <w:sz w:val="21"/>
                <w:szCs w:val="21"/>
                <w:highlight w:val="none"/>
              </w:rPr>
              <w:t>的调节水池。也可暂时做储存用。</w:t>
            </w:r>
          </w:p>
          <w:p w14:paraId="49338090">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4）雨水收集、排放措施</w:t>
            </w:r>
          </w:p>
          <w:p w14:paraId="2B269A14">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①企业有1座500m³的初期雨水的收集池；池出水管上设置切断阀，防止受污染的水外排；池内设有提升设施，能将所集物送至厂区内污水处理设施处理；</w:t>
            </w:r>
          </w:p>
          <w:p w14:paraId="0BE3D102">
            <w:pPr>
              <w:shd w:val="clear"/>
              <w:ind w:firstLine="480"/>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position w:val="0"/>
                <w:sz w:val="21"/>
                <w:szCs w:val="21"/>
                <w:highlight w:val="none"/>
                <w:lang w:val="en-US" w:eastAsia="zh-CN"/>
              </w:rPr>
              <w:t>②企业具有雨水系统外排总排口监视及关闭设施，防止雨水、消防水和泄漏物进入外环境。</w:t>
            </w:r>
          </w:p>
          <w:p w14:paraId="53FFBE6B">
            <w:pPr>
              <w:spacing w:line="440" w:lineRule="exact"/>
              <w:ind w:firstLine="420" w:firstLineChars="200"/>
              <w:rPr>
                <w:rFonts w:hint="default" w:ascii="Times New Roman" w:hAnsi="Times New Roman" w:eastAsia="宋体" w:cs="Times New Roman"/>
                <w:color w:val="auto"/>
                <w:spacing w:val="0"/>
                <w:w w:val="100"/>
                <w:kern w:val="2"/>
                <w:position w:val="0"/>
                <w:sz w:val="21"/>
                <w:szCs w:val="21"/>
                <w:highlight w:val="none"/>
              </w:rPr>
            </w:pPr>
            <w:r>
              <w:rPr>
                <w:rFonts w:hint="default" w:ascii="Times New Roman" w:hAnsi="Times New Roman" w:eastAsia="宋体" w:cs="Times New Roman"/>
                <w:color w:val="auto"/>
                <w:spacing w:val="0"/>
                <w:w w:val="100"/>
                <w:kern w:val="2"/>
                <w:position w:val="0"/>
                <w:sz w:val="21"/>
                <w:szCs w:val="21"/>
                <w:highlight w:val="none"/>
              </w:rPr>
              <w:t>5）防渗</w:t>
            </w:r>
          </w:p>
          <w:p w14:paraId="05BC26EF">
            <w:pPr>
              <w:spacing w:line="440" w:lineRule="exact"/>
              <w:ind w:firstLine="420" w:firstLineChars="20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lang w:eastAsia="zh-CN"/>
              </w:rPr>
              <w:t>现有工程</w:t>
            </w:r>
            <w:r>
              <w:rPr>
                <w:rFonts w:hint="default" w:ascii="Times New Roman" w:hAnsi="Times New Roman" w:eastAsia="宋体" w:cs="Times New Roman"/>
                <w:color w:val="auto"/>
                <w:spacing w:val="0"/>
                <w:w w:val="100"/>
                <w:position w:val="0"/>
                <w:sz w:val="21"/>
                <w:szCs w:val="21"/>
                <w:highlight w:val="none"/>
              </w:rPr>
              <w:t>厂区进行</w:t>
            </w:r>
            <w:r>
              <w:rPr>
                <w:rFonts w:hint="default" w:ascii="Times New Roman" w:hAnsi="Times New Roman" w:eastAsia="宋体" w:cs="Times New Roman"/>
                <w:color w:val="auto"/>
                <w:spacing w:val="0"/>
                <w:w w:val="100"/>
                <w:position w:val="0"/>
                <w:sz w:val="21"/>
                <w:szCs w:val="21"/>
                <w:highlight w:val="none"/>
                <w:lang w:eastAsia="zh-CN"/>
              </w:rPr>
              <w:t>了</w:t>
            </w:r>
            <w:r>
              <w:rPr>
                <w:rFonts w:hint="default" w:ascii="Times New Roman" w:hAnsi="Times New Roman" w:eastAsia="宋体" w:cs="Times New Roman"/>
                <w:color w:val="auto"/>
                <w:spacing w:val="0"/>
                <w:w w:val="100"/>
                <w:position w:val="0"/>
                <w:sz w:val="21"/>
                <w:szCs w:val="21"/>
                <w:highlight w:val="none"/>
              </w:rPr>
              <w:t>分区防渗，对生产车间地面等进行</w:t>
            </w:r>
            <w:r>
              <w:rPr>
                <w:rFonts w:hint="default" w:ascii="Times New Roman" w:hAnsi="Times New Roman" w:eastAsia="宋体" w:cs="Times New Roman"/>
                <w:color w:val="auto"/>
                <w:spacing w:val="0"/>
                <w:w w:val="100"/>
                <w:position w:val="0"/>
                <w:sz w:val="21"/>
                <w:szCs w:val="21"/>
                <w:highlight w:val="none"/>
                <w:lang w:eastAsia="zh-CN"/>
              </w:rPr>
              <w:t>了</w:t>
            </w:r>
            <w:r>
              <w:rPr>
                <w:rFonts w:hint="default" w:ascii="Times New Roman" w:hAnsi="Times New Roman" w:eastAsia="宋体" w:cs="Times New Roman"/>
                <w:color w:val="auto"/>
                <w:spacing w:val="0"/>
                <w:w w:val="100"/>
                <w:position w:val="0"/>
                <w:sz w:val="21"/>
                <w:szCs w:val="21"/>
                <w:highlight w:val="none"/>
              </w:rPr>
              <w:t>不同程度的防腐防渗处理。</w:t>
            </w:r>
          </w:p>
          <w:p w14:paraId="0B514D64">
            <w:pPr>
              <w:spacing w:line="440" w:lineRule="exact"/>
              <w:ind w:firstLine="420" w:firstLineChars="200"/>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储罐区设置围堰，围堰四周及地面采用15cm钢筋混凝土结构，抗渗混凝土浇筑。危废间地面铺设20cm砂石层；砂石层上铺设防渗层，防渗层上采用抗渗混凝土等防渗措施。事故池</w:t>
            </w:r>
            <w:r>
              <w:rPr>
                <w:rFonts w:hint="default" w:ascii="Times New Roman" w:hAnsi="Times New Roman" w:eastAsia="宋体" w:cs="Times New Roman"/>
                <w:color w:val="auto"/>
                <w:spacing w:val="0"/>
                <w:w w:val="100"/>
                <w:position w:val="0"/>
                <w:sz w:val="21"/>
                <w:szCs w:val="21"/>
                <w:highlight w:val="none"/>
                <w:lang w:eastAsia="zh-CN"/>
              </w:rPr>
              <w:t>、</w:t>
            </w:r>
            <w:r>
              <w:rPr>
                <w:rFonts w:hint="default" w:ascii="Times New Roman" w:hAnsi="Times New Roman" w:eastAsia="宋体" w:cs="Times New Roman"/>
                <w:color w:val="auto"/>
                <w:spacing w:val="0"/>
                <w:w w:val="100"/>
                <w:position w:val="0"/>
                <w:sz w:val="21"/>
                <w:szCs w:val="21"/>
                <w:highlight w:val="none"/>
              </w:rPr>
              <w:t>初期雨水收集池、循环水池围堰四周及地面采用钢筋混凝土结构，抗渗混凝土浇筑。生产车间、仓库地面均进行防渗处理，采用底层为三合土压实、上层为防渗水泥。</w:t>
            </w:r>
          </w:p>
          <w:p w14:paraId="180FCE39">
            <w:pPr>
              <w:spacing w:line="440" w:lineRule="exact"/>
              <w:ind w:firstLine="420" w:firstLineChars="200"/>
              <w:rPr>
                <w:rFonts w:hint="default" w:ascii="Times New Roman" w:hAnsi="Times New Roman" w:eastAsia="宋体" w:cs="Times New Roman"/>
                <w:color w:val="auto"/>
                <w:spacing w:val="0"/>
                <w:w w:val="100"/>
                <w:kern w:val="2"/>
                <w:position w:val="0"/>
                <w:sz w:val="21"/>
                <w:szCs w:val="21"/>
                <w:highlight w:val="none"/>
                <w:vertAlign w:val="baseline"/>
                <w:lang w:val="en-US" w:eastAsia="zh-CN"/>
              </w:rPr>
            </w:pPr>
            <w:r>
              <w:rPr>
                <w:rFonts w:hint="default" w:ascii="Times New Roman" w:hAnsi="Times New Roman" w:eastAsia="宋体" w:cs="Times New Roman"/>
                <w:color w:val="auto"/>
                <w:spacing w:val="0"/>
                <w:w w:val="100"/>
                <w:kern w:val="2"/>
                <w:position w:val="0"/>
                <w:sz w:val="21"/>
                <w:szCs w:val="21"/>
                <w:highlight w:val="none"/>
              </w:rPr>
              <w:t>现有工程生产车间、罐区及围堰等防腐防渗措施完善，满足要求。</w:t>
            </w:r>
          </w:p>
          <w:tbl>
            <w:tblPr>
              <w:tblStyle w:val="26"/>
              <w:tblpPr w:leftFromText="180" w:rightFromText="180" w:vertAnchor="text" w:tblpX="1" w:tblpY="1"/>
              <w:tblOverlap w:val="never"/>
              <w:tblW w:w="845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25"/>
              <w:gridCol w:w="4090"/>
              <w:gridCol w:w="137"/>
            </w:tblGrid>
            <w:tr w14:paraId="34BB3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25" w:type="dxa"/>
                  <w:tcBorders>
                    <w:tl2br w:val="nil"/>
                    <w:tr2bl w:val="nil"/>
                  </w:tcBorders>
                  <w:vAlign w:val="center"/>
                </w:tcPr>
                <w:p w14:paraId="1D9048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0" w:lineRule="atLeast"/>
                    <w:ind w:left="0" w:right="0" w:firstLine="0" w:firstLineChars="0"/>
                    <w:jc w:val="center"/>
                    <w:textAlignment w:val="auto"/>
                    <w:rPr>
                      <w:rFonts w:hint="default" w:ascii="Times New Roman" w:hAnsi="Times New Roman" w:eastAsia="宋体" w:cs="Times New Roman"/>
                      <w:color w:val="auto"/>
                      <w:spacing w:val="0"/>
                      <w:w w:val="100"/>
                      <w:kern w:val="2"/>
                      <w:position w:val="0"/>
                      <w:sz w:val="24"/>
                      <w:highlight w:val="none"/>
                      <w:vertAlign w:val="baseline"/>
                      <w:lang w:val="en-US" w:eastAsia="zh-CN"/>
                    </w:rPr>
                  </w:pPr>
                  <w:r>
                    <w:rPr>
                      <w:rFonts w:hint="default" w:ascii="Times New Roman" w:hAnsi="Times New Roman" w:eastAsia="宋体" w:cs="Times New Roman"/>
                      <w:color w:val="auto"/>
                      <w:spacing w:val="0"/>
                      <w:w w:val="100"/>
                      <w:kern w:val="2"/>
                      <w:position w:val="0"/>
                      <w:sz w:val="24"/>
                      <w:highlight w:val="none"/>
                      <w:vertAlign w:val="baseline"/>
                      <w:lang w:val="en-US" w:eastAsia="zh-CN"/>
                    </w:rPr>
                    <w:drawing>
                      <wp:inline distT="0" distB="0" distL="114300" distR="114300">
                        <wp:extent cx="1859915" cy="2475230"/>
                        <wp:effectExtent l="0" t="0" r="6985" b="1270"/>
                        <wp:docPr id="5" name="图片 5" descr="6347064d1741f3eb2f19942b0dd8b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347064d1741f3eb2f19942b0dd8bab"/>
                                <pic:cNvPicPr>
                                  <a:picLocks noChangeAspect="1"/>
                                </pic:cNvPicPr>
                              </pic:nvPicPr>
                              <pic:blipFill>
                                <a:blip r:embed="rId16"/>
                                <a:stretch>
                                  <a:fillRect/>
                                </a:stretch>
                              </pic:blipFill>
                              <pic:spPr>
                                <a:xfrm>
                                  <a:off x="0" y="0"/>
                                  <a:ext cx="1859915" cy="2475230"/>
                                </a:xfrm>
                                <a:prstGeom prst="rect">
                                  <a:avLst/>
                                </a:prstGeom>
                              </pic:spPr>
                            </pic:pic>
                          </a:graphicData>
                        </a:graphic>
                      </wp:inline>
                    </w:drawing>
                  </w:r>
                </w:p>
              </w:tc>
              <w:tc>
                <w:tcPr>
                  <w:tcW w:w="4227" w:type="dxa"/>
                  <w:gridSpan w:val="2"/>
                  <w:tcBorders>
                    <w:tl2br w:val="nil"/>
                    <w:tr2bl w:val="nil"/>
                  </w:tcBorders>
                  <w:vAlign w:val="center"/>
                </w:tcPr>
                <w:p w14:paraId="66621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0" w:lineRule="atLeast"/>
                    <w:ind w:left="0" w:right="0" w:firstLine="0" w:firstLineChars="0"/>
                    <w:jc w:val="center"/>
                    <w:textAlignment w:val="auto"/>
                    <w:rPr>
                      <w:rFonts w:hint="default" w:ascii="Times New Roman" w:hAnsi="Times New Roman" w:eastAsia="宋体" w:cs="Times New Roman"/>
                      <w:color w:val="auto"/>
                      <w:spacing w:val="0"/>
                      <w:w w:val="100"/>
                      <w:kern w:val="2"/>
                      <w:position w:val="0"/>
                      <w:sz w:val="24"/>
                      <w:highlight w:val="none"/>
                      <w:vertAlign w:val="baseline"/>
                      <w:lang w:val="en-US" w:eastAsia="zh-CN"/>
                    </w:rPr>
                  </w:pPr>
                  <w:r>
                    <w:rPr>
                      <w:rFonts w:hint="default" w:ascii="Times New Roman" w:hAnsi="Times New Roman" w:eastAsia="宋体" w:cs="Times New Roman"/>
                      <w:color w:val="auto"/>
                      <w:spacing w:val="0"/>
                      <w:w w:val="100"/>
                      <w:kern w:val="2"/>
                      <w:position w:val="0"/>
                      <w:sz w:val="24"/>
                      <w:highlight w:val="none"/>
                      <w:vertAlign w:val="baseline"/>
                      <w:lang w:val="en-US" w:eastAsia="zh-CN"/>
                    </w:rPr>
                    <w:drawing>
                      <wp:inline distT="0" distB="0" distL="114300" distR="114300">
                        <wp:extent cx="1870075" cy="2398395"/>
                        <wp:effectExtent l="0" t="0" r="15875" b="1905"/>
                        <wp:docPr id="7" name="图片 7" descr="62f6f409a295f24957777c94c5ea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62f6f409a295f24957777c94c5ea391"/>
                                <pic:cNvPicPr>
                                  <a:picLocks noChangeAspect="1"/>
                                </pic:cNvPicPr>
                              </pic:nvPicPr>
                              <pic:blipFill>
                                <a:blip r:embed="rId17"/>
                                <a:stretch>
                                  <a:fillRect/>
                                </a:stretch>
                              </pic:blipFill>
                              <pic:spPr>
                                <a:xfrm>
                                  <a:off x="0" y="0"/>
                                  <a:ext cx="1870075" cy="2398395"/>
                                </a:xfrm>
                                <a:prstGeom prst="rect">
                                  <a:avLst/>
                                </a:prstGeom>
                              </pic:spPr>
                            </pic:pic>
                          </a:graphicData>
                        </a:graphic>
                      </wp:inline>
                    </w:drawing>
                  </w:r>
                </w:p>
              </w:tc>
            </w:tr>
            <w:tr w14:paraId="614B3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25" w:type="dxa"/>
                  <w:tcBorders>
                    <w:tl2br w:val="nil"/>
                    <w:tr2bl w:val="nil"/>
                  </w:tcBorders>
                  <w:vAlign w:val="center"/>
                </w:tcPr>
                <w:p w14:paraId="627B21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4"/>
                      <w:highlight w:val="none"/>
                      <w:vertAlign w:val="baseline"/>
                      <w:lang w:val="en-US" w:eastAsia="zh-CN"/>
                    </w:rPr>
                  </w:pPr>
                </w:p>
              </w:tc>
              <w:tc>
                <w:tcPr>
                  <w:tcW w:w="4227" w:type="dxa"/>
                  <w:gridSpan w:val="2"/>
                  <w:tcBorders>
                    <w:tl2br w:val="nil"/>
                    <w:tr2bl w:val="nil"/>
                  </w:tcBorders>
                  <w:vAlign w:val="center"/>
                </w:tcPr>
                <w:p w14:paraId="3A34C6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0" w:lineRule="atLeast"/>
                    <w:ind w:left="0" w:right="0" w:firstLine="0" w:firstLineChars="0"/>
                    <w:jc w:val="center"/>
                    <w:textAlignment w:val="auto"/>
                    <w:rPr>
                      <w:rFonts w:hint="default" w:ascii="Times New Roman" w:hAnsi="Times New Roman" w:eastAsia="宋体" w:cs="Times New Roman"/>
                      <w:color w:val="auto"/>
                      <w:spacing w:val="0"/>
                      <w:w w:val="100"/>
                      <w:kern w:val="2"/>
                      <w:position w:val="0"/>
                      <w:sz w:val="24"/>
                      <w:highlight w:val="none"/>
                      <w:vertAlign w:val="baseline"/>
                      <w:lang w:val="en-US" w:eastAsia="zh-CN"/>
                    </w:rPr>
                  </w:pPr>
                </w:p>
              </w:tc>
            </w:tr>
            <w:tr w14:paraId="60B2D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4225" w:type="dxa"/>
                  <w:tcBorders>
                    <w:tl2br w:val="nil"/>
                    <w:tr2bl w:val="nil"/>
                  </w:tcBorders>
                  <w:vAlign w:val="center"/>
                </w:tcPr>
                <w:p w14:paraId="6587D6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4"/>
                      <w:highlight w:val="none"/>
                      <w:vertAlign w:val="baseline"/>
                      <w:lang w:val="en-US" w:eastAsia="zh-CN"/>
                    </w:rPr>
                  </w:pPr>
                  <w:r>
                    <w:rPr>
                      <w:rFonts w:hint="eastAsia" w:ascii="Times New Roman" w:hAnsi="Times New Roman" w:eastAsia="宋体" w:cs="Times New Roman"/>
                      <w:color w:val="auto"/>
                      <w:kern w:val="2"/>
                      <w:sz w:val="24"/>
                      <w:szCs w:val="24"/>
                      <w:highlight w:val="none"/>
                      <w:lang w:eastAsia="zh-CN"/>
                    </w:rPr>
                    <w:drawing>
                      <wp:inline distT="0" distB="0" distL="114300" distR="114300">
                        <wp:extent cx="2489200" cy="1996440"/>
                        <wp:effectExtent l="0" t="0" r="6350" b="3810"/>
                        <wp:docPr id="404" name="图片 404" descr="d8f84fb4345d9fb6416979eb1b19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404" descr="d8f84fb4345d9fb6416979eb1b19230"/>
                                <pic:cNvPicPr>
                                  <a:picLocks noChangeAspect="1"/>
                                </pic:cNvPicPr>
                              </pic:nvPicPr>
                              <pic:blipFill>
                                <a:blip r:embed="rId18"/>
                                <a:stretch>
                                  <a:fillRect/>
                                </a:stretch>
                              </pic:blipFill>
                              <pic:spPr>
                                <a:xfrm>
                                  <a:off x="0" y="0"/>
                                  <a:ext cx="2489200" cy="1996440"/>
                                </a:xfrm>
                                <a:prstGeom prst="rect">
                                  <a:avLst/>
                                </a:prstGeom>
                                <a:ln>
                                  <a:noFill/>
                                </a:ln>
                              </pic:spPr>
                            </pic:pic>
                          </a:graphicData>
                        </a:graphic>
                      </wp:inline>
                    </w:drawing>
                  </w:r>
                </w:p>
              </w:tc>
              <w:tc>
                <w:tcPr>
                  <w:tcW w:w="4227" w:type="dxa"/>
                  <w:gridSpan w:val="2"/>
                  <w:tcBorders>
                    <w:tl2br w:val="nil"/>
                    <w:tr2bl w:val="nil"/>
                  </w:tcBorders>
                  <w:vAlign w:val="center"/>
                </w:tcPr>
                <w:p w14:paraId="038B85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0" w:lineRule="atLeast"/>
                    <w:ind w:left="0" w:leftChars="0" w:right="0" w:firstLine="0" w:firstLineChars="0"/>
                    <w:jc w:val="center"/>
                    <w:textAlignment w:val="auto"/>
                    <w:rPr>
                      <w:rFonts w:hint="default" w:ascii="Times New Roman" w:hAnsi="Times New Roman" w:eastAsia="宋体" w:cs="Times New Roman"/>
                      <w:color w:val="auto"/>
                      <w:spacing w:val="0"/>
                      <w:w w:val="100"/>
                      <w:kern w:val="2"/>
                      <w:position w:val="0"/>
                      <w:sz w:val="24"/>
                      <w:highlight w:val="none"/>
                      <w:vertAlign w:val="baseline"/>
                      <w:lang w:val="en-US" w:eastAsia="zh-CN"/>
                    </w:rPr>
                  </w:pPr>
                  <w:r>
                    <w:rPr>
                      <w:rFonts w:hint="default" w:ascii="Times New Roman" w:hAnsi="Times New Roman" w:eastAsia="宋体" w:cs="Times New Roman"/>
                      <w:color w:val="auto"/>
                      <w:spacing w:val="0"/>
                      <w:w w:val="100"/>
                      <w:kern w:val="2"/>
                      <w:position w:val="0"/>
                      <w:sz w:val="24"/>
                      <w:highlight w:val="none"/>
                      <w:vertAlign w:val="baseline"/>
                      <w:lang w:val="en-US" w:eastAsia="zh-CN"/>
                    </w:rPr>
                    <w:drawing>
                      <wp:inline distT="0" distB="0" distL="114300" distR="114300">
                        <wp:extent cx="2609215" cy="1954530"/>
                        <wp:effectExtent l="0" t="0" r="635" b="7620"/>
                        <wp:docPr id="12" name="图片 12" descr="d055ae9d4d7b9b33e56057a31e1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055ae9d4d7b9b33e56057a31e12967"/>
                                <pic:cNvPicPr>
                                  <a:picLocks noChangeAspect="1"/>
                                </pic:cNvPicPr>
                              </pic:nvPicPr>
                              <pic:blipFill>
                                <a:blip r:embed="rId19"/>
                                <a:stretch>
                                  <a:fillRect/>
                                </a:stretch>
                              </pic:blipFill>
                              <pic:spPr>
                                <a:xfrm>
                                  <a:off x="0" y="0"/>
                                  <a:ext cx="2609215" cy="1954530"/>
                                </a:xfrm>
                                <a:prstGeom prst="rect">
                                  <a:avLst/>
                                </a:prstGeom>
                                <a:ln>
                                  <a:noFill/>
                                </a:ln>
                              </pic:spPr>
                            </pic:pic>
                          </a:graphicData>
                        </a:graphic>
                      </wp:inline>
                    </w:drawing>
                  </w:r>
                </w:p>
              </w:tc>
            </w:tr>
            <w:tr w14:paraId="3CA69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37" w:type="dxa"/>
              </w:trPr>
              <w:tc>
                <w:tcPr>
                  <w:tcW w:w="8315" w:type="dxa"/>
                  <w:gridSpan w:val="2"/>
                  <w:tcBorders>
                    <w:tl2br w:val="nil"/>
                    <w:tr2bl w:val="nil"/>
                  </w:tcBorders>
                </w:tcPr>
                <w:p w14:paraId="462B4202">
                  <w:pPr>
                    <w:pStyle w:val="8"/>
                    <w:pageBreakBefore w:val="0"/>
                    <w:widowControl w:val="0"/>
                    <w:numPr>
                      <w:ilvl w:val="6"/>
                      <w:numId w:val="0"/>
                    </w:numPr>
                    <w:suppressLineNumbers w:val="0"/>
                    <w:kinsoku/>
                    <w:wordWrap/>
                    <w:overflowPunct/>
                    <w:topLinePunct w:val="0"/>
                    <w:autoSpaceDE/>
                    <w:autoSpaceDN/>
                    <w:bidi w:val="0"/>
                    <w:adjustRightInd/>
                    <w:snapToGrid/>
                    <w:spacing w:before="0" w:beforeLines="0" w:after="0" w:afterLines="0" w:line="0" w:lineRule="atLeast"/>
                    <w:ind w:leftChars="0" w:right="0" w:rightChars="0"/>
                    <w:jc w:val="center"/>
                    <w:textAlignment w:val="auto"/>
                    <w:rPr>
                      <w:rFonts w:hint="default" w:ascii="Times New Roman" w:hAnsi="Times New Roman" w:eastAsia="宋体" w:cs="Times New Roman"/>
                      <w:color w:val="auto"/>
                      <w:spacing w:val="0"/>
                      <w:w w:val="100"/>
                      <w:position w:val="0"/>
                      <w:lang w:val="en-US" w:eastAsia="zh-CN"/>
                    </w:rPr>
                  </w:pPr>
                  <w:r>
                    <w:rPr>
                      <w:rFonts w:hint="eastAsia" w:ascii="Times New Roman" w:hAnsi="Times New Roman" w:eastAsia="宋体" w:cs="Times New Roman"/>
                      <w:color w:val="auto"/>
                      <w:spacing w:val="0"/>
                      <w:w w:val="100"/>
                      <w:position w:val="0"/>
                      <w:sz w:val="21"/>
                      <w:szCs w:val="21"/>
                      <w:lang w:val="en-US" w:eastAsia="zh-CN"/>
                    </w:rPr>
                    <w:t>图2-7</w:t>
                  </w:r>
                  <w:r>
                    <w:rPr>
                      <w:rFonts w:hint="default" w:ascii="Times New Roman" w:hAnsi="Times New Roman" w:eastAsia="宋体" w:cs="Times New Roman"/>
                      <w:color w:val="auto"/>
                      <w:spacing w:val="0"/>
                      <w:w w:val="100"/>
                      <w:position w:val="0"/>
                      <w:sz w:val="21"/>
                      <w:szCs w:val="21"/>
                      <w:lang w:val="en-US" w:eastAsia="zh-CN"/>
                    </w:rPr>
                    <w:t>现有工程防渗措施</w:t>
                  </w:r>
                </w:p>
              </w:tc>
            </w:tr>
          </w:tbl>
          <w:p w14:paraId="2CB03F22">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auto"/>
                <w:spacing w:val="0"/>
                <w:w w:val="100"/>
                <w:kern w:val="2"/>
                <w:position w:val="0"/>
                <w:sz w:val="21"/>
                <w:szCs w:val="21"/>
                <w:highlight w:val="none"/>
              </w:rPr>
            </w:pPr>
            <w:r>
              <w:rPr>
                <w:rFonts w:hint="default" w:ascii="Times New Roman" w:hAnsi="Times New Roman" w:eastAsia="宋体" w:cs="Times New Roman"/>
                <w:color w:val="auto"/>
                <w:spacing w:val="0"/>
                <w:w w:val="100"/>
                <w:kern w:val="2"/>
                <w:position w:val="0"/>
                <w:sz w:val="21"/>
                <w:szCs w:val="21"/>
                <w:highlight w:val="none"/>
              </w:rPr>
              <w:t>6）风险</w:t>
            </w:r>
          </w:p>
          <w:p w14:paraId="274C0158">
            <w:pPr>
              <w:keepNext w:val="0"/>
              <w:keepLines w:val="0"/>
              <w:pageBreakBefore w:val="0"/>
              <w:widowControl w:val="0"/>
              <w:shd w:val="clear"/>
              <w:kinsoku/>
              <w:wordWrap/>
              <w:overflowPunct/>
              <w:topLinePunct w:val="0"/>
              <w:autoSpaceDE/>
              <w:autoSpaceDN/>
              <w:bidi w:val="0"/>
              <w:adjustRightInd/>
              <w:snapToGrid/>
              <w:spacing w:line="360" w:lineRule="auto"/>
              <w:ind w:firstLine="480"/>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kern w:val="2"/>
                <w:position w:val="0"/>
                <w:sz w:val="21"/>
                <w:szCs w:val="21"/>
                <w:highlight w:val="none"/>
              </w:rPr>
              <w:t>202</w:t>
            </w:r>
            <w:r>
              <w:rPr>
                <w:rFonts w:hint="default" w:ascii="Times New Roman" w:hAnsi="Times New Roman" w:eastAsia="宋体" w:cs="Times New Roman"/>
                <w:color w:val="auto"/>
                <w:spacing w:val="0"/>
                <w:w w:val="100"/>
                <w:kern w:val="2"/>
                <w:position w:val="0"/>
                <w:sz w:val="21"/>
                <w:szCs w:val="21"/>
                <w:highlight w:val="none"/>
                <w:lang w:val="en-US" w:eastAsia="zh-CN"/>
              </w:rPr>
              <w:t>3</w:t>
            </w:r>
            <w:r>
              <w:rPr>
                <w:rFonts w:hint="default" w:ascii="Times New Roman" w:hAnsi="Times New Roman" w:eastAsia="宋体" w:cs="Times New Roman"/>
                <w:color w:val="auto"/>
                <w:spacing w:val="0"/>
                <w:w w:val="100"/>
                <w:kern w:val="2"/>
                <w:position w:val="0"/>
                <w:sz w:val="21"/>
                <w:szCs w:val="21"/>
                <w:highlight w:val="none"/>
              </w:rPr>
              <w:t>年</w:t>
            </w:r>
            <w:r>
              <w:rPr>
                <w:rFonts w:hint="default" w:ascii="Times New Roman" w:hAnsi="Times New Roman" w:eastAsia="宋体" w:cs="Times New Roman"/>
                <w:color w:val="auto"/>
                <w:spacing w:val="0"/>
                <w:w w:val="100"/>
                <w:kern w:val="2"/>
                <w:position w:val="0"/>
                <w:sz w:val="21"/>
                <w:szCs w:val="21"/>
                <w:highlight w:val="none"/>
                <w:lang w:val="en-US" w:eastAsia="zh-CN"/>
              </w:rPr>
              <w:t>7</w:t>
            </w:r>
            <w:r>
              <w:rPr>
                <w:rFonts w:hint="default" w:ascii="Times New Roman" w:hAnsi="Times New Roman" w:eastAsia="宋体" w:cs="Times New Roman"/>
                <w:color w:val="auto"/>
                <w:spacing w:val="0"/>
                <w:w w:val="100"/>
                <w:kern w:val="2"/>
                <w:position w:val="0"/>
                <w:sz w:val="21"/>
                <w:szCs w:val="21"/>
                <w:highlight w:val="none"/>
              </w:rPr>
              <w:t>月</w:t>
            </w:r>
            <w:r>
              <w:rPr>
                <w:rFonts w:hint="default" w:ascii="Times New Roman" w:hAnsi="Times New Roman" w:eastAsia="宋体" w:cs="Times New Roman"/>
                <w:color w:val="auto"/>
                <w:spacing w:val="0"/>
                <w:w w:val="100"/>
                <w:kern w:val="2"/>
                <w:position w:val="0"/>
                <w:sz w:val="21"/>
                <w:szCs w:val="21"/>
                <w:highlight w:val="none"/>
                <w:lang w:val="en-US" w:eastAsia="zh-CN"/>
              </w:rPr>
              <w:t>6</w:t>
            </w:r>
            <w:r>
              <w:rPr>
                <w:rFonts w:hint="default" w:ascii="Times New Roman" w:hAnsi="Times New Roman" w:eastAsia="宋体" w:cs="Times New Roman"/>
                <w:color w:val="auto"/>
                <w:spacing w:val="0"/>
                <w:w w:val="100"/>
                <w:kern w:val="2"/>
                <w:position w:val="0"/>
                <w:sz w:val="21"/>
                <w:szCs w:val="21"/>
                <w:highlight w:val="none"/>
              </w:rPr>
              <w:t>日取得了</w:t>
            </w:r>
            <w:r>
              <w:rPr>
                <w:rFonts w:hint="default" w:ascii="Times New Roman" w:hAnsi="Times New Roman" w:eastAsia="宋体" w:cs="Times New Roman"/>
                <w:color w:val="auto"/>
                <w:spacing w:val="0"/>
                <w:w w:val="100"/>
                <w:kern w:val="2"/>
                <w:position w:val="0"/>
                <w:sz w:val="21"/>
                <w:szCs w:val="21"/>
                <w:highlight w:val="none"/>
                <w:lang w:eastAsia="zh-CN"/>
              </w:rPr>
              <w:t>石家庄市</w:t>
            </w:r>
            <w:r>
              <w:rPr>
                <w:rFonts w:hint="default" w:ascii="Times New Roman" w:hAnsi="Times New Roman" w:eastAsia="宋体" w:cs="Times New Roman"/>
                <w:color w:val="auto"/>
                <w:spacing w:val="0"/>
                <w:w w:val="100"/>
                <w:kern w:val="2"/>
                <w:position w:val="0"/>
                <w:sz w:val="21"/>
                <w:szCs w:val="21"/>
                <w:highlight w:val="none"/>
              </w:rPr>
              <w:t>企业事业单位突发环境事件应急预案备案表（130</w:t>
            </w:r>
            <w:r>
              <w:rPr>
                <w:rFonts w:hint="default" w:ascii="Times New Roman" w:hAnsi="Times New Roman" w:eastAsia="宋体" w:cs="Times New Roman"/>
                <w:color w:val="auto"/>
                <w:spacing w:val="0"/>
                <w:w w:val="100"/>
                <w:kern w:val="2"/>
                <w:position w:val="0"/>
                <w:sz w:val="21"/>
                <w:szCs w:val="21"/>
                <w:highlight w:val="none"/>
                <w:lang w:val="en-US" w:eastAsia="zh-CN"/>
              </w:rPr>
              <w:t>161</w:t>
            </w:r>
            <w:r>
              <w:rPr>
                <w:rFonts w:hint="default" w:ascii="Times New Roman" w:hAnsi="Times New Roman" w:eastAsia="宋体" w:cs="Times New Roman"/>
                <w:color w:val="auto"/>
                <w:spacing w:val="0"/>
                <w:w w:val="100"/>
                <w:kern w:val="2"/>
                <w:position w:val="0"/>
                <w:sz w:val="21"/>
                <w:szCs w:val="21"/>
                <w:highlight w:val="none"/>
              </w:rPr>
              <w:t>-202</w:t>
            </w:r>
            <w:r>
              <w:rPr>
                <w:rFonts w:hint="default" w:ascii="Times New Roman" w:hAnsi="Times New Roman" w:eastAsia="宋体" w:cs="Times New Roman"/>
                <w:color w:val="auto"/>
                <w:spacing w:val="0"/>
                <w:w w:val="100"/>
                <w:kern w:val="2"/>
                <w:position w:val="0"/>
                <w:sz w:val="21"/>
                <w:szCs w:val="21"/>
                <w:highlight w:val="none"/>
                <w:lang w:val="en-US" w:eastAsia="zh-CN"/>
              </w:rPr>
              <w:t>3</w:t>
            </w:r>
            <w:r>
              <w:rPr>
                <w:rFonts w:hint="default" w:ascii="Times New Roman" w:hAnsi="Times New Roman" w:eastAsia="宋体" w:cs="Times New Roman"/>
                <w:color w:val="auto"/>
                <w:spacing w:val="0"/>
                <w:w w:val="100"/>
                <w:kern w:val="2"/>
                <w:position w:val="0"/>
                <w:sz w:val="21"/>
                <w:szCs w:val="21"/>
                <w:highlight w:val="none"/>
              </w:rPr>
              <w:t>-0</w:t>
            </w:r>
            <w:r>
              <w:rPr>
                <w:rFonts w:hint="default" w:ascii="Times New Roman" w:hAnsi="Times New Roman" w:eastAsia="宋体" w:cs="Times New Roman"/>
                <w:color w:val="auto"/>
                <w:spacing w:val="0"/>
                <w:w w:val="100"/>
                <w:kern w:val="2"/>
                <w:position w:val="0"/>
                <w:sz w:val="21"/>
                <w:szCs w:val="21"/>
                <w:highlight w:val="none"/>
                <w:lang w:val="en-US" w:eastAsia="zh-CN"/>
              </w:rPr>
              <w:t>39</w:t>
            </w:r>
            <w:r>
              <w:rPr>
                <w:rFonts w:hint="default" w:ascii="Times New Roman" w:hAnsi="Times New Roman" w:eastAsia="宋体" w:cs="Times New Roman"/>
                <w:color w:val="auto"/>
                <w:spacing w:val="0"/>
                <w:w w:val="100"/>
                <w:kern w:val="2"/>
                <w:position w:val="0"/>
                <w:sz w:val="21"/>
                <w:szCs w:val="21"/>
                <w:highlight w:val="none"/>
              </w:rPr>
              <w:t>-</w:t>
            </w:r>
            <w:r>
              <w:rPr>
                <w:rFonts w:hint="default" w:ascii="Times New Roman" w:hAnsi="Times New Roman" w:eastAsia="宋体" w:cs="Times New Roman"/>
                <w:color w:val="auto"/>
                <w:spacing w:val="0"/>
                <w:w w:val="100"/>
                <w:kern w:val="2"/>
                <w:position w:val="0"/>
                <w:sz w:val="21"/>
                <w:szCs w:val="21"/>
                <w:highlight w:val="none"/>
                <w:lang w:val="en-US" w:eastAsia="zh-CN"/>
              </w:rPr>
              <w:t>H</w:t>
            </w:r>
            <w:r>
              <w:rPr>
                <w:rFonts w:hint="default" w:ascii="Times New Roman" w:hAnsi="Times New Roman" w:eastAsia="宋体" w:cs="Times New Roman"/>
                <w:color w:val="auto"/>
                <w:spacing w:val="0"/>
                <w:w w:val="100"/>
                <w:kern w:val="2"/>
                <w:position w:val="0"/>
                <w:sz w:val="21"/>
                <w:szCs w:val="21"/>
                <w:highlight w:val="none"/>
              </w:rPr>
              <w:t>）。</w:t>
            </w:r>
          </w:p>
          <w:p w14:paraId="65E080E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企业应当定期就企业突发环境事件应急管理制度、突发环境事件风险防控措施的操作要求、隐患排查治理案例等开展宣传和培训，并通过演练检验各项突发环境事件风险防控措施的可操作性，提高从业人员隐患排查治理能力和风险防范水平。如实记录培训、演练的时间、内容、参加人员以及考核结果等情况，并将培训情况备案存档。</w:t>
            </w:r>
          </w:p>
          <w:p w14:paraId="6D909828">
            <w:pPr>
              <w:keepNext w:val="0"/>
              <w:keepLines w:val="0"/>
              <w:pageBreakBefore w:val="0"/>
              <w:widowControl w:val="0"/>
              <w:shd w:val="clear"/>
              <w:kinsoku/>
              <w:wordWrap/>
              <w:overflowPunct/>
              <w:topLinePunct w:val="0"/>
              <w:autoSpaceDE/>
              <w:autoSpaceDN/>
              <w:bidi w:val="0"/>
              <w:adjustRightInd/>
              <w:snapToGrid/>
              <w:spacing w:line="360" w:lineRule="auto"/>
              <w:ind w:firstLine="480"/>
              <w:textAlignment w:val="auto"/>
              <w:rPr>
                <w:rFonts w:hint="default" w:ascii="Times New Roman" w:hAnsi="Times New Roman" w:eastAsia="宋体" w:cs="Times New Roman"/>
                <w:color w:val="auto"/>
                <w:spacing w:val="0"/>
                <w:w w:val="100"/>
                <w:position w:val="0"/>
                <w:sz w:val="21"/>
                <w:szCs w:val="21"/>
                <w:highlight w:val="none"/>
                <w:lang w:val="en-US" w:eastAsia="zh-CN"/>
              </w:rPr>
            </w:pPr>
            <w:r>
              <w:rPr>
                <w:rFonts w:hint="default" w:ascii="Times New Roman" w:hAnsi="Times New Roman" w:eastAsia="宋体" w:cs="Times New Roman"/>
                <w:color w:val="auto"/>
                <w:spacing w:val="0"/>
                <w:w w:val="100"/>
                <w:kern w:val="2"/>
                <w:position w:val="0"/>
                <w:sz w:val="21"/>
                <w:szCs w:val="21"/>
                <w:highlight w:val="none"/>
              </w:rPr>
              <w:t>现有工程生产车间、罐区等风险防范措施完善，满足要求。</w:t>
            </w:r>
          </w:p>
          <w:p w14:paraId="1CF2D813">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w:t>
            </w:r>
            <w:r>
              <w:rPr>
                <w:rFonts w:hint="eastAsia" w:cs="Times New Roman"/>
                <w:bCs/>
                <w:color w:val="auto"/>
                <w:sz w:val="21"/>
                <w:szCs w:val="21"/>
                <w:highlight w:val="none"/>
                <w:lang w:val="en-US" w:eastAsia="zh-CN"/>
              </w:rPr>
              <w:t>6</w:t>
            </w:r>
            <w:r>
              <w:rPr>
                <w:rFonts w:hint="default" w:ascii="Times New Roman" w:hAnsi="Times New Roman" w:eastAsia="宋体" w:cs="Times New Roman"/>
                <w:bCs/>
                <w:color w:val="auto"/>
                <w:sz w:val="21"/>
                <w:szCs w:val="21"/>
                <w:highlight w:val="none"/>
                <w:lang w:val="en-US" w:eastAsia="zh-CN"/>
              </w:rPr>
              <w:t>）排污许可执行情况</w:t>
            </w:r>
          </w:p>
          <w:p w14:paraId="4B211BD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auto"/>
                <w:spacing w:val="0"/>
                <w:w w:val="100"/>
                <w:position w:val="0"/>
                <w:sz w:val="21"/>
                <w:szCs w:val="21"/>
                <w:highlight w:val="none"/>
              </w:rPr>
            </w:pPr>
            <w:r>
              <w:rPr>
                <w:rFonts w:hint="default" w:ascii="Times New Roman" w:hAnsi="Times New Roman" w:eastAsia="宋体" w:cs="Times New Roman"/>
                <w:color w:val="auto"/>
                <w:spacing w:val="0"/>
                <w:w w:val="100"/>
                <w:position w:val="0"/>
                <w:sz w:val="21"/>
                <w:szCs w:val="21"/>
                <w:highlight w:val="none"/>
              </w:rPr>
              <w:t>石家庄东华金龙化工有限公司于</w:t>
            </w:r>
            <w:r>
              <w:rPr>
                <w:rFonts w:hint="default" w:ascii="Times New Roman" w:hAnsi="Times New Roman" w:eastAsia="宋体" w:cs="Times New Roman"/>
                <w:color w:val="auto"/>
                <w:spacing w:val="0"/>
                <w:w w:val="100"/>
                <w:position w:val="0"/>
                <w:sz w:val="21"/>
                <w:szCs w:val="21"/>
                <w:highlight w:val="none"/>
                <w:lang w:val="en-US" w:eastAsia="zh-CN"/>
              </w:rPr>
              <w:t>2020</w:t>
            </w:r>
            <w:r>
              <w:rPr>
                <w:rFonts w:hint="default" w:ascii="Times New Roman" w:hAnsi="Times New Roman" w:eastAsia="宋体" w:cs="Times New Roman"/>
                <w:color w:val="auto"/>
                <w:spacing w:val="0"/>
                <w:w w:val="100"/>
                <w:position w:val="0"/>
                <w:sz w:val="21"/>
                <w:szCs w:val="21"/>
                <w:highlight w:val="none"/>
              </w:rPr>
              <w:t>年</w:t>
            </w:r>
            <w:r>
              <w:rPr>
                <w:rFonts w:hint="default" w:ascii="Times New Roman" w:hAnsi="Times New Roman" w:eastAsia="宋体" w:cs="Times New Roman"/>
                <w:color w:val="auto"/>
                <w:spacing w:val="0"/>
                <w:w w:val="100"/>
                <w:position w:val="0"/>
                <w:sz w:val="21"/>
                <w:szCs w:val="21"/>
                <w:highlight w:val="none"/>
                <w:lang w:val="en-US" w:eastAsia="zh-CN"/>
              </w:rPr>
              <w:t>6</w:t>
            </w:r>
            <w:r>
              <w:rPr>
                <w:rFonts w:hint="default" w:ascii="Times New Roman" w:hAnsi="Times New Roman" w:eastAsia="宋体" w:cs="Times New Roman"/>
                <w:color w:val="auto"/>
                <w:spacing w:val="0"/>
                <w:w w:val="100"/>
                <w:position w:val="0"/>
                <w:sz w:val="21"/>
                <w:szCs w:val="21"/>
                <w:highlight w:val="none"/>
              </w:rPr>
              <w:t>月初次申领并取得排污许可证（91130193104681023N001Z），期间对排污许可证进行了</w:t>
            </w:r>
            <w:r>
              <w:rPr>
                <w:rFonts w:hint="eastAsia" w:cs="Times New Roman"/>
                <w:color w:val="auto"/>
                <w:spacing w:val="0"/>
                <w:w w:val="100"/>
                <w:position w:val="0"/>
                <w:sz w:val="21"/>
                <w:szCs w:val="21"/>
                <w:highlight w:val="none"/>
                <w:lang w:val="en-US" w:eastAsia="zh-CN"/>
              </w:rPr>
              <w:t>5</w:t>
            </w:r>
            <w:r>
              <w:rPr>
                <w:rFonts w:hint="default" w:ascii="Times New Roman" w:hAnsi="Times New Roman" w:eastAsia="宋体" w:cs="Times New Roman"/>
                <w:color w:val="auto"/>
                <w:spacing w:val="0"/>
                <w:w w:val="100"/>
                <w:position w:val="0"/>
                <w:sz w:val="21"/>
                <w:szCs w:val="21"/>
                <w:highlight w:val="none"/>
              </w:rPr>
              <w:t>次变更、</w:t>
            </w:r>
            <w:r>
              <w:rPr>
                <w:rFonts w:hint="eastAsia" w:cs="Times New Roman"/>
                <w:color w:val="auto"/>
                <w:spacing w:val="0"/>
                <w:w w:val="100"/>
                <w:position w:val="0"/>
                <w:sz w:val="21"/>
                <w:szCs w:val="21"/>
                <w:highlight w:val="none"/>
                <w:lang w:val="en-US" w:eastAsia="zh-CN"/>
              </w:rPr>
              <w:t>7</w:t>
            </w:r>
            <w:r>
              <w:rPr>
                <w:rFonts w:hint="default" w:ascii="Times New Roman" w:hAnsi="Times New Roman" w:eastAsia="宋体" w:cs="Times New Roman"/>
                <w:color w:val="auto"/>
                <w:spacing w:val="0"/>
                <w:w w:val="100"/>
                <w:position w:val="0"/>
                <w:sz w:val="21"/>
                <w:szCs w:val="21"/>
                <w:highlight w:val="none"/>
              </w:rPr>
              <w:t>次重新申请，</w:t>
            </w:r>
            <w:r>
              <w:rPr>
                <w:rFonts w:hint="eastAsia" w:ascii="Times New Roman" w:hAnsi="Times New Roman" w:eastAsia="宋体" w:cs="Times New Roman"/>
                <w:color w:val="auto"/>
                <w:spacing w:val="0"/>
                <w:w w:val="100"/>
                <w:position w:val="0"/>
                <w:sz w:val="21"/>
                <w:szCs w:val="21"/>
                <w:highlight w:val="none"/>
                <w:lang w:val="en-US" w:eastAsia="zh-CN"/>
              </w:rPr>
              <w:t>最近一次为2025年10月11日对排污许可证进行了重新申请</w:t>
            </w:r>
            <w:r>
              <w:rPr>
                <w:rFonts w:hint="default" w:ascii="Times New Roman" w:hAnsi="Times New Roman" w:eastAsia="宋体" w:cs="Times New Roman"/>
                <w:color w:val="auto"/>
                <w:spacing w:val="0"/>
                <w:w w:val="100"/>
                <w:position w:val="0"/>
                <w:sz w:val="21"/>
                <w:szCs w:val="21"/>
                <w:highlight w:val="none"/>
              </w:rPr>
              <w:t>，目前排污许可证的有效期至20</w:t>
            </w:r>
            <w:r>
              <w:rPr>
                <w:rFonts w:hint="eastAsia" w:cs="Times New Roman"/>
                <w:color w:val="auto"/>
                <w:spacing w:val="0"/>
                <w:w w:val="100"/>
                <w:position w:val="0"/>
                <w:sz w:val="21"/>
                <w:szCs w:val="21"/>
                <w:highlight w:val="none"/>
                <w:lang w:val="en-US" w:eastAsia="zh-CN"/>
              </w:rPr>
              <w:t>30</w:t>
            </w:r>
            <w:r>
              <w:rPr>
                <w:rFonts w:hint="default" w:ascii="Times New Roman" w:hAnsi="Times New Roman" w:eastAsia="宋体" w:cs="Times New Roman"/>
                <w:color w:val="auto"/>
                <w:spacing w:val="0"/>
                <w:w w:val="100"/>
                <w:position w:val="0"/>
                <w:sz w:val="21"/>
                <w:szCs w:val="21"/>
                <w:highlight w:val="none"/>
              </w:rPr>
              <w:t>年</w:t>
            </w:r>
            <w:r>
              <w:rPr>
                <w:rFonts w:hint="default" w:ascii="Times New Roman" w:hAnsi="Times New Roman" w:eastAsia="宋体" w:cs="Times New Roman"/>
                <w:color w:val="auto"/>
                <w:spacing w:val="0"/>
                <w:w w:val="100"/>
                <w:position w:val="0"/>
                <w:sz w:val="21"/>
                <w:szCs w:val="21"/>
                <w:highlight w:val="none"/>
                <w:lang w:val="en-US" w:eastAsia="zh-CN"/>
              </w:rPr>
              <w:t>1</w:t>
            </w:r>
            <w:r>
              <w:rPr>
                <w:rFonts w:hint="eastAsia" w:cs="Times New Roman"/>
                <w:color w:val="auto"/>
                <w:spacing w:val="0"/>
                <w:w w:val="100"/>
                <w:position w:val="0"/>
                <w:sz w:val="21"/>
                <w:szCs w:val="21"/>
                <w:highlight w:val="none"/>
                <w:lang w:val="en-US" w:eastAsia="zh-CN"/>
              </w:rPr>
              <w:t>0</w:t>
            </w:r>
            <w:r>
              <w:rPr>
                <w:rFonts w:hint="default" w:ascii="Times New Roman" w:hAnsi="Times New Roman" w:eastAsia="宋体" w:cs="Times New Roman"/>
                <w:color w:val="auto"/>
                <w:spacing w:val="0"/>
                <w:w w:val="100"/>
                <w:position w:val="0"/>
                <w:sz w:val="21"/>
                <w:szCs w:val="21"/>
                <w:highlight w:val="none"/>
              </w:rPr>
              <w:t>月</w:t>
            </w:r>
            <w:r>
              <w:rPr>
                <w:rFonts w:hint="default" w:ascii="Times New Roman" w:hAnsi="Times New Roman" w:eastAsia="宋体" w:cs="Times New Roman"/>
                <w:color w:val="auto"/>
                <w:spacing w:val="0"/>
                <w:w w:val="100"/>
                <w:position w:val="0"/>
                <w:sz w:val="21"/>
                <w:szCs w:val="21"/>
                <w:highlight w:val="none"/>
                <w:lang w:val="en-US" w:eastAsia="zh-CN"/>
              </w:rPr>
              <w:t>2</w:t>
            </w:r>
            <w:r>
              <w:rPr>
                <w:rFonts w:hint="eastAsia" w:cs="Times New Roman"/>
                <w:color w:val="auto"/>
                <w:spacing w:val="0"/>
                <w:w w:val="100"/>
                <w:position w:val="0"/>
                <w:sz w:val="21"/>
                <w:szCs w:val="21"/>
                <w:highlight w:val="none"/>
                <w:lang w:val="en-US" w:eastAsia="zh-CN"/>
              </w:rPr>
              <w:t>1</w:t>
            </w:r>
            <w:r>
              <w:rPr>
                <w:rFonts w:hint="default" w:ascii="Times New Roman" w:hAnsi="Times New Roman" w:eastAsia="宋体" w:cs="Times New Roman"/>
                <w:color w:val="auto"/>
                <w:spacing w:val="0"/>
                <w:w w:val="100"/>
                <w:position w:val="0"/>
                <w:sz w:val="21"/>
                <w:szCs w:val="21"/>
                <w:highlight w:val="none"/>
              </w:rPr>
              <w:t>日。</w:t>
            </w:r>
          </w:p>
          <w:p w14:paraId="55304333">
            <w:pPr>
              <w:pStyle w:val="5"/>
              <w:pageBreakBefore w:val="0"/>
              <w:widowControl w:val="0"/>
              <w:numPr>
                <w:ilvl w:val="2"/>
                <w:numId w:val="0"/>
              </w:numPr>
              <w:kinsoku/>
              <w:wordWrap/>
              <w:overflowPunct/>
              <w:topLinePunct w:val="0"/>
              <w:autoSpaceDE/>
              <w:autoSpaceDN/>
              <w:bidi w:val="0"/>
              <w:adjustRightInd/>
              <w:snapToGrid/>
              <w:spacing w:before="0" w:beforeLines="0" w:after="0" w:afterLines="0" w:line="384" w:lineRule="auto"/>
              <w:ind w:leftChars="200"/>
              <w:jc w:val="both"/>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7</w:t>
            </w:r>
            <w:r>
              <w:rPr>
                <w:rFonts w:hint="default" w:ascii="Times New Roman" w:hAnsi="Times New Roman" w:eastAsia="宋体" w:cs="Times New Roman"/>
                <w:b w:val="0"/>
                <w:bCs/>
                <w:color w:val="auto"/>
                <w:kern w:val="2"/>
                <w:sz w:val="21"/>
                <w:szCs w:val="21"/>
                <w:highlight w:val="none"/>
                <w:lang w:val="en-US" w:eastAsia="zh-CN" w:bidi="ar-SA"/>
              </w:rPr>
              <w:t>）现有工程污染物排放总量指标</w:t>
            </w:r>
          </w:p>
          <w:p w14:paraId="0C4D7A4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bCs w:val="0"/>
                <w:color w:val="auto"/>
                <w:kern w:val="2"/>
                <w:sz w:val="24"/>
                <w:szCs w:val="24"/>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rPr>
              <w:t>现有</w:t>
            </w:r>
            <w:r>
              <w:rPr>
                <w:rFonts w:hint="default" w:ascii="Times New Roman" w:hAnsi="Times New Roman" w:eastAsia="宋体" w:cs="Times New Roman"/>
                <w:color w:val="auto"/>
                <w:spacing w:val="0"/>
                <w:w w:val="100"/>
                <w:position w:val="0"/>
                <w:sz w:val="21"/>
                <w:szCs w:val="21"/>
                <w:highlight w:val="none"/>
                <w:lang w:val="en-US" w:eastAsia="zh-CN"/>
              </w:rPr>
              <w:t>环评批复</w:t>
            </w:r>
            <w:r>
              <w:rPr>
                <w:rFonts w:hint="eastAsia" w:ascii="Times New Roman" w:hAnsi="Times New Roman" w:eastAsia="宋体" w:cs="Times New Roman"/>
                <w:color w:val="auto"/>
                <w:spacing w:val="0"/>
                <w:w w:val="100"/>
                <w:position w:val="0"/>
                <w:sz w:val="21"/>
                <w:szCs w:val="21"/>
                <w:highlight w:val="none"/>
                <w:lang w:val="en-US" w:eastAsia="zh-CN"/>
              </w:rPr>
              <w:t>全厂总量控制指标</w:t>
            </w:r>
            <w:bookmarkStart w:id="31" w:name="OLE_LINK4"/>
            <w:r>
              <w:rPr>
                <w:rFonts w:hint="eastAsia" w:ascii="Times New Roman" w:hAnsi="Times New Roman" w:eastAsia="宋体" w:cs="Times New Roman"/>
                <w:color w:val="auto"/>
                <w:spacing w:val="0"/>
                <w:w w:val="100"/>
                <w:position w:val="0"/>
                <w:sz w:val="21"/>
                <w:szCs w:val="21"/>
                <w:highlight w:val="none"/>
                <w:lang w:val="en-US" w:eastAsia="zh-CN"/>
              </w:rPr>
              <w:t>：</w:t>
            </w:r>
            <w:r>
              <w:rPr>
                <w:rFonts w:hint="default" w:ascii="Times New Roman" w:hAnsi="Times New Roman" w:eastAsia="宋体" w:cs="Times New Roman"/>
                <w:color w:val="auto"/>
                <w:spacing w:val="0"/>
                <w:w w:val="100"/>
                <w:position w:val="0"/>
                <w:sz w:val="21"/>
                <w:szCs w:val="21"/>
                <w:highlight w:val="none"/>
                <w:lang w:val="en-US" w:eastAsia="zh-CN"/>
              </w:rPr>
              <w:t>COD：</w:t>
            </w:r>
            <w:r>
              <w:rPr>
                <w:rFonts w:hint="eastAsia" w:ascii="Times New Roman" w:hAnsi="Times New Roman" w:eastAsia="宋体" w:cs="Times New Roman"/>
                <w:color w:val="auto"/>
                <w:spacing w:val="0"/>
                <w:w w:val="100"/>
                <w:position w:val="0"/>
                <w:sz w:val="21"/>
                <w:szCs w:val="21"/>
                <w:highlight w:val="none"/>
                <w:lang w:val="en-US" w:eastAsia="zh-CN"/>
              </w:rPr>
              <w:t>54.595</w:t>
            </w:r>
            <w:r>
              <w:rPr>
                <w:rFonts w:hint="default" w:ascii="Times New Roman" w:hAnsi="Times New Roman" w:eastAsia="宋体" w:cs="Times New Roman"/>
                <w:color w:val="auto"/>
                <w:spacing w:val="0"/>
                <w:w w:val="100"/>
                <w:position w:val="0"/>
                <w:sz w:val="21"/>
                <w:szCs w:val="21"/>
                <w:highlight w:val="none"/>
                <w:lang w:val="en-US" w:eastAsia="zh-CN"/>
              </w:rPr>
              <w:t>t/a、氨氮：</w:t>
            </w:r>
            <w:r>
              <w:rPr>
                <w:rFonts w:hint="eastAsia" w:ascii="Times New Roman" w:hAnsi="Times New Roman" w:eastAsia="宋体" w:cs="Times New Roman"/>
                <w:color w:val="auto"/>
                <w:spacing w:val="0"/>
                <w:w w:val="100"/>
                <w:position w:val="0"/>
                <w:sz w:val="21"/>
                <w:szCs w:val="21"/>
                <w:highlight w:val="none"/>
                <w:lang w:val="en-US" w:eastAsia="zh-CN"/>
              </w:rPr>
              <w:t>5.887</w:t>
            </w:r>
            <w:r>
              <w:rPr>
                <w:rFonts w:hint="default" w:ascii="Times New Roman" w:hAnsi="Times New Roman" w:eastAsia="宋体" w:cs="Times New Roman"/>
                <w:color w:val="auto"/>
                <w:spacing w:val="0"/>
                <w:w w:val="100"/>
                <w:position w:val="0"/>
                <w:sz w:val="21"/>
                <w:szCs w:val="21"/>
                <w:highlight w:val="none"/>
                <w:lang w:val="en-US" w:eastAsia="zh-CN"/>
              </w:rPr>
              <w:t>t/a、SO</w:t>
            </w:r>
            <w:r>
              <w:rPr>
                <w:rFonts w:hint="default" w:ascii="Times New Roman" w:hAnsi="Times New Roman" w:eastAsia="宋体" w:cs="Times New Roman"/>
                <w:color w:val="auto"/>
                <w:spacing w:val="0"/>
                <w:w w:val="100"/>
                <w:position w:val="0"/>
                <w:sz w:val="21"/>
                <w:szCs w:val="21"/>
                <w:highlight w:val="none"/>
                <w:vertAlign w:val="subscript"/>
                <w:lang w:val="en-US" w:eastAsia="zh-CN"/>
              </w:rPr>
              <w:t>2</w:t>
            </w:r>
            <w:r>
              <w:rPr>
                <w:rFonts w:hint="default" w:ascii="Times New Roman" w:hAnsi="Times New Roman" w:eastAsia="宋体" w:cs="Times New Roman"/>
                <w:color w:val="auto"/>
                <w:spacing w:val="0"/>
                <w:w w:val="100"/>
                <w:position w:val="0"/>
                <w:sz w:val="21"/>
                <w:szCs w:val="21"/>
                <w:highlight w:val="none"/>
                <w:lang w:val="en-US" w:eastAsia="zh-CN"/>
              </w:rPr>
              <w:t>：5.94t/a、NOx：0t/a</w:t>
            </w:r>
            <w:bookmarkEnd w:id="31"/>
            <w:r>
              <w:rPr>
                <w:rFonts w:hint="eastAsia" w:ascii="Times New Roman" w:hAnsi="Times New Roman" w:eastAsia="宋体" w:cs="Times New Roman"/>
                <w:color w:val="auto"/>
                <w:spacing w:val="0"/>
                <w:w w:val="100"/>
                <w:position w:val="0"/>
                <w:sz w:val="21"/>
                <w:szCs w:val="21"/>
                <w:highlight w:val="none"/>
                <w:lang w:val="en-US" w:eastAsia="zh-CN"/>
              </w:rPr>
              <w:t>、挥发性有机物：122.950t/a、颗粒物：81.435t/a。</w:t>
            </w:r>
          </w:p>
          <w:p w14:paraId="0CECAFB9">
            <w:pPr>
              <w:pageBreakBefore w:val="0"/>
              <w:widowControl w:val="0"/>
              <w:shd w:val="clear"/>
              <w:kinsoku/>
              <w:wordWrap/>
              <w:overflowPunct/>
              <w:topLinePunct w:val="0"/>
              <w:autoSpaceDE/>
              <w:autoSpaceDN/>
              <w:bidi w:val="0"/>
              <w:adjustRightInd/>
              <w:snapToGrid/>
              <w:spacing w:line="384" w:lineRule="auto"/>
              <w:ind w:left="0" w:leftChars="0" w:firstLine="420" w:firstLineChars="200"/>
              <w:jc w:val="both"/>
              <w:textAlignment w:val="auto"/>
              <w:rPr>
                <w:rFonts w:hint="eastAsia" w:cs="Times New Roman"/>
                <w:color w:val="auto"/>
                <w:spacing w:val="0"/>
                <w:w w:val="100"/>
                <w:position w:val="0"/>
                <w:sz w:val="21"/>
                <w:szCs w:val="21"/>
                <w:highlight w:val="none"/>
                <w:lang w:val="en-US" w:eastAsia="zh-CN"/>
              </w:rPr>
            </w:pPr>
            <w:r>
              <w:rPr>
                <w:rFonts w:hint="eastAsia" w:cs="Times New Roman"/>
                <w:color w:val="auto"/>
                <w:spacing w:val="0"/>
                <w:w w:val="100"/>
                <w:position w:val="0"/>
                <w:sz w:val="21"/>
                <w:szCs w:val="21"/>
                <w:highlight w:val="none"/>
                <w:lang w:val="en-US" w:eastAsia="zh-CN"/>
              </w:rPr>
              <w:t>企业确权交易量为：</w:t>
            </w:r>
            <w:r>
              <w:rPr>
                <w:rFonts w:hint="default" w:ascii="Times New Roman" w:hAnsi="Times New Roman" w:eastAsia="宋体" w:cs="Times New Roman"/>
                <w:color w:val="auto"/>
                <w:spacing w:val="0"/>
                <w:w w:val="100"/>
                <w:position w:val="0"/>
                <w:sz w:val="21"/>
                <w:szCs w:val="21"/>
                <w:highlight w:val="none"/>
                <w:lang w:val="en-US" w:eastAsia="zh-CN"/>
              </w:rPr>
              <w:t>COD：</w:t>
            </w:r>
            <w:r>
              <w:rPr>
                <w:rFonts w:hint="eastAsia" w:ascii="Times New Roman" w:hAnsi="Times New Roman" w:eastAsia="宋体" w:cs="Times New Roman"/>
                <w:color w:val="auto"/>
                <w:spacing w:val="0"/>
                <w:w w:val="100"/>
                <w:position w:val="0"/>
                <w:sz w:val="21"/>
                <w:szCs w:val="21"/>
                <w:highlight w:val="none"/>
                <w:lang w:val="en-US" w:eastAsia="zh-CN"/>
              </w:rPr>
              <w:t>54.595</w:t>
            </w:r>
            <w:r>
              <w:rPr>
                <w:rFonts w:hint="default" w:ascii="Times New Roman" w:hAnsi="Times New Roman" w:eastAsia="宋体" w:cs="Times New Roman"/>
                <w:color w:val="auto"/>
                <w:spacing w:val="0"/>
                <w:w w:val="100"/>
                <w:position w:val="0"/>
                <w:sz w:val="21"/>
                <w:szCs w:val="21"/>
                <w:highlight w:val="none"/>
                <w:lang w:val="en-US" w:eastAsia="zh-CN"/>
              </w:rPr>
              <w:t>t/a、氨氮：</w:t>
            </w:r>
            <w:r>
              <w:rPr>
                <w:rFonts w:hint="eastAsia" w:ascii="Times New Roman" w:hAnsi="Times New Roman" w:eastAsia="宋体" w:cs="Times New Roman"/>
                <w:color w:val="auto"/>
                <w:spacing w:val="0"/>
                <w:w w:val="100"/>
                <w:position w:val="0"/>
                <w:sz w:val="21"/>
                <w:szCs w:val="21"/>
                <w:highlight w:val="none"/>
                <w:lang w:val="en-US" w:eastAsia="zh-CN"/>
              </w:rPr>
              <w:t>5.887</w:t>
            </w:r>
            <w:r>
              <w:rPr>
                <w:rFonts w:hint="default" w:ascii="Times New Roman" w:hAnsi="Times New Roman" w:eastAsia="宋体" w:cs="Times New Roman"/>
                <w:color w:val="auto"/>
                <w:spacing w:val="0"/>
                <w:w w:val="100"/>
                <w:position w:val="0"/>
                <w:sz w:val="21"/>
                <w:szCs w:val="21"/>
                <w:highlight w:val="none"/>
                <w:lang w:val="en-US" w:eastAsia="zh-CN"/>
              </w:rPr>
              <w:t>t/a、SO</w:t>
            </w:r>
            <w:r>
              <w:rPr>
                <w:rFonts w:hint="default" w:ascii="Times New Roman" w:hAnsi="Times New Roman" w:eastAsia="宋体" w:cs="Times New Roman"/>
                <w:color w:val="auto"/>
                <w:spacing w:val="0"/>
                <w:w w:val="100"/>
                <w:position w:val="0"/>
                <w:sz w:val="21"/>
                <w:szCs w:val="21"/>
                <w:highlight w:val="none"/>
                <w:vertAlign w:val="subscript"/>
                <w:lang w:val="en-US" w:eastAsia="zh-CN"/>
              </w:rPr>
              <w:t>2</w:t>
            </w:r>
            <w:r>
              <w:rPr>
                <w:rFonts w:hint="default" w:ascii="Times New Roman" w:hAnsi="Times New Roman" w:eastAsia="宋体" w:cs="Times New Roman"/>
                <w:color w:val="auto"/>
                <w:spacing w:val="0"/>
                <w:w w:val="100"/>
                <w:position w:val="0"/>
                <w:sz w:val="21"/>
                <w:szCs w:val="21"/>
                <w:highlight w:val="none"/>
                <w:lang w:val="en-US" w:eastAsia="zh-CN"/>
              </w:rPr>
              <w:t>：5.94t/a、NOx：0t/a</w:t>
            </w:r>
            <w:r>
              <w:rPr>
                <w:rFonts w:hint="eastAsia" w:cs="Times New Roman"/>
                <w:color w:val="auto"/>
                <w:spacing w:val="0"/>
                <w:w w:val="100"/>
                <w:position w:val="0"/>
                <w:sz w:val="21"/>
                <w:szCs w:val="21"/>
                <w:highlight w:val="none"/>
                <w:lang w:val="en-US" w:eastAsia="zh-CN"/>
              </w:rPr>
              <w:t>。</w:t>
            </w:r>
          </w:p>
          <w:p w14:paraId="57D1663C">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default" w:ascii="Times New Roman" w:hAnsi="Times New Roman" w:eastAsia="宋体" w:cs="Times New Roman"/>
                <w:bCs/>
                <w:color w:val="auto"/>
                <w:kern w:val="0"/>
                <w:sz w:val="21"/>
                <w:szCs w:val="21"/>
                <w:highlight w:val="none"/>
                <w:lang w:val="en-US" w:eastAsia="zh-CN" w:bidi="ar-SA"/>
              </w:rPr>
            </w:pPr>
            <w:r>
              <w:rPr>
                <w:rFonts w:hint="default" w:ascii="Times New Roman" w:hAnsi="Times New Roman" w:eastAsia="宋体" w:cs="Times New Roman"/>
                <w:bCs/>
                <w:color w:val="auto"/>
                <w:kern w:val="0"/>
                <w:sz w:val="21"/>
                <w:szCs w:val="21"/>
                <w:highlight w:val="none"/>
                <w:lang w:val="en-US" w:eastAsia="zh-CN" w:bidi="ar-SA"/>
              </w:rPr>
              <w:t>（</w:t>
            </w:r>
            <w:r>
              <w:rPr>
                <w:rFonts w:hint="eastAsia" w:ascii="Times New Roman" w:hAnsi="Times New Roman" w:eastAsia="宋体" w:cs="Times New Roman"/>
                <w:bCs/>
                <w:color w:val="auto"/>
                <w:kern w:val="0"/>
                <w:sz w:val="21"/>
                <w:szCs w:val="21"/>
                <w:highlight w:val="none"/>
                <w:lang w:val="en-US" w:eastAsia="zh-CN" w:bidi="ar-SA"/>
              </w:rPr>
              <w:t>三</w:t>
            </w:r>
            <w:r>
              <w:rPr>
                <w:rFonts w:hint="default" w:ascii="Times New Roman" w:hAnsi="Times New Roman" w:eastAsia="宋体" w:cs="Times New Roman"/>
                <w:bCs/>
                <w:color w:val="auto"/>
                <w:kern w:val="0"/>
                <w:sz w:val="21"/>
                <w:szCs w:val="21"/>
                <w:highlight w:val="none"/>
                <w:lang w:val="en-US" w:eastAsia="zh-CN" w:bidi="ar-SA"/>
              </w:rPr>
              <w:t>）</w:t>
            </w:r>
            <w:r>
              <w:rPr>
                <w:rFonts w:hint="eastAsia" w:ascii="Times New Roman" w:hAnsi="Times New Roman" w:eastAsia="宋体" w:cs="Times New Roman"/>
                <w:bCs/>
                <w:color w:val="auto"/>
                <w:kern w:val="0"/>
                <w:sz w:val="21"/>
                <w:szCs w:val="21"/>
                <w:highlight w:val="none"/>
                <w:lang w:val="en-US" w:eastAsia="zh-CN" w:bidi="ar-SA"/>
              </w:rPr>
              <w:t>在建工程</w:t>
            </w:r>
            <w:r>
              <w:rPr>
                <w:rFonts w:hint="default" w:ascii="Times New Roman" w:hAnsi="Times New Roman" w:eastAsia="宋体" w:cs="Times New Roman"/>
                <w:bCs/>
                <w:color w:val="auto"/>
                <w:kern w:val="0"/>
                <w:sz w:val="21"/>
                <w:szCs w:val="21"/>
                <w:highlight w:val="none"/>
                <w:lang w:val="en-US" w:eastAsia="zh-CN" w:bidi="ar-SA"/>
              </w:rPr>
              <w:t>情况</w:t>
            </w:r>
            <w:r>
              <w:rPr>
                <w:rFonts w:hint="eastAsia" w:ascii="Times New Roman" w:hAnsi="Times New Roman" w:eastAsia="宋体" w:cs="Times New Roman"/>
                <w:bCs/>
                <w:color w:val="auto"/>
                <w:kern w:val="0"/>
                <w:sz w:val="21"/>
                <w:szCs w:val="21"/>
                <w:highlight w:val="none"/>
                <w:lang w:val="en-US" w:eastAsia="zh-CN" w:bidi="ar-SA"/>
              </w:rPr>
              <w:t>介绍</w:t>
            </w:r>
          </w:p>
          <w:p w14:paraId="1EDCD376">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在建项目石家庄东华金龙化工有限公司新建仓储设施项目，于2026年3月11日取得石家庄高新技术产业开发区行政审批局审批，目前正在建设。</w:t>
            </w:r>
          </w:p>
          <w:p w14:paraId="24E02059">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eastAsia"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新建仓储设施项目</w:t>
            </w:r>
            <w:r>
              <w:rPr>
                <w:rFonts w:hint="eastAsia" w:cs="Times New Roman"/>
                <w:color w:val="auto"/>
                <w:sz w:val="21"/>
                <w:szCs w:val="21"/>
                <w:highlight w:val="none"/>
                <w:lang w:val="en-US" w:eastAsia="zh-CN"/>
              </w:rPr>
              <w:t>主要建设内容为：新建甲类仓库2座、乙类仓库1座、丁类棚库1座，用于存储固体乌洛托品、固体氯乙酸、水合肼、铝粉、五金备件、丁戊类产品及原辅材料、危废等。</w:t>
            </w:r>
          </w:p>
          <w:p w14:paraId="61C2FE75">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废水：</w:t>
            </w:r>
            <w:r>
              <w:rPr>
                <w:rFonts w:hint="eastAsia" w:ascii="Times New Roman" w:hAnsi="Times New Roman" w:eastAsia="宋体" w:cs="Times New Roman"/>
                <w:bCs/>
                <w:color w:val="auto"/>
                <w:spacing w:val="0"/>
                <w:kern w:val="2"/>
                <w:sz w:val="21"/>
                <w:szCs w:val="21"/>
                <w:highlight w:val="none"/>
                <w:lang w:val="en-US" w:eastAsia="zh-CN" w:bidi="ar-SA"/>
              </w:rPr>
              <w:t>本项目无新增劳动定员，故无新增生活废水。拟建项目废水主要为危废库配套废气处理设施（碱吸收塔）的排水，废水经厂综合污水处理站处理达标后排入</w:t>
            </w:r>
            <w:r>
              <w:rPr>
                <w:rFonts w:hint="eastAsia" w:cs="Times New Roman"/>
                <w:bCs/>
                <w:color w:val="auto"/>
                <w:spacing w:val="0"/>
                <w:kern w:val="2"/>
                <w:sz w:val="21"/>
                <w:szCs w:val="21"/>
                <w:highlight w:val="none"/>
                <w:lang w:val="en-US" w:eastAsia="zh-CN" w:bidi="ar-SA"/>
              </w:rPr>
              <w:t>石家庄石家庄高新区循化环境水务有限公司（良村南污水处理厂）</w:t>
            </w:r>
            <w:r>
              <w:rPr>
                <w:rFonts w:hint="eastAsia" w:ascii="Times New Roman" w:hAnsi="Times New Roman" w:eastAsia="宋体" w:cs="Times New Roman"/>
                <w:bCs/>
                <w:color w:val="auto"/>
                <w:spacing w:val="0"/>
                <w:kern w:val="2"/>
                <w:sz w:val="21"/>
                <w:szCs w:val="21"/>
                <w:highlight w:val="none"/>
                <w:lang w:val="en-US" w:eastAsia="zh-CN" w:bidi="ar-SA"/>
              </w:rPr>
              <w:t>进一步处理。</w:t>
            </w:r>
          </w:p>
          <w:p w14:paraId="2569ED2F">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废气：本项目甲类仓库一中危废库产生的废气通过现有危废库的一套负压收集+活性炭吸附+碱吸收处理后经15m排气筒（新增）排放。</w:t>
            </w:r>
          </w:p>
          <w:p w14:paraId="7ED9DA7F">
            <w:pPr>
              <w:keepNext w:val="0"/>
              <w:keepLines w:val="0"/>
              <w:pageBreakBefore w:val="0"/>
              <w:widowControl w:val="0"/>
              <w:kinsoku/>
              <w:wordWrap/>
              <w:overflowPunct/>
              <w:topLinePunct w:val="0"/>
              <w:autoSpaceDE/>
              <w:autoSpaceDN/>
              <w:bidi w:val="0"/>
              <w:adjustRightInd/>
              <w:snapToGrid/>
              <w:spacing w:line="384" w:lineRule="auto"/>
              <w:ind w:left="0" w:firstLine="420" w:firstLineChars="200"/>
              <w:jc w:val="both"/>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噪声：本项目噪声污染源主要为危废库废气处理设施配套风机运行过程中产生的设备噪声。该废气处理设施为利旧设备，通过优化布局等进行降噪处理，再经距离衰减后达标排放。</w:t>
            </w:r>
          </w:p>
          <w:p w14:paraId="46709226">
            <w:pPr>
              <w:keepNext w:val="0"/>
              <w:keepLines w:val="0"/>
              <w:pageBreakBefore w:val="0"/>
              <w:widowControl w:val="0"/>
              <w:kinsoku/>
              <w:wordWrap/>
              <w:overflowPunct/>
              <w:topLinePunct w:val="0"/>
              <w:autoSpaceDE/>
              <w:autoSpaceDN/>
              <w:bidi w:val="0"/>
              <w:adjustRightInd/>
              <w:snapToGrid/>
              <w:spacing w:line="384" w:lineRule="auto"/>
              <w:ind w:left="0" w:firstLine="396" w:firstLineChars="200"/>
              <w:jc w:val="both"/>
              <w:textAlignment w:val="auto"/>
              <w:rPr>
                <w:rFonts w:hint="default" w:ascii="Times New Roman" w:hAnsi="Times New Roman" w:eastAsia="宋体" w:cs="Times New Roman"/>
                <w:bCs/>
                <w:color w:val="auto"/>
                <w:spacing w:val="-6"/>
                <w:kern w:val="2"/>
                <w:sz w:val="21"/>
                <w:szCs w:val="21"/>
                <w:highlight w:val="none"/>
                <w:lang w:val="en-US" w:eastAsia="zh-CN" w:bidi="ar-SA"/>
              </w:rPr>
            </w:pPr>
            <w:r>
              <w:rPr>
                <w:rFonts w:hint="eastAsia" w:ascii="Times New Roman" w:hAnsi="Times New Roman" w:eastAsia="宋体" w:cs="Times New Roman"/>
                <w:bCs/>
                <w:color w:val="auto"/>
                <w:spacing w:val="-6"/>
                <w:kern w:val="2"/>
                <w:sz w:val="21"/>
                <w:szCs w:val="21"/>
                <w:highlight w:val="none"/>
                <w:lang w:val="en-US" w:eastAsia="zh-CN" w:bidi="ar-SA"/>
              </w:rPr>
              <w:t>固体废物：废气处理产生的废活性炭，采用密闭容器暂存危废库，定期由资质单位处置。</w:t>
            </w:r>
          </w:p>
          <w:p w14:paraId="3D71096A">
            <w:pPr>
              <w:pStyle w:val="35"/>
              <w:pageBreakBefore w:val="0"/>
              <w:widowControl w:val="0"/>
              <w:numPr>
                <w:ilvl w:val="0"/>
                <w:numId w:val="4"/>
              </w:numPr>
              <w:kinsoku/>
              <w:wordWrap/>
              <w:overflowPunct/>
              <w:topLinePunct w:val="0"/>
              <w:bidi w:val="0"/>
              <w:spacing w:beforeLines="0" w:line="384" w:lineRule="auto"/>
              <w:ind w:left="0" w:leftChars="0" w:firstLine="420" w:firstLineChars="200"/>
              <w:jc w:val="both"/>
              <w:textAlignment w:val="auto"/>
              <w:rPr>
                <w:rFonts w:hint="default" w:ascii="Times New Roman" w:hAnsi="Times New Roman" w:eastAsia="宋体" w:cs="Times New Roman"/>
                <w:bCs/>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与该项目有关的主要环境问题并提出整改措施</w:t>
            </w:r>
          </w:p>
          <w:p w14:paraId="1D39D1B8">
            <w:pPr>
              <w:keepNext w:val="0"/>
              <w:keepLines w:val="0"/>
              <w:pageBreakBefore w:val="0"/>
              <w:widowControl/>
              <w:suppressLineNumbers w:val="0"/>
              <w:kinsoku/>
              <w:wordWrap/>
              <w:overflowPunct/>
              <w:topLinePunct w:val="0"/>
              <w:autoSpaceDE/>
              <w:autoSpaceDN/>
              <w:bidi w:val="0"/>
              <w:adjustRightInd/>
              <w:snapToGrid/>
              <w:ind w:firstLine="420" w:firstLineChars="200"/>
              <w:jc w:val="left"/>
              <w:textAlignment w:val="auto"/>
              <w:rPr>
                <w:rFonts w:hint="default" w:ascii="Times New Roman" w:hAnsi="Times New Roman" w:eastAsia="宋体" w:cs="Times New Roman"/>
                <w:bCs/>
                <w:color w:val="auto"/>
                <w:sz w:val="21"/>
                <w:szCs w:val="21"/>
                <w:highlight w:val="none"/>
                <w:lang w:val="en-US" w:eastAsia="zh-CN"/>
              </w:rPr>
            </w:pPr>
            <w:r>
              <w:rPr>
                <w:rFonts w:hint="eastAsia" w:ascii="Times New Roman" w:hAnsi="Times New Roman" w:cs="Times New Roman"/>
                <w:bCs/>
                <w:color w:val="auto"/>
                <w:sz w:val="21"/>
                <w:szCs w:val="21"/>
                <w:highlight w:val="none"/>
                <w:lang w:val="en-US" w:eastAsia="zh-CN"/>
              </w:rPr>
              <w:t>1、本项目需实施拆除作业，</w:t>
            </w:r>
            <w:r>
              <w:rPr>
                <w:rFonts w:hint="default" w:ascii="Times New Roman" w:hAnsi="Times New Roman" w:eastAsia="宋体" w:cs="Times New Roman"/>
                <w:bCs/>
                <w:color w:val="auto"/>
                <w:sz w:val="21"/>
                <w:szCs w:val="21"/>
                <w:highlight w:val="none"/>
                <w:lang w:val="en-US" w:eastAsia="zh-CN"/>
              </w:rPr>
              <w:t>拆除原有喷雾干燥系统、加热系统、粉碎机、冷凝器、布袋除尘器、离心机、水计量罐、风机、水吸收塔、酸吸收塔、水循环泵、酸循环泵等共计13台（套）</w:t>
            </w:r>
            <w:r>
              <w:rPr>
                <w:rFonts w:hint="eastAsia" w:ascii="Times New Roman" w:hAnsi="Times New Roman" w:cs="Times New Roman"/>
                <w:bCs/>
                <w:color w:val="auto"/>
                <w:sz w:val="21"/>
                <w:szCs w:val="21"/>
                <w:highlight w:val="none"/>
                <w:lang w:val="en-US" w:eastAsia="zh-CN"/>
              </w:rPr>
              <w:t>，</w:t>
            </w:r>
            <w:r>
              <w:rPr>
                <w:rFonts w:hint="default" w:ascii="Times New Roman" w:hAnsi="Times New Roman" w:eastAsia="宋体" w:cs="Times New Roman"/>
                <w:bCs/>
                <w:color w:val="auto"/>
                <w:sz w:val="21"/>
                <w:szCs w:val="21"/>
                <w:highlight w:val="none"/>
                <w:lang w:val="en-US" w:eastAsia="zh-CN"/>
              </w:rPr>
              <w:t>拆除作业严格遵循《企业拆除活动污染防治技术规定（试行）》《土壤污染防治法》相关要求，须先行开展设施设备材料污染物沾染情况全面排查，编制专项拆除及污染防治方案并完成备案，落实全过程污染防控措施，依规有序推进设备拆除、残料清理、场地整治及后续工作。</w:t>
            </w:r>
          </w:p>
          <w:p w14:paraId="68FCA32D">
            <w:pPr>
              <w:pStyle w:val="41"/>
              <w:pageBreakBefore w:val="0"/>
              <w:widowControl w:val="0"/>
              <w:kinsoku/>
              <w:wordWrap/>
              <w:overflowPunct/>
              <w:topLinePunct w:val="0"/>
              <w:autoSpaceDE/>
              <w:autoSpaceDN/>
              <w:bidi w:val="0"/>
              <w:adjustRightInd/>
              <w:spacing w:beforeLines="0" w:afterLines="0" w:line="384" w:lineRule="auto"/>
              <w:ind w:firstLine="420" w:firstLineChars="200"/>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val="en-US" w:eastAsia="zh-CN"/>
              </w:rPr>
              <w:t>现有工程</w:t>
            </w:r>
            <w:r>
              <w:rPr>
                <w:rFonts w:hint="eastAsia" w:ascii="Times New Roman" w:hAnsi="Times New Roman" w:cs="Times New Roman"/>
                <w:color w:val="auto"/>
                <w:sz w:val="21"/>
                <w:szCs w:val="21"/>
                <w:highlight w:val="none"/>
                <w:lang w:val="en-US" w:eastAsia="zh-CN"/>
              </w:rPr>
              <w:t>除新建仓储设施项目外，其余</w:t>
            </w:r>
            <w:r>
              <w:rPr>
                <w:rFonts w:hint="default" w:ascii="Times New Roman" w:hAnsi="Times New Roman" w:eastAsia="宋体" w:cs="Times New Roman"/>
                <w:color w:val="auto"/>
                <w:sz w:val="21"/>
                <w:szCs w:val="21"/>
                <w:highlight w:val="none"/>
                <w:lang w:val="en-US" w:eastAsia="zh-CN"/>
              </w:rPr>
              <w:t>均已通过竣工环境保护验收，并取得排放污染物许可证，经过现场排查并根据排污许可执行情况，现有项目环保问题</w:t>
            </w:r>
            <w:r>
              <w:rPr>
                <w:rFonts w:hint="eastAsia" w:ascii="Times New Roman" w:hAnsi="Times New Roman" w:cs="Times New Roman"/>
                <w:color w:val="auto"/>
                <w:sz w:val="21"/>
                <w:szCs w:val="21"/>
                <w:highlight w:val="none"/>
                <w:lang w:val="en-US" w:eastAsia="zh-CN"/>
              </w:rPr>
              <w:t>如下：</w:t>
            </w:r>
          </w:p>
          <w:p w14:paraId="319EBEC2">
            <w:pPr>
              <w:pStyle w:val="41"/>
              <w:keepNext w:val="0"/>
              <w:keepLines w:val="0"/>
              <w:pageBreakBefore w:val="0"/>
              <w:widowControl w:val="0"/>
              <w:numPr>
                <w:ilvl w:val="0"/>
                <w:numId w:val="0"/>
              </w:numPr>
              <w:kinsoku/>
              <w:wordWrap/>
              <w:overflowPunct/>
              <w:topLinePunct w:val="0"/>
              <w:autoSpaceDE/>
              <w:autoSpaceDN/>
              <w:bidi w:val="0"/>
              <w:adjustRightInd/>
              <w:snapToGrid/>
              <w:spacing w:beforeLines="0" w:afterLines="0" w:line="384" w:lineRule="auto"/>
              <w:ind w:firstLine="420" w:firstLineChars="200"/>
              <w:textAlignment w:val="auto"/>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（1）现有工程甘氨酸亚铁工艺流程产污环节仅对喷雾干燥环节废气进行了识别，未统筹考虑投料、粉碎和包装环节颗粒物，投料口和粉碎包装工位无颗粒物收集措施；</w:t>
            </w:r>
          </w:p>
          <w:p w14:paraId="00CA305E">
            <w:pPr>
              <w:pStyle w:val="41"/>
              <w:keepNext w:val="0"/>
              <w:keepLines w:val="0"/>
              <w:pageBreakBefore w:val="0"/>
              <w:widowControl w:val="0"/>
              <w:numPr>
                <w:ilvl w:val="0"/>
                <w:numId w:val="0"/>
              </w:numPr>
              <w:kinsoku/>
              <w:wordWrap/>
              <w:overflowPunct/>
              <w:topLinePunct w:val="0"/>
              <w:autoSpaceDE/>
              <w:autoSpaceDN/>
              <w:bidi w:val="0"/>
              <w:adjustRightInd/>
              <w:snapToGrid/>
              <w:spacing w:beforeLines="0" w:afterLines="0" w:line="384" w:lineRule="auto"/>
              <w:ind w:firstLine="420" w:firstLineChars="20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eastAsia" w:ascii="Times New Roman" w:hAnsi="Times New Roman" w:eastAsia="宋体" w:cs="Times New Roman"/>
                <w:color w:val="auto"/>
                <w:sz w:val="21"/>
                <w:szCs w:val="21"/>
                <w:highlight w:val="none"/>
                <w:lang w:val="en-US" w:eastAsia="zh-CN"/>
              </w:rPr>
              <w:t>现有工程甘胺酸亚铁喷雾干燥尾气特点：高温、高湿、含细黏态甘氨酸亚铁粉尘、含游离氨酸性水汽，现有</w:t>
            </w:r>
            <w:bookmarkStart w:id="32" w:name="OLE_LINK13"/>
            <w:r>
              <w:rPr>
                <w:rFonts w:hint="eastAsia" w:ascii="Times New Roman" w:hAnsi="Times New Roman" w:eastAsia="宋体" w:cs="Times New Roman"/>
                <w:color w:val="auto"/>
                <w:sz w:val="21"/>
                <w:szCs w:val="21"/>
                <w:highlight w:val="none"/>
                <w:lang w:val="en-US" w:eastAsia="zh-CN"/>
              </w:rPr>
              <w:t>“布袋除尘器 + 水喷淋 + 酸喷淋”</w:t>
            </w:r>
            <w:bookmarkEnd w:id="32"/>
            <w:r>
              <w:rPr>
                <w:rFonts w:hint="eastAsia" w:ascii="Times New Roman" w:hAnsi="Times New Roman" w:eastAsia="宋体" w:cs="Times New Roman"/>
                <w:color w:val="auto"/>
                <w:sz w:val="21"/>
                <w:szCs w:val="21"/>
                <w:highlight w:val="none"/>
                <w:lang w:val="en-US" w:eastAsia="zh-CN"/>
              </w:rPr>
              <w:t>工艺中布袋长期受高湿烟气返潮、酸性凝露影响，滤袋频繁糊袋板结、除尘失效，无法稳定运行、运维成本极高。</w:t>
            </w:r>
          </w:p>
          <w:p w14:paraId="787169BE">
            <w:pPr>
              <w:pStyle w:val="41"/>
              <w:keepNext w:val="0"/>
              <w:keepLines w:val="0"/>
              <w:pageBreakBefore w:val="0"/>
              <w:widowControl w:val="0"/>
              <w:numPr>
                <w:ilvl w:val="0"/>
                <w:numId w:val="0"/>
              </w:numPr>
              <w:kinsoku/>
              <w:wordWrap/>
              <w:overflowPunct/>
              <w:topLinePunct w:val="0"/>
              <w:autoSpaceDE/>
              <w:autoSpaceDN/>
              <w:bidi w:val="0"/>
              <w:adjustRightInd/>
              <w:snapToGrid/>
              <w:spacing w:beforeLines="0" w:afterLines="0" w:line="384" w:lineRule="auto"/>
              <w:ind w:firstLine="420" w:firstLineChars="20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lang w:val="en-US" w:eastAsia="zh-CN"/>
              </w:rPr>
              <w:t>现有项目环保问题</w:t>
            </w:r>
            <w:r>
              <w:rPr>
                <w:rFonts w:hint="eastAsia" w:ascii="Times New Roman" w:hAnsi="Times New Roman" w:eastAsia="宋体" w:cs="Times New Roman"/>
                <w:color w:val="auto"/>
                <w:sz w:val="21"/>
                <w:szCs w:val="21"/>
                <w:highlight w:val="none"/>
                <w:lang w:val="en-US" w:eastAsia="zh-CN"/>
              </w:rPr>
              <w:t>整改措施如下：</w:t>
            </w:r>
          </w:p>
          <w:p w14:paraId="4388DFFD">
            <w:pPr>
              <w:pStyle w:val="41"/>
              <w:keepNext w:val="0"/>
              <w:keepLines w:val="0"/>
              <w:pageBreakBefore w:val="0"/>
              <w:widowControl w:val="0"/>
              <w:numPr>
                <w:ilvl w:val="0"/>
                <w:numId w:val="0"/>
              </w:numPr>
              <w:kinsoku/>
              <w:wordWrap/>
              <w:overflowPunct/>
              <w:topLinePunct w:val="0"/>
              <w:autoSpaceDE/>
              <w:autoSpaceDN/>
              <w:bidi w:val="0"/>
              <w:adjustRightInd/>
              <w:snapToGrid/>
              <w:spacing w:beforeLines="0" w:afterLines="0" w:line="384" w:lineRule="auto"/>
              <w:ind w:firstLine="420" w:firstLineChars="200"/>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粉碎设备全封闭；反应釜投料口设顶吸</w:t>
            </w:r>
            <w:r>
              <w:rPr>
                <w:rFonts w:hint="eastAsia" w:ascii="Times New Roman" w:hAnsi="Times New Roman" w:cs="Times New Roman"/>
                <w:color w:val="auto"/>
                <w:sz w:val="21"/>
                <w:szCs w:val="21"/>
                <w:highlight w:val="none"/>
                <w:lang w:val="en-US" w:eastAsia="zh-CN"/>
              </w:rPr>
              <w:t>集气罩+软帘</w:t>
            </w:r>
            <w:r>
              <w:rPr>
                <w:rFonts w:hint="eastAsia" w:ascii="Times New Roman" w:hAnsi="Times New Roman" w:eastAsia="宋体" w:cs="Times New Roman"/>
                <w:color w:val="auto"/>
                <w:sz w:val="21"/>
                <w:szCs w:val="21"/>
                <w:highlight w:val="none"/>
                <w:lang w:val="en-US" w:eastAsia="zh-CN"/>
              </w:rPr>
              <w:t>；粉碎包装工位设顶吸</w:t>
            </w:r>
            <w:r>
              <w:rPr>
                <w:rFonts w:hint="eastAsia" w:ascii="Times New Roman" w:hAnsi="Times New Roman" w:cs="Times New Roman"/>
                <w:color w:val="auto"/>
                <w:sz w:val="21"/>
                <w:szCs w:val="21"/>
                <w:highlight w:val="none"/>
                <w:lang w:val="en-US" w:eastAsia="zh-CN"/>
              </w:rPr>
              <w:t>集气罩+软帘</w:t>
            </w:r>
            <w:r>
              <w:rPr>
                <w:rFonts w:hint="eastAsia" w:ascii="Times New Roman" w:hAnsi="Times New Roman" w:eastAsia="宋体" w:cs="Times New Roman"/>
                <w:color w:val="auto"/>
                <w:sz w:val="21"/>
                <w:szCs w:val="21"/>
                <w:highlight w:val="none"/>
                <w:lang w:val="en-US" w:eastAsia="zh-CN"/>
              </w:rPr>
              <w:t>，废气收集后进入布袋除尘器治理；</w:t>
            </w:r>
          </w:p>
          <w:p w14:paraId="4D20AE2B">
            <w:pPr>
              <w:pStyle w:val="41"/>
              <w:keepNext w:val="0"/>
              <w:keepLines w:val="0"/>
              <w:pageBreakBefore w:val="0"/>
              <w:widowControl w:val="0"/>
              <w:numPr>
                <w:ilvl w:val="0"/>
                <w:numId w:val="0"/>
              </w:numPr>
              <w:kinsoku/>
              <w:wordWrap/>
              <w:overflowPunct/>
              <w:topLinePunct w:val="0"/>
              <w:autoSpaceDE/>
              <w:autoSpaceDN/>
              <w:bidi w:val="0"/>
              <w:adjustRightInd/>
              <w:snapToGrid/>
              <w:spacing w:beforeLines="0" w:afterLines="0" w:line="384" w:lineRule="auto"/>
              <w:ind w:firstLine="420" w:firstLineChars="20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w:t>
            </w:r>
            <w:r>
              <w:rPr>
                <w:rFonts w:hint="eastAsia" w:ascii="Times New Roman" w:hAnsi="Times New Roman" w:cs="Times New Roman"/>
                <w:color w:val="auto"/>
                <w:spacing w:val="-6"/>
                <w:sz w:val="21"/>
                <w:szCs w:val="21"/>
                <w:highlight w:val="none"/>
                <w:lang w:val="en-US" w:eastAsia="zh-CN"/>
              </w:rPr>
              <w:t>）</w:t>
            </w:r>
            <w:r>
              <w:rPr>
                <w:rFonts w:hint="eastAsia" w:ascii="Times New Roman" w:hAnsi="Times New Roman" w:eastAsia="宋体" w:cs="Times New Roman"/>
                <w:color w:val="auto"/>
                <w:spacing w:val="-6"/>
                <w:sz w:val="21"/>
                <w:szCs w:val="21"/>
                <w:highlight w:val="none"/>
                <w:lang w:val="en-US" w:eastAsia="zh-CN"/>
              </w:rPr>
              <w:t>本次扩能改造拆除原有废气治理设施“布袋除尘器 + 水喷淋 + 酸喷淋”，喷雾干燥尾气治理工艺优化调整为“水喷淋吸收 + 酸喷淋吸收”两级湿式净化，经处理达标后的喷雾干燥尾气与经布袋除尘器处理后的投料、粉碎包装废气共同经1根25m排气筒排放。</w:t>
            </w:r>
          </w:p>
        </w:tc>
      </w:tr>
    </w:tbl>
    <w:p w14:paraId="1232C1FF">
      <w:pPr>
        <w:pStyle w:val="21"/>
        <w:rPr>
          <w:color w:val="auto"/>
          <w:highlight w:val="none"/>
        </w:rPr>
        <w:sectPr>
          <w:pgSz w:w="11906" w:h="16838"/>
          <w:pgMar w:top="1701" w:right="1531" w:bottom="1701"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p w14:paraId="4B9BAE2C">
      <w:pPr>
        <w:widowControl w:val="0"/>
        <w:spacing w:before="0" w:beforeAutospacing="0" w:after="0" w:afterAutospacing="0" w:line="360" w:lineRule="auto"/>
        <w:jc w:val="center"/>
        <w:outlineLvl w:val="0"/>
        <w:rPr>
          <w:rFonts w:ascii="黑体" w:hAnsi="黑体" w:eastAsia="黑体" w:cs="Times New Roman"/>
          <w:snapToGrid w:val="0"/>
          <w:color w:val="auto"/>
          <w:kern w:val="0"/>
          <w:sz w:val="30"/>
          <w:szCs w:val="30"/>
          <w:highlight w:val="none"/>
          <w:lang w:val="en-US" w:eastAsia="zh-CN" w:bidi="ar-SA"/>
        </w:rPr>
      </w:pPr>
      <w:r>
        <w:rPr>
          <w:rFonts w:hint="eastAsia" w:ascii="黑体" w:hAnsi="黑体" w:eastAsia="黑体" w:cs="Times New Roman"/>
          <w:snapToGrid w:val="0"/>
          <w:color w:val="auto"/>
          <w:kern w:val="0"/>
          <w:sz w:val="30"/>
          <w:szCs w:val="30"/>
          <w:highlight w:val="none"/>
          <w:lang w:val="en-US" w:eastAsia="zh-CN" w:bidi="ar-SA"/>
        </w:rPr>
        <w:t>三、区域环境质量现状、环境保护目标及评价标准</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60"/>
        <w:gridCol w:w="8301"/>
      </w:tblGrid>
      <w:tr w14:paraId="2D7165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 w:hRule="atLeast"/>
          <w:jc w:val="center"/>
        </w:trPr>
        <w:tc>
          <w:tcPr>
            <w:tcW w:w="760" w:type="dxa"/>
            <w:noWrap w:val="0"/>
            <w:vAlign w:val="center"/>
          </w:tcPr>
          <w:p w14:paraId="2F006BDF">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区域</w:t>
            </w:r>
          </w:p>
          <w:p w14:paraId="01DD8ABC">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环境</w:t>
            </w:r>
          </w:p>
          <w:p w14:paraId="715134EB">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质量</w:t>
            </w:r>
          </w:p>
          <w:p w14:paraId="5D3F855F">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现状</w:t>
            </w:r>
          </w:p>
        </w:tc>
        <w:tc>
          <w:tcPr>
            <w:tcW w:w="8301" w:type="dxa"/>
            <w:noWrap w:val="0"/>
            <w:vAlign w:val="center"/>
          </w:tcPr>
          <w:p w14:paraId="4D7090CB">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2" w:firstLineChars="200"/>
              <w:jc w:val="both"/>
              <w:outlineLvl w:val="1"/>
              <w:rPr>
                <w:rFonts w:hint="default" w:ascii="Times New Roman" w:hAnsi="Times New Roman" w:eastAsia="宋体" w:cs="Times New Roman"/>
                <w:b/>
                <w:bCs/>
                <w:snapToGrid w:val="0"/>
                <w:color w:val="auto"/>
                <w:kern w:val="0"/>
                <w:sz w:val="21"/>
                <w:szCs w:val="21"/>
                <w:highlight w:val="none"/>
                <w:lang w:val="en-US" w:eastAsia="zh-CN" w:bidi="ar-SA"/>
              </w:rPr>
            </w:pPr>
            <w:r>
              <w:rPr>
                <w:rFonts w:hint="eastAsia" w:ascii="Times New Roman" w:hAnsi="Times New Roman" w:eastAsia="宋体" w:cs="Times New Roman"/>
                <w:b/>
                <w:bCs/>
                <w:snapToGrid w:val="0"/>
                <w:color w:val="auto"/>
                <w:kern w:val="0"/>
                <w:sz w:val="21"/>
                <w:szCs w:val="21"/>
                <w:highlight w:val="none"/>
                <w:lang w:val="en-US" w:eastAsia="zh-CN" w:bidi="ar-SA"/>
              </w:rPr>
              <w:t>（一）</w:t>
            </w:r>
            <w:r>
              <w:rPr>
                <w:rFonts w:hint="default" w:ascii="Times New Roman" w:hAnsi="Times New Roman" w:eastAsia="宋体" w:cs="Times New Roman"/>
                <w:b/>
                <w:bCs/>
                <w:snapToGrid w:val="0"/>
                <w:color w:val="auto"/>
                <w:kern w:val="0"/>
                <w:sz w:val="21"/>
                <w:szCs w:val="21"/>
                <w:highlight w:val="none"/>
                <w:lang w:val="en-US" w:eastAsia="zh-CN" w:bidi="ar-SA"/>
              </w:rPr>
              <w:t>大气环境</w:t>
            </w:r>
          </w:p>
          <w:p w14:paraId="3079E59E">
            <w:pPr>
              <w:keepNext w:val="0"/>
              <w:keepLines w:val="0"/>
              <w:pageBreakBefore w:val="0"/>
              <w:widowControl w:val="0"/>
              <w:suppressLineNumbers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eastAsia"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1、环境空气质量达标区判定</w:t>
            </w:r>
          </w:p>
          <w:p w14:paraId="4ECA8A6B">
            <w:pPr>
              <w:keepNext w:val="0"/>
              <w:keepLines w:val="0"/>
              <w:pageBreakBefore w:val="0"/>
              <w:widowControl w:val="0"/>
              <w:suppressLineNumbers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b w:val="0"/>
                <w:snapToGrid w:val="0"/>
                <w:color w:val="auto"/>
                <w:kern w:val="0"/>
                <w:sz w:val="21"/>
                <w:szCs w:val="21"/>
                <w:highlight w:val="none"/>
                <w:lang w:val="en-US" w:eastAsia="zh-CN"/>
              </w:rPr>
            </w:pPr>
            <w:r>
              <w:rPr>
                <w:rFonts w:hint="eastAsia" w:ascii="Times New Roman" w:hAnsi="Times New Roman" w:eastAsia="宋体" w:cs="Times New Roman"/>
                <w:b w:val="0"/>
                <w:snapToGrid w:val="0"/>
                <w:color w:val="auto"/>
                <w:kern w:val="0"/>
                <w:sz w:val="21"/>
                <w:szCs w:val="21"/>
                <w:highlight w:val="none"/>
                <w:lang w:val="en-US" w:eastAsia="zh-CN"/>
              </w:rPr>
              <w:t>根据石家庄市生态环境局</w:t>
            </w:r>
            <w:r>
              <w:rPr>
                <w:rFonts w:hint="eastAsia" w:ascii="Times New Roman" w:hAnsi="Times New Roman" w:cs="Times New Roman"/>
                <w:color w:val="auto"/>
                <w:kern w:val="0"/>
                <w:sz w:val="21"/>
                <w:szCs w:val="21"/>
                <w:highlight w:val="none"/>
                <w:lang w:val="en-US" w:eastAsia="zh-CN" w:bidi="ar"/>
              </w:rPr>
              <w:t>公开</w:t>
            </w:r>
            <w:r>
              <w:rPr>
                <w:rFonts w:hint="default" w:ascii="Times New Roman" w:hAnsi="Times New Roman" w:eastAsia="宋体" w:cs="Times New Roman"/>
                <w:color w:val="auto"/>
                <w:kern w:val="0"/>
                <w:sz w:val="21"/>
                <w:szCs w:val="21"/>
                <w:highlight w:val="none"/>
                <w:lang w:bidi="ar"/>
              </w:rPr>
              <w:t>发布的</w:t>
            </w:r>
            <w:r>
              <w:rPr>
                <w:rFonts w:hint="default" w:ascii="Times New Roman" w:hAnsi="Times New Roman" w:eastAsia="宋体" w:cs="Times New Roman"/>
                <w:b w:val="0"/>
                <w:snapToGrid w:val="0"/>
                <w:color w:val="auto"/>
                <w:kern w:val="0"/>
                <w:sz w:val="21"/>
                <w:szCs w:val="21"/>
                <w:highlight w:val="none"/>
                <w:lang w:val="en-US" w:eastAsia="zh-CN"/>
              </w:rPr>
              <w:t>《</w:t>
            </w:r>
            <w:r>
              <w:rPr>
                <w:rFonts w:hint="eastAsia"/>
                <w:color w:val="auto"/>
                <w:sz w:val="21"/>
                <w:szCs w:val="21"/>
                <w:highlight w:val="none"/>
              </w:rPr>
              <w:t>202</w:t>
            </w:r>
            <w:r>
              <w:rPr>
                <w:rFonts w:hint="eastAsia"/>
                <w:color w:val="auto"/>
                <w:sz w:val="21"/>
                <w:szCs w:val="21"/>
                <w:highlight w:val="none"/>
                <w:lang w:val="en-US" w:eastAsia="zh-CN"/>
              </w:rPr>
              <w:t>4</w:t>
            </w:r>
            <w:r>
              <w:rPr>
                <w:rFonts w:hint="eastAsia"/>
                <w:color w:val="auto"/>
                <w:sz w:val="21"/>
                <w:szCs w:val="21"/>
                <w:highlight w:val="none"/>
              </w:rPr>
              <w:t>年</w:t>
            </w:r>
            <w:bookmarkStart w:id="33" w:name="OLE_LINK27"/>
            <w:r>
              <w:rPr>
                <w:rFonts w:hint="eastAsia"/>
                <w:color w:val="auto"/>
                <w:sz w:val="21"/>
                <w:szCs w:val="21"/>
                <w:highlight w:val="none"/>
              </w:rPr>
              <w:t>石家庄市生态环境</w:t>
            </w:r>
            <w:r>
              <w:rPr>
                <w:rFonts w:hint="eastAsia" w:ascii="Times New Roman" w:eastAsia="宋体"/>
                <w:color w:val="auto"/>
                <w:sz w:val="21"/>
                <w:szCs w:val="21"/>
                <w:highlight w:val="none"/>
                <w:lang w:val="en-US" w:eastAsia="zh-CN"/>
              </w:rPr>
              <w:t>状况</w:t>
            </w:r>
            <w:r>
              <w:rPr>
                <w:rFonts w:hint="eastAsia"/>
                <w:color w:val="auto"/>
                <w:sz w:val="21"/>
                <w:szCs w:val="21"/>
                <w:highlight w:val="none"/>
              </w:rPr>
              <w:t>公报</w:t>
            </w:r>
            <w:bookmarkEnd w:id="33"/>
            <w:r>
              <w:rPr>
                <w:rFonts w:hint="default" w:ascii="Times New Roman" w:hAnsi="Times New Roman" w:eastAsia="宋体" w:cs="Times New Roman"/>
                <w:b w:val="0"/>
                <w:snapToGrid w:val="0"/>
                <w:color w:val="auto"/>
                <w:kern w:val="0"/>
                <w:sz w:val="21"/>
                <w:szCs w:val="21"/>
                <w:highlight w:val="none"/>
                <w:lang w:val="en-US" w:eastAsia="zh-CN"/>
              </w:rPr>
              <w:t>》中相关数据进行</w:t>
            </w:r>
            <w:r>
              <w:rPr>
                <w:rFonts w:hint="eastAsia" w:ascii="Times New Roman" w:hAnsi="Times New Roman" w:eastAsia="宋体" w:cs="Times New Roman"/>
                <w:b w:val="0"/>
                <w:snapToGrid w:val="0"/>
                <w:color w:val="auto"/>
                <w:kern w:val="0"/>
                <w:sz w:val="21"/>
                <w:szCs w:val="21"/>
                <w:highlight w:val="none"/>
                <w:lang w:val="en-US" w:eastAsia="zh-CN"/>
              </w:rPr>
              <w:t>本项目所在区域大气环境质量现状评价。202</w:t>
            </w:r>
            <w:r>
              <w:rPr>
                <w:rFonts w:hint="eastAsia" w:cs="Times New Roman"/>
                <w:b w:val="0"/>
                <w:snapToGrid w:val="0"/>
                <w:color w:val="auto"/>
                <w:kern w:val="0"/>
                <w:sz w:val="21"/>
                <w:szCs w:val="21"/>
                <w:highlight w:val="none"/>
                <w:lang w:val="en-US" w:eastAsia="zh-CN"/>
              </w:rPr>
              <w:t>4</w:t>
            </w:r>
            <w:r>
              <w:rPr>
                <w:rFonts w:hint="eastAsia" w:ascii="Times New Roman" w:hAnsi="Times New Roman" w:eastAsia="宋体" w:cs="Times New Roman"/>
                <w:b w:val="0"/>
                <w:snapToGrid w:val="0"/>
                <w:color w:val="auto"/>
                <w:kern w:val="0"/>
                <w:sz w:val="21"/>
                <w:szCs w:val="21"/>
                <w:highlight w:val="none"/>
                <w:lang w:val="en-US" w:eastAsia="zh-CN"/>
              </w:rPr>
              <w:t>年石家庄市区域环境空气质量达标判定结果见表3-1。</w:t>
            </w:r>
          </w:p>
          <w:p w14:paraId="0E3F1B1C">
            <w:pPr>
              <w:keepNext w:val="0"/>
              <w:keepLines w:val="0"/>
              <w:pageBreakBefore w:val="0"/>
              <w:widowControl w:val="0"/>
              <w:suppressLineNumbers w:val="0"/>
              <w:kinsoku/>
              <w:wordWrap/>
              <w:overflowPunct/>
              <w:topLinePunct w:val="0"/>
              <w:autoSpaceDE/>
              <w:autoSpaceDN/>
              <w:bidi w:val="0"/>
              <w:adjustRightInd/>
              <w:snapToGrid/>
              <w:spacing w:beforeLines="0" w:afterLines="0" w:line="384" w:lineRule="auto"/>
              <w:ind w:firstLine="0" w:firstLineChars="0"/>
              <w:jc w:val="center"/>
              <w:textAlignment w:val="baseline"/>
              <w:rPr>
                <w:rFonts w:hint="eastAsia" w:ascii="Times New Roman" w:hAnsi="Times New Roman" w:eastAsia="宋体" w:cs="Times New Roman"/>
                <w:b/>
                <w:bCs/>
                <w:snapToGrid w:val="0"/>
                <w:color w:val="auto"/>
                <w:kern w:val="0"/>
                <w:sz w:val="21"/>
                <w:szCs w:val="21"/>
                <w:highlight w:val="none"/>
                <w:lang w:val="en-US" w:eastAsia="zh-CN"/>
              </w:rPr>
            </w:pPr>
            <w:r>
              <w:rPr>
                <w:rFonts w:hint="default" w:ascii="Times New Roman" w:hAnsi="Times New Roman" w:eastAsia="宋体" w:cs="Times New Roman"/>
                <w:b/>
                <w:bCs/>
                <w:snapToGrid w:val="0"/>
                <w:color w:val="auto"/>
                <w:kern w:val="0"/>
                <w:sz w:val="21"/>
                <w:szCs w:val="21"/>
                <w:highlight w:val="none"/>
                <w:lang w:val="en-US" w:eastAsia="zh-CN"/>
              </w:rPr>
              <w:t>表 3-1</w:t>
            </w:r>
            <w:r>
              <w:rPr>
                <w:rFonts w:hint="eastAsia" w:ascii="Times New Roman" w:hAnsi="Times New Roman" w:eastAsia="宋体" w:cs="Times New Roman"/>
                <w:b/>
                <w:bCs/>
                <w:snapToGrid w:val="0"/>
                <w:color w:val="auto"/>
                <w:kern w:val="0"/>
                <w:sz w:val="21"/>
                <w:szCs w:val="21"/>
                <w:highlight w:val="none"/>
                <w:lang w:val="en-US" w:eastAsia="zh-CN"/>
              </w:rPr>
              <w:t xml:space="preserve"> </w:t>
            </w:r>
            <w:r>
              <w:rPr>
                <w:rFonts w:hint="eastAsia" w:cs="Times New Roman"/>
                <w:b/>
                <w:bCs/>
                <w:snapToGrid w:val="0"/>
                <w:color w:val="auto"/>
                <w:kern w:val="0"/>
                <w:sz w:val="21"/>
                <w:szCs w:val="21"/>
                <w:highlight w:val="none"/>
                <w:lang w:val="en-US" w:eastAsia="zh-CN"/>
              </w:rPr>
              <w:t xml:space="preserve"> </w:t>
            </w:r>
            <w:r>
              <w:rPr>
                <w:rFonts w:hint="eastAsia" w:ascii="Times New Roman" w:hAnsi="Times New Roman" w:eastAsia="宋体" w:cs="Times New Roman"/>
                <w:b/>
                <w:bCs/>
                <w:snapToGrid w:val="0"/>
                <w:color w:val="auto"/>
                <w:kern w:val="0"/>
                <w:sz w:val="21"/>
                <w:szCs w:val="21"/>
                <w:highlight w:val="none"/>
                <w:lang w:val="en-US" w:eastAsia="zh-CN"/>
              </w:rPr>
              <w:t>202</w:t>
            </w:r>
            <w:r>
              <w:rPr>
                <w:rFonts w:hint="eastAsia" w:cs="Times New Roman"/>
                <w:b/>
                <w:bCs/>
                <w:snapToGrid w:val="0"/>
                <w:color w:val="auto"/>
                <w:kern w:val="0"/>
                <w:sz w:val="21"/>
                <w:szCs w:val="21"/>
                <w:highlight w:val="none"/>
                <w:lang w:val="en-US" w:eastAsia="zh-CN"/>
              </w:rPr>
              <w:t>4</w:t>
            </w:r>
            <w:r>
              <w:rPr>
                <w:rFonts w:hint="eastAsia" w:ascii="Times New Roman" w:hAnsi="Times New Roman" w:eastAsia="宋体" w:cs="Times New Roman"/>
                <w:b/>
                <w:bCs/>
                <w:snapToGrid w:val="0"/>
                <w:color w:val="auto"/>
                <w:kern w:val="0"/>
                <w:sz w:val="21"/>
                <w:szCs w:val="21"/>
                <w:highlight w:val="none"/>
                <w:lang w:val="en-US" w:eastAsia="zh-CN"/>
              </w:rPr>
              <w:t>年区域大气环境质量达标判定结果</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3" w:type="dxa"/>
                <w:bottom w:w="0" w:type="dxa"/>
                <w:right w:w="23" w:type="dxa"/>
              </w:tblCellMar>
            </w:tblPr>
            <w:tblGrid>
              <w:gridCol w:w="943"/>
              <w:gridCol w:w="2922"/>
              <w:gridCol w:w="1144"/>
              <w:gridCol w:w="1082"/>
              <w:gridCol w:w="1002"/>
              <w:gridCol w:w="979"/>
            </w:tblGrid>
            <w:tr w14:paraId="3EF6F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12" w:hRule="atLeast"/>
                <w:jc w:val="center"/>
              </w:trPr>
              <w:tc>
                <w:tcPr>
                  <w:tcW w:w="584" w:type="pct"/>
                  <w:vMerge w:val="restart"/>
                  <w:noWrap w:val="0"/>
                  <w:vAlign w:val="center"/>
                </w:tcPr>
                <w:p w14:paraId="7E89DF11">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污染物</w:t>
                  </w:r>
                </w:p>
              </w:tc>
              <w:tc>
                <w:tcPr>
                  <w:tcW w:w="1809" w:type="pct"/>
                  <w:vMerge w:val="restart"/>
                  <w:noWrap w:val="0"/>
                  <w:vAlign w:val="center"/>
                </w:tcPr>
                <w:p w14:paraId="0A85E66A">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年评价指标</w:t>
                  </w:r>
                </w:p>
              </w:tc>
              <w:tc>
                <w:tcPr>
                  <w:tcW w:w="708" w:type="pct"/>
                  <w:vMerge w:val="restart"/>
                  <w:noWrap w:val="0"/>
                  <w:vAlign w:val="center"/>
                </w:tcPr>
                <w:p w14:paraId="34462D39">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现状浓度（µg/m</w:t>
                  </w:r>
                  <w:r>
                    <w:rPr>
                      <w:rFonts w:ascii="Times New Roman" w:hAnsi="Times New Roman" w:eastAsia="宋体" w:cs="Times New Roman"/>
                      <w:b/>
                      <w:bCs/>
                      <w:color w:val="auto"/>
                      <w:kern w:val="0"/>
                      <w:sz w:val="21"/>
                      <w:szCs w:val="21"/>
                      <w:highlight w:val="none"/>
                      <w:vertAlign w:val="superscript"/>
                      <w:lang w:val="en-US" w:eastAsia="zh-CN" w:bidi="ar-SA"/>
                    </w:rPr>
                    <w:t>3</w:t>
                  </w:r>
                  <w:r>
                    <w:rPr>
                      <w:rFonts w:ascii="Times New Roman" w:hAnsi="Times New Roman" w:eastAsia="宋体" w:cs="Times New Roman"/>
                      <w:b/>
                      <w:bCs/>
                      <w:color w:val="auto"/>
                      <w:kern w:val="0"/>
                      <w:sz w:val="21"/>
                      <w:szCs w:val="21"/>
                      <w:highlight w:val="none"/>
                      <w:lang w:val="en-US" w:eastAsia="zh-CN" w:bidi="ar-SA"/>
                    </w:rPr>
                    <w:t>）</w:t>
                  </w:r>
                </w:p>
              </w:tc>
              <w:tc>
                <w:tcPr>
                  <w:tcW w:w="670" w:type="pct"/>
                  <w:vMerge w:val="restart"/>
                  <w:noWrap w:val="0"/>
                  <w:vAlign w:val="center"/>
                </w:tcPr>
                <w:p w14:paraId="24245C25">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评价标准（µg/m</w:t>
                  </w:r>
                  <w:r>
                    <w:rPr>
                      <w:rFonts w:ascii="Times New Roman" w:hAnsi="Times New Roman" w:eastAsia="宋体" w:cs="Times New Roman"/>
                      <w:b/>
                      <w:bCs/>
                      <w:color w:val="auto"/>
                      <w:kern w:val="0"/>
                      <w:sz w:val="21"/>
                      <w:szCs w:val="21"/>
                      <w:highlight w:val="none"/>
                      <w:vertAlign w:val="superscript"/>
                      <w:lang w:val="en-US" w:eastAsia="zh-CN" w:bidi="ar-SA"/>
                    </w:rPr>
                    <w:t>3</w:t>
                  </w:r>
                  <w:r>
                    <w:rPr>
                      <w:rFonts w:ascii="Times New Roman" w:hAnsi="Times New Roman" w:eastAsia="宋体" w:cs="Times New Roman"/>
                      <w:b/>
                      <w:bCs/>
                      <w:color w:val="auto"/>
                      <w:kern w:val="0"/>
                      <w:sz w:val="21"/>
                      <w:szCs w:val="21"/>
                      <w:highlight w:val="none"/>
                      <w:lang w:val="en-US" w:eastAsia="zh-CN" w:bidi="ar-SA"/>
                    </w:rPr>
                    <w:t>）</w:t>
                  </w:r>
                </w:p>
              </w:tc>
              <w:tc>
                <w:tcPr>
                  <w:tcW w:w="620" w:type="pct"/>
                  <w:vMerge w:val="restart"/>
                  <w:noWrap w:val="0"/>
                  <w:vAlign w:val="center"/>
                </w:tcPr>
                <w:p w14:paraId="6E3E3D2F">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最大浓度占标率/%</w:t>
                  </w:r>
                </w:p>
              </w:tc>
              <w:tc>
                <w:tcPr>
                  <w:tcW w:w="606" w:type="pct"/>
                  <w:vMerge w:val="restart"/>
                  <w:noWrap w:val="0"/>
                  <w:vAlign w:val="center"/>
                </w:tcPr>
                <w:p w14:paraId="0C012FB8">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达标</w:t>
                  </w:r>
                </w:p>
                <w:p w14:paraId="5AA8E899">
                  <w:pPr>
                    <w:widowControl w:val="0"/>
                    <w:autoSpaceDE w:val="0"/>
                    <w:autoSpaceDN w:val="0"/>
                    <w:adjustRightInd w:val="0"/>
                    <w:snapToGrid/>
                    <w:spacing w:line="300" w:lineRule="exact"/>
                    <w:jc w:val="center"/>
                    <w:textAlignment w:val="auto"/>
                    <w:rPr>
                      <w:rFonts w:ascii="Times New Roman" w:hAnsi="Times New Roman" w:eastAsia="宋体" w:cs="Times New Roman"/>
                      <w:b/>
                      <w:bCs/>
                      <w:color w:val="auto"/>
                      <w:kern w:val="0"/>
                      <w:sz w:val="21"/>
                      <w:szCs w:val="21"/>
                      <w:highlight w:val="none"/>
                      <w:lang w:val="en-US" w:eastAsia="zh-CN" w:bidi="ar-SA"/>
                    </w:rPr>
                  </w:pPr>
                  <w:r>
                    <w:rPr>
                      <w:rFonts w:ascii="Times New Roman" w:hAnsi="Times New Roman" w:eastAsia="宋体" w:cs="Times New Roman"/>
                      <w:b/>
                      <w:bCs/>
                      <w:color w:val="auto"/>
                      <w:kern w:val="0"/>
                      <w:sz w:val="21"/>
                      <w:szCs w:val="21"/>
                      <w:highlight w:val="none"/>
                      <w:lang w:val="en-US" w:eastAsia="zh-CN" w:bidi="ar-SA"/>
                    </w:rPr>
                    <w:t>情况</w:t>
                  </w:r>
                </w:p>
              </w:tc>
            </w:tr>
            <w:tr w14:paraId="2FE6B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12" w:hRule="atLeast"/>
                <w:jc w:val="center"/>
              </w:trPr>
              <w:tc>
                <w:tcPr>
                  <w:tcW w:w="584" w:type="pct"/>
                  <w:vMerge w:val="continue"/>
                  <w:noWrap w:val="0"/>
                  <w:vAlign w:val="center"/>
                </w:tcPr>
                <w:p w14:paraId="33E009FE">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p>
              </w:tc>
              <w:tc>
                <w:tcPr>
                  <w:tcW w:w="1809" w:type="pct"/>
                  <w:vMerge w:val="continue"/>
                  <w:noWrap w:val="0"/>
                  <w:vAlign w:val="center"/>
                </w:tcPr>
                <w:p w14:paraId="462B3103">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p>
              </w:tc>
              <w:tc>
                <w:tcPr>
                  <w:tcW w:w="708" w:type="pct"/>
                  <w:vMerge w:val="continue"/>
                  <w:noWrap w:val="0"/>
                  <w:vAlign w:val="center"/>
                </w:tcPr>
                <w:p w14:paraId="3093C3BA">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p>
              </w:tc>
              <w:tc>
                <w:tcPr>
                  <w:tcW w:w="670" w:type="pct"/>
                  <w:vMerge w:val="continue"/>
                  <w:noWrap w:val="0"/>
                  <w:vAlign w:val="center"/>
                </w:tcPr>
                <w:p w14:paraId="144CF58C">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p>
              </w:tc>
              <w:tc>
                <w:tcPr>
                  <w:tcW w:w="620" w:type="pct"/>
                  <w:vMerge w:val="continue"/>
                  <w:noWrap w:val="0"/>
                  <w:vAlign w:val="center"/>
                </w:tcPr>
                <w:p w14:paraId="3175C971">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p>
              </w:tc>
              <w:tc>
                <w:tcPr>
                  <w:tcW w:w="606" w:type="pct"/>
                  <w:vMerge w:val="continue"/>
                  <w:noWrap w:val="0"/>
                  <w:vAlign w:val="center"/>
                </w:tcPr>
                <w:p w14:paraId="34EB8745">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p>
              </w:tc>
            </w:tr>
            <w:tr w14:paraId="273BE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7" w:hRule="atLeast"/>
                <w:jc w:val="center"/>
              </w:trPr>
              <w:tc>
                <w:tcPr>
                  <w:tcW w:w="584" w:type="pct"/>
                  <w:noWrap w:val="0"/>
                  <w:vAlign w:val="center"/>
                </w:tcPr>
                <w:p w14:paraId="2AAD73D8">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PM</w:t>
                  </w:r>
                  <w:r>
                    <w:rPr>
                      <w:rFonts w:ascii="Times New Roman" w:hAnsi="Times New Roman" w:eastAsia="宋体" w:cs="Times New Roman"/>
                      <w:color w:val="auto"/>
                      <w:kern w:val="0"/>
                      <w:sz w:val="21"/>
                      <w:szCs w:val="21"/>
                      <w:highlight w:val="none"/>
                      <w:vertAlign w:val="subscript"/>
                      <w:lang w:val="en-US" w:eastAsia="zh-CN" w:bidi="ar-SA"/>
                    </w:rPr>
                    <w:t>10</w:t>
                  </w:r>
                </w:p>
              </w:tc>
              <w:tc>
                <w:tcPr>
                  <w:tcW w:w="1809" w:type="pct"/>
                  <w:noWrap w:val="0"/>
                  <w:vAlign w:val="center"/>
                </w:tcPr>
                <w:p w14:paraId="0F4A41B6">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年平均质量浓度</w:t>
                  </w:r>
                </w:p>
              </w:tc>
              <w:tc>
                <w:tcPr>
                  <w:tcW w:w="1128" w:type="dxa"/>
                  <w:noWrap w:val="0"/>
                  <w:vAlign w:val="center"/>
                </w:tcPr>
                <w:p w14:paraId="1878C5F6">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78</w:t>
                  </w:r>
                </w:p>
              </w:tc>
              <w:tc>
                <w:tcPr>
                  <w:tcW w:w="1067" w:type="dxa"/>
                  <w:noWrap w:val="0"/>
                  <w:vAlign w:val="center"/>
                </w:tcPr>
                <w:p w14:paraId="7158C68C">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60</w:t>
                  </w:r>
                </w:p>
              </w:tc>
              <w:tc>
                <w:tcPr>
                  <w:tcW w:w="988" w:type="dxa"/>
                  <w:noWrap w:val="0"/>
                  <w:vAlign w:val="center"/>
                </w:tcPr>
                <w:p w14:paraId="3EBA1D3F">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130</w:t>
                  </w:r>
                </w:p>
              </w:tc>
              <w:tc>
                <w:tcPr>
                  <w:tcW w:w="606" w:type="pct"/>
                  <w:noWrap w:val="0"/>
                  <w:vAlign w:val="center"/>
                </w:tcPr>
                <w:p w14:paraId="2B1BD704">
                  <w:pPr>
                    <w:autoSpaceDE w:val="0"/>
                    <w:autoSpaceDN w:val="0"/>
                    <w:spacing w:line="300" w:lineRule="exact"/>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pacing w:val="-6"/>
                      <w:sz w:val="21"/>
                      <w:szCs w:val="21"/>
                      <w:highlight w:val="none"/>
                    </w:rPr>
                    <w:t>不达标</w:t>
                  </w:r>
                </w:p>
              </w:tc>
            </w:tr>
            <w:tr w14:paraId="0FB92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7" w:hRule="atLeast"/>
                <w:jc w:val="center"/>
              </w:trPr>
              <w:tc>
                <w:tcPr>
                  <w:tcW w:w="584" w:type="pct"/>
                  <w:noWrap w:val="0"/>
                  <w:vAlign w:val="center"/>
                </w:tcPr>
                <w:p w14:paraId="3436168D">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PM</w:t>
                  </w:r>
                  <w:r>
                    <w:rPr>
                      <w:rFonts w:ascii="Times New Roman" w:hAnsi="Times New Roman" w:eastAsia="宋体" w:cs="Times New Roman"/>
                      <w:color w:val="auto"/>
                      <w:kern w:val="0"/>
                      <w:sz w:val="21"/>
                      <w:szCs w:val="21"/>
                      <w:highlight w:val="none"/>
                      <w:vertAlign w:val="subscript"/>
                      <w:lang w:val="en-US" w:eastAsia="zh-CN" w:bidi="ar-SA"/>
                    </w:rPr>
                    <w:t>2.5</w:t>
                  </w:r>
                </w:p>
              </w:tc>
              <w:tc>
                <w:tcPr>
                  <w:tcW w:w="1809" w:type="pct"/>
                  <w:noWrap w:val="0"/>
                  <w:vAlign w:val="center"/>
                </w:tcPr>
                <w:p w14:paraId="63CAFC4F">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年平均质量浓度</w:t>
                  </w:r>
                </w:p>
              </w:tc>
              <w:tc>
                <w:tcPr>
                  <w:tcW w:w="1128" w:type="dxa"/>
                  <w:noWrap w:val="0"/>
                  <w:vAlign w:val="center"/>
                </w:tcPr>
                <w:p w14:paraId="64EE72A6">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45</w:t>
                  </w:r>
                </w:p>
              </w:tc>
              <w:tc>
                <w:tcPr>
                  <w:tcW w:w="1067" w:type="dxa"/>
                  <w:noWrap w:val="0"/>
                  <w:vAlign w:val="center"/>
                </w:tcPr>
                <w:p w14:paraId="5BCC7B0C">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30</w:t>
                  </w:r>
                </w:p>
              </w:tc>
              <w:tc>
                <w:tcPr>
                  <w:tcW w:w="988" w:type="dxa"/>
                  <w:noWrap w:val="0"/>
                  <w:vAlign w:val="center"/>
                </w:tcPr>
                <w:p w14:paraId="7771ED7C">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150</w:t>
                  </w:r>
                </w:p>
              </w:tc>
              <w:tc>
                <w:tcPr>
                  <w:tcW w:w="606" w:type="pct"/>
                  <w:noWrap w:val="0"/>
                  <w:vAlign w:val="center"/>
                </w:tcPr>
                <w:p w14:paraId="40866556">
                  <w:pPr>
                    <w:autoSpaceDE w:val="0"/>
                    <w:autoSpaceDN w:val="0"/>
                    <w:spacing w:line="300" w:lineRule="exact"/>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pacing w:val="-6"/>
                      <w:sz w:val="21"/>
                      <w:szCs w:val="21"/>
                      <w:highlight w:val="none"/>
                    </w:rPr>
                    <w:t>不达标</w:t>
                  </w:r>
                </w:p>
              </w:tc>
            </w:tr>
            <w:tr w14:paraId="0A8CB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7" w:hRule="atLeast"/>
                <w:jc w:val="center"/>
              </w:trPr>
              <w:tc>
                <w:tcPr>
                  <w:tcW w:w="584" w:type="pct"/>
                  <w:noWrap w:val="0"/>
                  <w:vAlign w:val="center"/>
                </w:tcPr>
                <w:p w14:paraId="636A67A8">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SO</w:t>
                  </w:r>
                  <w:r>
                    <w:rPr>
                      <w:rFonts w:ascii="Times New Roman" w:hAnsi="Times New Roman" w:eastAsia="宋体" w:cs="Times New Roman"/>
                      <w:color w:val="auto"/>
                      <w:kern w:val="0"/>
                      <w:sz w:val="21"/>
                      <w:szCs w:val="21"/>
                      <w:highlight w:val="none"/>
                      <w:vertAlign w:val="subscript"/>
                      <w:lang w:val="en-US" w:eastAsia="zh-CN" w:bidi="ar-SA"/>
                    </w:rPr>
                    <w:t>2</w:t>
                  </w:r>
                </w:p>
              </w:tc>
              <w:tc>
                <w:tcPr>
                  <w:tcW w:w="1809" w:type="pct"/>
                  <w:noWrap w:val="0"/>
                  <w:vAlign w:val="center"/>
                </w:tcPr>
                <w:p w14:paraId="3605B134">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年平均质量浓度</w:t>
                  </w:r>
                </w:p>
              </w:tc>
              <w:tc>
                <w:tcPr>
                  <w:tcW w:w="1128" w:type="dxa"/>
                  <w:noWrap w:val="0"/>
                  <w:vAlign w:val="center"/>
                </w:tcPr>
                <w:p w14:paraId="7D0AC802">
                  <w:pPr>
                    <w:autoSpaceDE w:val="0"/>
                    <w:autoSpaceDN w:val="0"/>
                    <w:adjustRightInd w:val="0"/>
                    <w:spacing w:line="240" w:lineRule="exact"/>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5</w:t>
                  </w:r>
                </w:p>
              </w:tc>
              <w:tc>
                <w:tcPr>
                  <w:tcW w:w="1067" w:type="dxa"/>
                  <w:noWrap w:val="0"/>
                  <w:vAlign w:val="center"/>
                </w:tcPr>
                <w:p w14:paraId="551D56BA">
                  <w:pPr>
                    <w:autoSpaceDE w:val="0"/>
                    <w:autoSpaceDN w:val="0"/>
                    <w:adjustRightInd w:val="0"/>
                    <w:spacing w:line="240" w:lineRule="exact"/>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60</w:t>
                  </w:r>
                </w:p>
              </w:tc>
              <w:tc>
                <w:tcPr>
                  <w:tcW w:w="988" w:type="dxa"/>
                  <w:noWrap w:val="0"/>
                  <w:vAlign w:val="center"/>
                </w:tcPr>
                <w:p w14:paraId="5E27F627">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8.3</w:t>
                  </w:r>
                </w:p>
              </w:tc>
              <w:tc>
                <w:tcPr>
                  <w:tcW w:w="606" w:type="pct"/>
                  <w:noWrap w:val="0"/>
                  <w:vAlign w:val="center"/>
                </w:tcPr>
                <w:p w14:paraId="69421E74">
                  <w:pPr>
                    <w:autoSpaceDE w:val="0"/>
                    <w:autoSpaceDN w:val="0"/>
                    <w:spacing w:line="300" w:lineRule="exact"/>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pacing w:val="-6"/>
                      <w:sz w:val="21"/>
                      <w:szCs w:val="21"/>
                      <w:highlight w:val="none"/>
                    </w:rPr>
                    <w:t>达标</w:t>
                  </w:r>
                </w:p>
              </w:tc>
            </w:tr>
            <w:tr w14:paraId="319EC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7" w:hRule="atLeast"/>
                <w:jc w:val="center"/>
              </w:trPr>
              <w:tc>
                <w:tcPr>
                  <w:tcW w:w="584" w:type="pct"/>
                  <w:noWrap w:val="0"/>
                  <w:vAlign w:val="center"/>
                </w:tcPr>
                <w:p w14:paraId="44E69128">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NO</w:t>
                  </w:r>
                  <w:r>
                    <w:rPr>
                      <w:rFonts w:ascii="Times New Roman" w:hAnsi="Times New Roman" w:eastAsia="宋体" w:cs="Times New Roman"/>
                      <w:color w:val="auto"/>
                      <w:kern w:val="0"/>
                      <w:sz w:val="21"/>
                      <w:szCs w:val="21"/>
                      <w:highlight w:val="none"/>
                      <w:vertAlign w:val="subscript"/>
                      <w:lang w:val="en-US" w:eastAsia="zh-CN" w:bidi="ar-SA"/>
                    </w:rPr>
                    <w:t>2</w:t>
                  </w:r>
                </w:p>
              </w:tc>
              <w:tc>
                <w:tcPr>
                  <w:tcW w:w="1809" w:type="pct"/>
                  <w:noWrap w:val="0"/>
                  <w:vAlign w:val="center"/>
                </w:tcPr>
                <w:p w14:paraId="23D95C1C">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年平均质量浓度</w:t>
                  </w:r>
                </w:p>
              </w:tc>
              <w:tc>
                <w:tcPr>
                  <w:tcW w:w="1128" w:type="dxa"/>
                  <w:noWrap w:val="0"/>
                  <w:vAlign w:val="center"/>
                </w:tcPr>
                <w:p w14:paraId="299F5227">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27</w:t>
                  </w:r>
                </w:p>
              </w:tc>
              <w:tc>
                <w:tcPr>
                  <w:tcW w:w="1067" w:type="dxa"/>
                  <w:noWrap w:val="0"/>
                  <w:vAlign w:val="center"/>
                </w:tcPr>
                <w:p w14:paraId="2B321F59">
                  <w:pPr>
                    <w:autoSpaceDE w:val="0"/>
                    <w:autoSpaceDN w:val="0"/>
                    <w:adjustRightInd w:val="0"/>
                    <w:spacing w:line="240" w:lineRule="exact"/>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40</w:t>
                  </w:r>
                </w:p>
              </w:tc>
              <w:tc>
                <w:tcPr>
                  <w:tcW w:w="988" w:type="dxa"/>
                  <w:noWrap w:val="0"/>
                  <w:vAlign w:val="center"/>
                </w:tcPr>
                <w:p w14:paraId="19E94132">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67.5</w:t>
                  </w:r>
                </w:p>
              </w:tc>
              <w:tc>
                <w:tcPr>
                  <w:tcW w:w="606" w:type="pct"/>
                  <w:noWrap w:val="0"/>
                  <w:vAlign w:val="center"/>
                </w:tcPr>
                <w:p w14:paraId="4337EC10">
                  <w:pPr>
                    <w:autoSpaceDE w:val="0"/>
                    <w:autoSpaceDN w:val="0"/>
                    <w:spacing w:line="300" w:lineRule="exact"/>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pacing w:val="-6"/>
                      <w:sz w:val="21"/>
                      <w:szCs w:val="21"/>
                      <w:highlight w:val="none"/>
                    </w:rPr>
                    <w:t>达标</w:t>
                  </w:r>
                </w:p>
              </w:tc>
            </w:tr>
            <w:tr w14:paraId="15AD4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7" w:hRule="atLeast"/>
                <w:jc w:val="center"/>
              </w:trPr>
              <w:tc>
                <w:tcPr>
                  <w:tcW w:w="584" w:type="pct"/>
                  <w:noWrap w:val="0"/>
                  <w:vAlign w:val="center"/>
                </w:tcPr>
                <w:p w14:paraId="3F76DA67">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CO</w:t>
                  </w:r>
                </w:p>
              </w:tc>
              <w:tc>
                <w:tcPr>
                  <w:tcW w:w="1809" w:type="pct"/>
                  <w:noWrap w:val="0"/>
                  <w:vAlign w:val="center"/>
                </w:tcPr>
                <w:p w14:paraId="0978CA70">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24小时平均第95位百分位数</w:t>
                  </w:r>
                </w:p>
              </w:tc>
              <w:tc>
                <w:tcPr>
                  <w:tcW w:w="1128" w:type="dxa"/>
                  <w:noWrap w:val="0"/>
                  <w:vAlign w:val="center"/>
                </w:tcPr>
                <w:p w14:paraId="62C0E925">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1200</w:t>
                  </w:r>
                </w:p>
              </w:tc>
              <w:tc>
                <w:tcPr>
                  <w:tcW w:w="1067" w:type="dxa"/>
                  <w:noWrap w:val="0"/>
                  <w:vAlign w:val="center"/>
                </w:tcPr>
                <w:p w14:paraId="3F932211">
                  <w:pPr>
                    <w:autoSpaceDE w:val="0"/>
                    <w:autoSpaceDN w:val="0"/>
                    <w:adjustRightInd w:val="0"/>
                    <w:spacing w:line="240" w:lineRule="exact"/>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4000</w:t>
                  </w:r>
                </w:p>
              </w:tc>
              <w:tc>
                <w:tcPr>
                  <w:tcW w:w="988" w:type="dxa"/>
                  <w:noWrap w:val="0"/>
                  <w:vAlign w:val="center"/>
                </w:tcPr>
                <w:p w14:paraId="5C4AF21E">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30</w:t>
                  </w:r>
                </w:p>
              </w:tc>
              <w:tc>
                <w:tcPr>
                  <w:tcW w:w="606" w:type="pct"/>
                  <w:noWrap w:val="0"/>
                  <w:vAlign w:val="center"/>
                </w:tcPr>
                <w:p w14:paraId="145656CD">
                  <w:pPr>
                    <w:autoSpaceDE w:val="0"/>
                    <w:autoSpaceDN w:val="0"/>
                    <w:spacing w:line="300" w:lineRule="exact"/>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pacing w:val="-6"/>
                      <w:sz w:val="21"/>
                      <w:szCs w:val="21"/>
                      <w:highlight w:val="none"/>
                    </w:rPr>
                    <w:t>达标</w:t>
                  </w:r>
                </w:p>
              </w:tc>
            </w:tr>
            <w:tr w14:paraId="769DB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57" w:hRule="atLeast"/>
                <w:jc w:val="center"/>
              </w:trPr>
              <w:tc>
                <w:tcPr>
                  <w:tcW w:w="584" w:type="pct"/>
                  <w:noWrap w:val="0"/>
                  <w:vAlign w:val="center"/>
                </w:tcPr>
                <w:p w14:paraId="33B14347">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O</w:t>
                  </w:r>
                  <w:r>
                    <w:rPr>
                      <w:rFonts w:ascii="Times New Roman" w:hAnsi="Times New Roman" w:eastAsia="宋体" w:cs="Times New Roman"/>
                      <w:color w:val="auto"/>
                      <w:kern w:val="0"/>
                      <w:sz w:val="21"/>
                      <w:szCs w:val="21"/>
                      <w:highlight w:val="none"/>
                      <w:vertAlign w:val="subscript"/>
                      <w:lang w:val="en-US" w:eastAsia="zh-CN" w:bidi="ar-SA"/>
                    </w:rPr>
                    <w:t>3</w:t>
                  </w:r>
                </w:p>
              </w:tc>
              <w:tc>
                <w:tcPr>
                  <w:tcW w:w="1809" w:type="pct"/>
                  <w:noWrap w:val="0"/>
                  <w:vAlign w:val="center"/>
                </w:tcPr>
                <w:p w14:paraId="4491F49D">
                  <w:pPr>
                    <w:widowControl w:val="0"/>
                    <w:autoSpaceDE w:val="0"/>
                    <w:autoSpaceDN w:val="0"/>
                    <w:adjustRightInd w:val="0"/>
                    <w:snapToGrid/>
                    <w:spacing w:line="300" w:lineRule="exact"/>
                    <w:jc w:val="center"/>
                    <w:textAlignment w:val="auto"/>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8小时平均第90位百分位数</w:t>
                  </w:r>
                </w:p>
              </w:tc>
              <w:tc>
                <w:tcPr>
                  <w:tcW w:w="1128" w:type="dxa"/>
                  <w:noWrap w:val="0"/>
                  <w:vAlign w:val="center"/>
                </w:tcPr>
                <w:p w14:paraId="1CDD3241">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182</w:t>
                  </w:r>
                </w:p>
              </w:tc>
              <w:tc>
                <w:tcPr>
                  <w:tcW w:w="1067" w:type="dxa"/>
                  <w:noWrap w:val="0"/>
                  <w:vAlign w:val="center"/>
                </w:tcPr>
                <w:p w14:paraId="2A59C66C">
                  <w:pPr>
                    <w:autoSpaceDE w:val="0"/>
                    <w:autoSpaceDN w:val="0"/>
                    <w:adjustRightInd w:val="0"/>
                    <w:spacing w:line="240" w:lineRule="exact"/>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160</w:t>
                  </w:r>
                </w:p>
              </w:tc>
              <w:tc>
                <w:tcPr>
                  <w:tcW w:w="988" w:type="dxa"/>
                  <w:noWrap w:val="0"/>
                  <w:vAlign w:val="center"/>
                </w:tcPr>
                <w:p w14:paraId="7F2EC662">
                  <w:pPr>
                    <w:autoSpaceDE w:val="0"/>
                    <w:autoSpaceDN w:val="0"/>
                    <w:adjustRightInd w:val="0"/>
                    <w:spacing w:line="240" w:lineRule="exact"/>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113.7</w:t>
                  </w:r>
                </w:p>
              </w:tc>
              <w:tc>
                <w:tcPr>
                  <w:tcW w:w="606" w:type="pct"/>
                  <w:noWrap w:val="0"/>
                  <w:vAlign w:val="center"/>
                </w:tcPr>
                <w:p w14:paraId="0FD770BE">
                  <w:pPr>
                    <w:autoSpaceDE w:val="0"/>
                    <w:autoSpaceDN w:val="0"/>
                    <w:spacing w:line="300" w:lineRule="exact"/>
                    <w:jc w:val="center"/>
                    <w:rPr>
                      <w:rFonts w:ascii="Times New Roman" w:hAnsi="Times New Roman" w:eastAsia="宋体" w:cs="Times New Roman"/>
                      <w:color w:val="auto"/>
                      <w:sz w:val="21"/>
                      <w:szCs w:val="21"/>
                      <w:highlight w:val="none"/>
                    </w:rPr>
                  </w:pPr>
                  <w:r>
                    <w:rPr>
                      <w:rFonts w:ascii="Times New Roman" w:hAnsi="Times New Roman" w:eastAsia="宋体" w:cs="Times New Roman"/>
                      <w:color w:val="auto"/>
                      <w:spacing w:val="-6"/>
                      <w:sz w:val="21"/>
                      <w:szCs w:val="21"/>
                      <w:highlight w:val="none"/>
                    </w:rPr>
                    <w:t>不达标</w:t>
                  </w:r>
                </w:p>
              </w:tc>
            </w:tr>
          </w:tbl>
          <w:p w14:paraId="6F1574F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b w:val="0"/>
                <w:snapToGrid w:val="0"/>
                <w:color w:val="auto"/>
                <w:kern w:val="0"/>
                <w:sz w:val="21"/>
                <w:szCs w:val="21"/>
                <w:highlight w:val="none"/>
                <w:lang w:val="en-US" w:eastAsia="zh-CN"/>
              </w:rPr>
            </w:pPr>
            <w:r>
              <w:rPr>
                <w:rFonts w:hint="default" w:ascii="Times New Roman" w:hAnsi="Times New Roman" w:eastAsia="宋体" w:cs="Times New Roman"/>
                <w:b w:val="0"/>
                <w:snapToGrid w:val="0"/>
                <w:color w:val="auto"/>
                <w:kern w:val="0"/>
                <w:sz w:val="21"/>
                <w:szCs w:val="21"/>
                <w:highlight w:val="none"/>
                <w:lang w:val="en-US" w:eastAsia="zh-CN"/>
              </w:rPr>
              <w:t>根据上表结果分析可知，</w:t>
            </w:r>
            <w:r>
              <w:rPr>
                <w:rFonts w:hint="eastAsia" w:ascii="Times New Roman" w:hAnsi="Times New Roman" w:eastAsia="宋体" w:cs="Times New Roman"/>
                <w:b w:val="0"/>
                <w:snapToGrid w:val="0"/>
                <w:color w:val="auto"/>
                <w:kern w:val="0"/>
                <w:sz w:val="21"/>
                <w:szCs w:val="21"/>
                <w:highlight w:val="none"/>
                <w:lang w:val="en-US" w:eastAsia="zh-CN"/>
              </w:rPr>
              <w:t>项目所在区域</w:t>
            </w:r>
            <w:r>
              <w:rPr>
                <w:color w:val="auto"/>
                <w:sz w:val="21"/>
                <w:szCs w:val="21"/>
                <w:highlight w:val="none"/>
              </w:rPr>
              <w:t>O</w:t>
            </w:r>
            <w:r>
              <w:rPr>
                <w:color w:val="auto"/>
                <w:sz w:val="21"/>
                <w:szCs w:val="21"/>
                <w:highlight w:val="none"/>
                <w:vertAlign w:val="subscript"/>
              </w:rPr>
              <w:t>3</w:t>
            </w:r>
            <w:r>
              <w:rPr>
                <w:color w:val="auto"/>
                <w:sz w:val="21"/>
                <w:szCs w:val="21"/>
                <w:highlight w:val="none"/>
              </w:rPr>
              <w:t>日最大8小时平均第90百分位数</w:t>
            </w:r>
            <w:r>
              <w:rPr>
                <w:rFonts w:hint="eastAsia" w:cs="Times New Roman"/>
                <w:b w:val="0"/>
                <w:snapToGrid w:val="0"/>
                <w:color w:val="auto"/>
                <w:kern w:val="0"/>
                <w:sz w:val="21"/>
                <w:szCs w:val="21"/>
                <w:highlight w:val="none"/>
                <w:lang w:val="en-US" w:eastAsia="zh-CN"/>
              </w:rPr>
              <w:t>、</w:t>
            </w:r>
            <w:r>
              <w:rPr>
                <w:rFonts w:hint="default" w:ascii="Times New Roman" w:hAnsi="Times New Roman" w:eastAsia="宋体" w:cs="Times New Roman"/>
                <w:b w:val="0"/>
                <w:snapToGrid w:val="0"/>
                <w:color w:val="auto"/>
                <w:kern w:val="0"/>
                <w:sz w:val="21"/>
                <w:szCs w:val="21"/>
                <w:highlight w:val="none"/>
                <w:lang w:val="en-US" w:eastAsia="zh-CN"/>
              </w:rPr>
              <w:t>PM</w:t>
            </w:r>
            <w:r>
              <w:rPr>
                <w:rFonts w:hint="default" w:ascii="Times New Roman" w:hAnsi="Times New Roman" w:eastAsia="宋体" w:cs="Times New Roman"/>
                <w:b w:val="0"/>
                <w:snapToGrid w:val="0"/>
                <w:color w:val="auto"/>
                <w:kern w:val="0"/>
                <w:sz w:val="21"/>
                <w:szCs w:val="21"/>
                <w:highlight w:val="none"/>
                <w:vertAlign w:val="subscript"/>
                <w:lang w:val="en-US" w:eastAsia="zh-CN"/>
              </w:rPr>
              <w:t>10</w:t>
            </w:r>
            <w:r>
              <w:rPr>
                <w:rFonts w:hint="default" w:ascii="Times New Roman" w:hAnsi="Times New Roman" w:eastAsia="宋体" w:cs="Times New Roman"/>
                <w:b w:val="0"/>
                <w:snapToGrid w:val="0"/>
                <w:color w:val="auto"/>
                <w:kern w:val="0"/>
                <w:sz w:val="21"/>
                <w:szCs w:val="21"/>
                <w:highlight w:val="none"/>
                <w:lang w:val="en-US" w:eastAsia="zh-CN"/>
              </w:rPr>
              <w:t>、PM</w:t>
            </w:r>
            <w:r>
              <w:rPr>
                <w:rFonts w:hint="default" w:ascii="Times New Roman" w:hAnsi="Times New Roman" w:eastAsia="宋体" w:cs="Times New Roman"/>
                <w:b w:val="0"/>
                <w:snapToGrid w:val="0"/>
                <w:color w:val="auto"/>
                <w:kern w:val="0"/>
                <w:sz w:val="21"/>
                <w:szCs w:val="21"/>
                <w:highlight w:val="none"/>
                <w:vertAlign w:val="subscript"/>
                <w:lang w:val="en-US" w:eastAsia="zh-CN"/>
              </w:rPr>
              <w:t>2.5</w:t>
            </w:r>
            <w:r>
              <w:rPr>
                <w:rFonts w:hint="eastAsia" w:ascii="Times New Roman" w:hAnsi="Times New Roman" w:eastAsia="宋体" w:cs="Times New Roman"/>
                <w:b w:val="0"/>
                <w:snapToGrid w:val="0"/>
                <w:color w:val="auto"/>
                <w:kern w:val="0"/>
                <w:sz w:val="21"/>
                <w:szCs w:val="21"/>
                <w:highlight w:val="none"/>
                <w:vertAlign w:val="baseline"/>
                <w:lang w:val="en-US" w:eastAsia="zh-CN"/>
              </w:rPr>
              <w:t>年平均质量浓度</w:t>
            </w:r>
            <w:r>
              <w:rPr>
                <w:rFonts w:hint="default" w:ascii="Times New Roman" w:hAnsi="Times New Roman" w:eastAsia="宋体" w:cs="Times New Roman"/>
                <w:b w:val="0"/>
                <w:snapToGrid w:val="0"/>
                <w:color w:val="auto"/>
                <w:kern w:val="0"/>
                <w:sz w:val="21"/>
                <w:szCs w:val="21"/>
                <w:highlight w:val="none"/>
                <w:vertAlign w:val="baseline"/>
                <w:lang w:val="en-US" w:eastAsia="zh-CN"/>
              </w:rPr>
              <w:t>不满足</w:t>
            </w:r>
            <w:r>
              <w:rPr>
                <w:rFonts w:hint="default" w:ascii="Times New Roman" w:hAnsi="Times New Roman" w:eastAsia="宋体" w:cs="Times New Roman"/>
                <w:b w:val="0"/>
                <w:snapToGrid w:val="0"/>
                <w:color w:val="auto"/>
                <w:kern w:val="0"/>
                <w:sz w:val="21"/>
                <w:szCs w:val="21"/>
                <w:highlight w:val="none"/>
                <w:lang w:val="en-US" w:eastAsia="zh-CN"/>
              </w:rPr>
              <w:t>《环境空气质量标准》（GB3095-2</w:t>
            </w:r>
            <w:r>
              <w:rPr>
                <w:rFonts w:hint="eastAsia" w:cs="Times New Roman"/>
                <w:b w:val="0"/>
                <w:snapToGrid w:val="0"/>
                <w:color w:val="auto"/>
                <w:kern w:val="0"/>
                <w:sz w:val="21"/>
                <w:szCs w:val="21"/>
                <w:highlight w:val="none"/>
                <w:lang w:val="en-US" w:eastAsia="zh-CN"/>
              </w:rPr>
              <w:t>0</w:t>
            </w:r>
            <w:r>
              <w:rPr>
                <w:rFonts w:hint="eastAsia"/>
                <w:color w:val="auto"/>
                <w:sz w:val="21"/>
                <w:szCs w:val="21"/>
                <w:highlight w:val="none"/>
                <w:lang w:val="en-US" w:eastAsia="zh-CN"/>
              </w:rPr>
              <w:t>26</w:t>
            </w:r>
            <w:r>
              <w:rPr>
                <w:rFonts w:hint="default" w:eastAsia="宋体"/>
                <w:color w:val="auto"/>
                <w:sz w:val="21"/>
                <w:szCs w:val="21"/>
                <w:highlight w:val="none"/>
                <w:lang w:val="en-US" w:eastAsia="zh-CN"/>
              </w:rPr>
              <w:t>）中</w:t>
            </w:r>
            <w:r>
              <w:rPr>
                <w:rFonts w:eastAsia="宋体"/>
                <w:color w:val="auto"/>
                <w:sz w:val="21"/>
                <w:szCs w:val="21"/>
                <w:highlight w:val="none"/>
              </w:rPr>
              <w:t>表1</w:t>
            </w:r>
            <w:r>
              <w:rPr>
                <w:rFonts w:hint="eastAsia"/>
                <w:color w:val="auto"/>
                <w:sz w:val="21"/>
                <w:szCs w:val="21"/>
                <w:highlight w:val="none"/>
                <w:lang w:val="en-US" w:eastAsia="zh-CN"/>
              </w:rPr>
              <w:t>过渡阶段</w:t>
            </w:r>
            <w:r>
              <w:rPr>
                <w:rFonts w:hint="default" w:eastAsia="宋体"/>
                <w:color w:val="auto"/>
                <w:sz w:val="21"/>
                <w:szCs w:val="21"/>
                <w:highlight w:val="none"/>
                <w:lang w:val="en-US" w:eastAsia="zh-CN"/>
              </w:rPr>
              <w:t>二级</w:t>
            </w:r>
            <w:r>
              <w:rPr>
                <w:rFonts w:hint="eastAsia"/>
                <w:color w:val="auto"/>
                <w:sz w:val="21"/>
                <w:szCs w:val="21"/>
                <w:highlight w:val="none"/>
                <w:lang w:val="en-US" w:eastAsia="zh-CN"/>
              </w:rPr>
              <w:t>浓度限值</w:t>
            </w:r>
            <w:r>
              <w:rPr>
                <w:rFonts w:hint="default" w:ascii="Times New Roman" w:hAnsi="Times New Roman" w:eastAsia="宋体" w:cs="Times New Roman"/>
                <w:b w:val="0"/>
                <w:snapToGrid w:val="0"/>
                <w:color w:val="auto"/>
                <w:kern w:val="0"/>
                <w:sz w:val="21"/>
                <w:szCs w:val="21"/>
                <w:highlight w:val="none"/>
                <w:lang w:val="en-US" w:eastAsia="zh-CN"/>
              </w:rPr>
              <w:t>要求，</w:t>
            </w:r>
            <w:r>
              <w:rPr>
                <w:color w:val="auto"/>
                <w:sz w:val="21"/>
                <w:szCs w:val="21"/>
                <w:highlight w:val="none"/>
              </w:rPr>
              <w:t>SO</w:t>
            </w:r>
            <w:r>
              <w:rPr>
                <w:color w:val="auto"/>
                <w:sz w:val="21"/>
                <w:szCs w:val="21"/>
                <w:highlight w:val="none"/>
                <w:vertAlign w:val="subscript"/>
              </w:rPr>
              <w:t>2</w:t>
            </w:r>
            <w:r>
              <w:rPr>
                <w:color w:val="auto"/>
                <w:sz w:val="21"/>
                <w:szCs w:val="21"/>
                <w:highlight w:val="none"/>
              </w:rPr>
              <w:t>、NO</w:t>
            </w:r>
            <w:r>
              <w:rPr>
                <w:color w:val="auto"/>
                <w:sz w:val="21"/>
                <w:szCs w:val="21"/>
                <w:highlight w:val="none"/>
                <w:vertAlign w:val="subscript"/>
              </w:rPr>
              <w:t>2</w:t>
            </w:r>
            <w:r>
              <w:rPr>
                <w:color w:val="auto"/>
                <w:sz w:val="21"/>
                <w:szCs w:val="21"/>
                <w:highlight w:val="none"/>
              </w:rPr>
              <w:t>年均浓度及CO日均值的第95百分位数平均浓度满足</w:t>
            </w:r>
            <w:r>
              <w:rPr>
                <w:rFonts w:hint="default" w:ascii="Times New Roman" w:hAnsi="Times New Roman" w:eastAsia="宋体" w:cs="Times New Roman"/>
                <w:b w:val="0"/>
                <w:snapToGrid w:val="0"/>
                <w:color w:val="auto"/>
                <w:kern w:val="0"/>
                <w:sz w:val="21"/>
                <w:szCs w:val="21"/>
                <w:highlight w:val="none"/>
                <w:lang w:val="en-US" w:eastAsia="zh-CN"/>
              </w:rPr>
              <w:t>《环境空气质量标准》（GB3095-2</w:t>
            </w:r>
            <w:r>
              <w:rPr>
                <w:rFonts w:hint="eastAsia" w:cs="Times New Roman"/>
                <w:b w:val="0"/>
                <w:snapToGrid w:val="0"/>
                <w:color w:val="auto"/>
                <w:kern w:val="0"/>
                <w:sz w:val="21"/>
                <w:szCs w:val="21"/>
                <w:highlight w:val="none"/>
                <w:lang w:val="en-US" w:eastAsia="zh-CN"/>
              </w:rPr>
              <w:t>0</w:t>
            </w:r>
            <w:r>
              <w:rPr>
                <w:rFonts w:hint="eastAsia"/>
                <w:color w:val="auto"/>
                <w:sz w:val="21"/>
                <w:szCs w:val="21"/>
                <w:highlight w:val="none"/>
                <w:lang w:val="en-US" w:eastAsia="zh-CN"/>
              </w:rPr>
              <w:t>26</w:t>
            </w:r>
            <w:r>
              <w:rPr>
                <w:rFonts w:hint="default" w:eastAsia="宋体"/>
                <w:color w:val="auto"/>
                <w:sz w:val="21"/>
                <w:szCs w:val="21"/>
                <w:highlight w:val="none"/>
                <w:lang w:val="en-US" w:eastAsia="zh-CN"/>
              </w:rPr>
              <w:t>）中</w:t>
            </w:r>
            <w:r>
              <w:rPr>
                <w:rFonts w:eastAsia="宋体"/>
                <w:color w:val="auto"/>
                <w:sz w:val="21"/>
                <w:szCs w:val="21"/>
                <w:highlight w:val="none"/>
              </w:rPr>
              <w:t>表1</w:t>
            </w:r>
            <w:r>
              <w:rPr>
                <w:rFonts w:hint="eastAsia"/>
                <w:color w:val="auto"/>
                <w:sz w:val="21"/>
                <w:szCs w:val="21"/>
                <w:highlight w:val="none"/>
                <w:lang w:val="en-US" w:eastAsia="zh-CN"/>
              </w:rPr>
              <w:t>过渡阶段</w:t>
            </w:r>
            <w:r>
              <w:rPr>
                <w:rFonts w:hint="default" w:eastAsia="宋体"/>
                <w:color w:val="auto"/>
                <w:sz w:val="21"/>
                <w:szCs w:val="21"/>
                <w:highlight w:val="none"/>
                <w:lang w:val="en-US" w:eastAsia="zh-CN"/>
              </w:rPr>
              <w:t>二级</w:t>
            </w:r>
            <w:r>
              <w:rPr>
                <w:rFonts w:hint="eastAsia"/>
                <w:color w:val="auto"/>
                <w:sz w:val="21"/>
                <w:szCs w:val="21"/>
                <w:highlight w:val="none"/>
                <w:lang w:val="en-US" w:eastAsia="zh-CN"/>
              </w:rPr>
              <w:t>浓度限值</w:t>
            </w:r>
            <w:r>
              <w:rPr>
                <w:rFonts w:hint="default" w:ascii="Times New Roman" w:hAnsi="Times New Roman" w:eastAsia="宋体" w:cs="Times New Roman"/>
                <w:b w:val="0"/>
                <w:snapToGrid w:val="0"/>
                <w:color w:val="auto"/>
                <w:kern w:val="0"/>
                <w:sz w:val="21"/>
                <w:szCs w:val="21"/>
                <w:highlight w:val="none"/>
                <w:lang w:val="en-US" w:eastAsia="zh-CN"/>
              </w:rPr>
              <w:t>要求</w:t>
            </w:r>
            <w:r>
              <w:rPr>
                <w:color w:val="auto"/>
                <w:sz w:val="21"/>
                <w:szCs w:val="21"/>
                <w:highlight w:val="none"/>
              </w:rPr>
              <w:t>，本项目所在区域属于空气质量不达标区域</w:t>
            </w:r>
            <w:r>
              <w:rPr>
                <w:rFonts w:hint="default" w:ascii="Times New Roman" w:hAnsi="Times New Roman" w:eastAsia="宋体" w:cs="Times New Roman"/>
                <w:b w:val="0"/>
                <w:snapToGrid w:val="0"/>
                <w:color w:val="auto"/>
                <w:kern w:val="0"/>
                <w:sz w:val="21"/>
                <w:szCs w:val="21"/>
                <w:highlight w:val="none"/>
                <w:lang w:val="en-US" w:eastAsia="zh-CN"/>
              </w:rPr>
              <w:t>。</w:t>
            </w:r>
          </w:p>
          <w:p w14:paraId="1B0D3C77">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b w:val="0"/>
                <w:snapToGrid w:val="0"/>
                <w:color w:val="auto"/>
                <w:kern w:val="0"/>
                <w:sz w:val="21"/>
                <w:szCs w:val="21"/>
                <w:highlight w:val="none"/>
                <w:lang w:val="en-US" w:eastAsia="zh-CN"/>
              </w:rPr>
            </w:pPr>
            <w:r>
              <w:rPr>
                <w:rFonts w:hint="default" w:ascii="Times New Roman" w:hAnsi="Times New Roman" w:eastAsia="宋体" w:cs="Times New Roman"/>
                <w:b w:val="0"/>
                <w:snapToGrid w:val="0"/>
                <w:color w:val="auto"/>
                <w:kern w:val="0"/>
                <w:sz w:val="21"/>
                <w:szCs w:val="21"/>
                <w:highlight w:val="none"/>
                <w:lang w:val="en-US" w:eastAsia="zh-CN"/>
              </w:rPr>
              <w:t>随着《河北省大气污染防治行动计划实施方案》《河北省人民政府关于印发河北省空气质量持续改善行动计划实施方案的通知》冀政发〔2024〕4号等行动计划的实施，通过控制扬尘污染、削减燃煤总量、控制机动车污染、严控工业企业污染等方面的行动，项目所在区域的环境空气质量将进一步得到改善。</w:t>
            </w:r>
          </w:p>
          <w:p w14:paraId="5F87A0C5">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2、</w:t>
            </w:r>
            <w:r>
              <w:rPr>
                <w:rFonts w:hint="default" w:ascii="Times New Roman" w:hAnsi="Times New Roman" w:eastAsia="宋体" w:cs="Times New Roman"/>
                <w:b w:val="0"/>
                <w:bCs/>
                <w:color w:val="auto"/>
                <w:kern w:val="2"/>
                <w:sz w:val="21"/>
                <w:szCs w:val="21"/>
                <w:highlight w:val="none"/>
                <w:lang w:val="en-US" w:eastAsia="zh-CN" w:bidi="ar-SA"/>
              </w:rPr>
              <w:t>其他污染物环境</w:t>
            </w:r>
            <w:r>
              <w:rPr>
                <w:rFonts w:hint="eastAsia" w:ascii="Times New Roman" w:hAnsi="Times New Roman" w:eastAsia="宋体" w:cs="Times New Roman"/>
                <w:b w:val="0"/>
                <w:bCs/>
                <w:color w:val="auto"/>
                <w:kern w:val="2"/>
                <w:sz w:val="21"/>
                <w:szCs w:val="21"/>
                <w:highlight w:val="none"/>
                <w:lang w:val="en-US" w:eastAsia="zh-CN" w:bidi="ar-SA"/>
              </w:rPr>
              <w:t>空气</w:t>
            </w:r>
            <w:r>
              <w:rPr>
                <w:rFonts w:hint="default" w:ascii="Times New Roman" w:hAnsi="Times New Roman" w:eastAsia="宋体" w:cs="Times New Roman"/>
                <w:b w:val="0"/>
                <w:bCs/>
                <w:color w:val="auto"/>
                <w:kern w:val="2"/>
                <w:sz w:val="21"/>
                <w:szCs w:val="21"/>
                <w:highlight w:val="none"/>
                <w:lang w:val="en-US" w:eastAsia="zh-CN" w:bidi="ar-SA"/>
              </w:rPr>
              <w:t>质量现状</w:t>
            </w:r>
            <w:r>
              <w:rPr>
                <w:rFonts w:hint="eastAsia" w:ascii="Times New Roman" w:hAnsi="Times New Roman" w:eastAsia="宋体" w:cs="Times New Roman"/>
                <w:b w:val="0"/>
                <w:bCs/>
                <w:color w:val="auto"/>
                <w:kern w:val="2"/>
                <w:sz w:val="21"/>
                <w:szCs w:val="21"/>
                <w:highlight w:val="none"/>
                <w:lang w:val="en-US" w:eastAsia="zh-CN" w:bidi="ar-SA"/>
              </w:rPr>
              <w:t>监测与</w:t>
            </w:r>
            <w:r>
              <w:rPr>
                <w:rFonts w:hint="default" w:ascii="Times New Roman" w:hAnsi="Times New Roman" w:eastAsia="宋体" w:cs="Times New Roman"/>
                <w:b w:val="0"/>
                <w:bCs/>
                <w:color w:val="auto"/>
                <w:kern w:val="2"/>
                <w:sz w:val="21"/>
                <w:szCs w:val="21"/>
                <w:highlight w:val="none"/>
                <w:lang w:val="en-US" w:eastAsia="zh-CN" w:bidi="ar-SA"/>
              </w:rPr>
              <w:t>评价</w:t>
            </w:r>
          </w:p>
          <w:p w14:paraId="2C4532F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TSP</w:t>
            </w:r>
            <w:r>
              <w:rPr>
                <w:rFonts w:hint="default" w:ascii="Times New Roman" w:hAnsi="Times New Roman" w:eastAsia="宋体" w:cs="Times New Roman"/>
                <w:bCs/>
                <w:color w:val="auto"/>
                <w:sz w:val="21"/>
                <w:szCs w:val="21"/>
                <w:highlight w:val="none"/>
                <w:lang w:val="en-US" w:eastAsia="zh-CN"/>
              </w:rPr>
              <w:t>环境质</w:t>
            </w:r>
            <w:r>
              <w:rPr>
                <w:rFonts w:hint="default" w:ascii="Times New Roman" w:hAnsi="Times New Roman" w:eastAsia="宋体" w:cs="Times New Roman"/>
                <w:b w:val="0"/>
                <w:snapToGrid w:val="0"/>
                <w:color w:val="auto"/>
                <w:kern w:val="0"/>
                <w:sz w:val="21"/>
                <w:szCs w:val="21"/>
                <w:highlight w:val="none"/>
                <w:lang w:val="en-US" w:eastAsia="zh-CN" w:bidi="ar-SA"/>
              </w:rPr>
              <w:t>量现状评价数据引用</w:t>
            </w:r>
            <w:r>
              <w:rPr>
                <w:rFonts w:hint="eastAsia" w:ascii="Times New Roman" w:hAnsi="Times New Roman" w:eastAsia="宋体" w:cs="Times New Roman"/>
                <w:b w:val="0"/>
                <w:snapToGrid w:val="0"/>
                <w:color w:val="auto"/>
                <w:kern w:val="0"/>
                <w:sz w:val="21"/>
                <w:szCs w:val="21"/>
                <w:highlight w:val="none"/>
                <w:lang w:val="en-US" w:eastAsia="zh-CN" w:bidi="ar-SA"/>
              </w:rPr>
              <w:t>河北工院云环境</w:t>
            </w:r>
            <w:r>
              <w:rPr>
                <w:rFonts w:hint="default" w:ascii="Times New Roman" w:hAnsi="Times New Roman" w:eastAsia="宋体" w:cs="Times New Roman"/>
                <w:b w:val="0"/>
                <w:snapToGrid w:val="0"/>
                <w:color w:val="auto"/>
                <w:kern w:val="0"/>
                <w:sz w:val="21"/>
                <w:szCs w:val="21"/>
                <w:highlight w:val="none"/>
                <w:lang w:val="en-US" w:eastAsia="zh-CN" w:bidi="ar-SA"/>
              </w:rPr>
              <w:t>检测</w:t>
            </w:r>
            <w:r>
              <w:rPr>
                <w:rFonts w:hint="eastAsia" w:ascii="Times New Roman" w:hAnsi="Times New Roman" w:eastAsia="宋体" w:cs="Times New Roman"/>
                <w:b w:val="0"/>
                <w:snapToGrid w:val="0"/>
                <w:color w:val="auto"/>
                <w:kern w:val="0"/>
                <w:sz w:val="21"/>
                <w:szCs w:val="21"/>
                <w:highlight w:val="none"/>
                <w:lang w:val="en-US" w:eastAsia="zh-CN" w:bidi="ar-SA"/>
              </w:rPr>
              <w:t>技术</w:t>
            </w:r>
            <w:r>
              <w:rPr>
                <w:rFonts w:hint="default" w:ascii="Times New Roman" w:hAnsi="Times New Roman" w:eastAsia="宋体" w:cs="Times New Roman"/>
                <w:b w:val="0"/>
                <w:snapToGrid w:val="0"/>
                <w:color w:val="auto"/>
                <w:kern w:val="0"/>
                <w:sz w:val="21"/>
                <w:szCs w:val="21"/>
                <w:highlight w:val="none"/>
                <w:lang w:val="en-US" w:eastAsia="zh-CN" w:bidi="ar-SA"/>
              </w:rPr>
              <w:t>有限公司出具的检测报告（</w:t>
            </w:r>
            <w:r>
              <w:rPr>
                <w:rFonts w:hint="eastAsia" w:ascii="Times New Roman" w:hAnsi="Times New Roman" w:eastAsia="宋体" w:cs="Times New Roman"/>
                <w:b w:val="0"/>
                <w:snapToGrid w:val="0"/>
                <w:color w:val="auto"/>
                <w:kern w:val="0"/>
                <w:sz w:val="21"/>
                <w:szCs w:val="21"/>
                <w:highlight w:val="none"/>
                <w:lang w:val="en-US" w:eastAsia="zh-CN" w:bidi="ar-SA"/>
              </w:rPr>
              <w:t>云环检字[2024]第1308号</w:t>
            </w:r>
            <w:r>
              <w:rPr>
                <w:rFonts w:hint="default" w:ascii="Times New Roman" w:hAnsi="Times New Roman" w:eastAsia="宋体" w:cs="Times New Roman"/>
                <w:b w:val="0"/>
                <w:snapToGrid w:val="0"/>
                <w:color w:val="auto"/>
                <w:kern w:val="0"/>
                <w:sz w:val="21"/>
                <w:szCs w:val="21"/>
                <w:highlight w:val="none"/>
                <w:lang w:val="en-US" w:eastAsia="zh-CN" w:bidi="ar-SA"/>
              </w:rPr>
              <w:t>）</w:t>
            </w:r>
            <w:r>
              <w:rPr>
                <w:rFonts w:hint="eastAsia" w:ascii="Times New Roman" w:hAnsi="Times New Roman" w:eastAsia="宋体" w:cs="Times New Roman"/>
                <w:b w:val="0"/>
                <w:snapToGrid w:val="0"/>
                <w:color w:val="auto"/>
                <w:kern w:val="0"/>
                <w:sz w:val="21"/>
                <w:szCs w:val="21"/>
                <w:highlight w:val="none"/>
                <w:lang w:val="en-US" w:eastAsia="zh-CN" w:bidi="ar-SA"/>
              </w:rPr>
              <w:t>，监测点位于</w:t>
            </w:r>
            <w:r>
              <w:rPr>
                <w:rFonts w:hint="eastAsia" w:cs="Times New Roman"/>
                <w:b w:val="0"/>
                <w:snapToGrid w:val="0"/>
                <w:color w:val="auto"/>
                <w:kern w:val="0"/>
                <w:sz w:val="21"/>
                <w:szCs w:val="21"/>
                <w:highlight w:val="none"/>
                <w:lang w:val="en-US" w:eastAsia="zh-CN" w:bidi="ar-SA"/>
              </w:rPr>
              <w:t>宋北村</w:t>
            </w:r>
            <w:r>
              <w:rPr>
                <w:rFonts w:hint="eastAsia" w:ascii="Times New Roman" w:hAnsi="Times New Roman" w:eastAsia="宋体" w:cs="Times New Roman"/>
                <w:b w:val="0"/>
                <w:snapToGrid w:val="0"/>
                <w:color w:val="auto"/>
                <w:kern w:val="0"/>
                <w:sz w:val="21"/>
                <w:szCs w:val="21"/>
                <w:highlight w:val="none"/>
                <w:lang w:val="en-US" w:eastAsia="zh-CN" w:bidi="ar-SA"/>
              </w:rPr>
              <w:t>，</w:t>
            </w:r>
            <w:r>
              <w:rPr>
                <w:rFonts w:hint="default" w:ascii="Times New Roman" w:hAnsi="Times New Roman" w:eastAsia="宋体" w:cs="Times New Roman"/>
                <w:b w:val="0"/>
                <w:snapToGrid w:val="0"/>
                <w:color w:val="auto"/>
                <w:kern w:val="0"/>
                <w:sz w:val="21"/>
                <w:szCs w:val="21"/>
                <w:highlight w:val="none"/>
                <w:lang w:val="en-US" w:eastAsia="zh-CN" w:bidi="ar-SA"/>
              </w:rPr>
              <w:t>监测时间为</w:t>
            </w:r>
            <w:r>
              <w:rPr>
                <w:rFonts w:hint="eastAsia" w:ascii="Times New Roman" w:hAnsi="Times New Roman" w:eastAsia="宋体" w:cs="Times New Roman"/>
                <w:b w:val="0"/>
                <w:snapToGrid w:val="0"/>
                <w:color w:val="auto"/>
                <w:kern w:val="0"/>
                <w:sz w:val="21"/>
                <w:szCs w:val="21"/>
                <w:highlight w:val="none"/>
                <w:lang w:val="en-US" w:eastAsia="zh-CN" w:bidi="ar-SA"/>
              </w:rPr>
              <w:t>2025</w:t>
            </w:r>
            <w:r>
              <w:rPr>
                <w:rFonts w:hint="default" w:ascii="Times New Roman" w:hAnsi="Times New Roman" w:eastAsia="宋体" w:cs="Times New Roman"/>
                <w:b w:val="0"/>
                <w:snapToGrid w:val="0"/>
                <w:color w:val="auto"/>
                <w:kern w:val="0"/>
                <w:sz w:val="21"/>
                <w:szCs w:val="21"/>
                <w:highlight w:val="none"/>
                <w:lang w:val="en-US" w:eastAsia="zh-CN" w:bidi="ar-SA"/>
              </w:rPr>
              <w:t>年</w:t>
            </w:r>
            <w:r>
              <w:rPr>
                <w:rFonts w:hint="eastAsia" w:ascii="Times New Roman" w:hAnsi="Times New Roman" w:eastAsia="宋体" w:cs="Times New Roman"/>
                <w:b w:val="0"/>
                <w:snapToGrid w:val="0"/>
                <w:color w:val="auto"/>
                <w:kern w:val="0"/>
                <w:sz w:val="21"/>
                <w:szCs w:val="21"/>
                <w:highlight w:val="none"/>
                <w:lang w:val="en-US" w:eastAsia="zh-CN" w:bidi="ar-SA"/>
              </w:rPr>
              <w:t>1</w:t>
            </w:r>
            <w:r>
              <w:rPr>
                <w:rFonts w:hint="default" w:ascii="Times New Roman" w:hAnsi="Times New Roman" w:eastAsia="宋体" w:cs="Times New Roman"/>
                <w:b w:val="0"/>
                <w:snapToGrid w:val="0"/>
                <w:color w:val="auto"/>
                <w:kern w:val="0"/>
                <w:sz w:val="21"/>
                <w:szCs w:val="21"/>
                <w:highlight w:val="none"/>
                <w:lang w:val="en-US" w:eastAsia="zh-CN" w:bidi="ar-SA"/>
              </w:rPr>
              <w:t>月</w:t>
            </w:r>
            <w:r>
              <w:rPr>
                <w:rFonts w:hint="eastAsia" w:ascii="Times New Roman" w:hAnsi="Times New Roman" w:eastAsia="宋体" w:cs="Times New Roman"/>
                <w:b w:val="0"/>
                <w:snapToGrid w:val="0"/>
                <w:color w:val="auto"/>
                <w:kern w:val="0"/>
                <w:sz w:val="21"/>
                <w:szCs w:val="21"/>
                <w:highlight w:val="none"/>
                <w:lang w:val="en-US" w:eastAsia="zh-CN" w:bidi="ar-SA"/>
              </w:rPr>
              <w:t>11</w:t>
            </w:r>
            <w:r>
              <w:rPr>
                <w:rFonts w:hint="default" w:ascii="Times New Roman" w:hAnsi="Times New Roman" w:eastAsia="宋体" w:cs="Times New Roman"/>
                <w:b w:val="0"/>
                <w:snapToGrid w:val="0"/>
                <w:color w:val="auto"/>
                <w:kern w:val="0"/>
                <w:sz w:val="21"/>
                <w:szCs w:val="21"/>
                <w:highlight w:val="none"/>
                <w:lang w:val="en-US" w:eastAsia="zh-CN" w:bidi="ar-SA"/>
              </w:rPr>
              <w:t>日~</w:t>
            </w:r>
            <w:r>
              <w:rPr>
                <w:rFonts w:hint="eastAsia" w:ascii="Times New Roman" w:hAnsi="Times New Roman" w:eastAsia="宋体" w:cs="Times New Roman"/>
                <w:b w:val="0"/>
                <w:snapToGrid w:val="0"/>
                <w:color w:val="auto"/>
                <w:kern w:val="0"/>
                <w:sz w:val="21"/>
                <w:szCs w:val="21"/>
                <w:highlight w:val="none"/>
                <w:lang w:val="en-US" w:eastAsia="zh-CN" w:bidi="ar-SA"/>
              </w:rPr>
              <w:t>1</w:t>
            </w:r>
            <w:r>
              <w:rPr>
                <w:rFonts w:hint="default" w:ascii="Times New Roman" w:hAnsi="Times New Roman" w:eastAsia="宋体" w:cs="Times New Roman"/>
                <w:b w:val="0"/>
                <w:snapToGrid w:val="0"/>
                <w:color w:val="auto"/>
                <w:kern w:val="0"/>
                <w:sz w:val="21"/>
                <w:szCs w:val="21"/>
                <w:highlight w:val="none"/>
                <w:lang w:val="en-US" w:eastAsia="zh-CN" w:bidi="ar-SA"/>
              </w:rPr>
              <w:t>月</w:t>
            </w:r>
            <w:r>
              <w:rPr>
                <w:rFonts w:hint="eastAsia" w:ascii="Times New Roman" w:hAnsi="Times New Roman" w:eastAsia="宋体" w:cs="Times New Roman"/>
                <w:b w:val="0"/>
                <w:snapToGrid w:val="0"/>
                <w:color w:val="auto"/>
                <w:kern w:val="0"/>
                <w:sz w:val="21"/>
                <w:szCs w:val="21"/>
                <w:highlight w:val="none"/>
                <w:lang w:val="en-US" w:eastAsia="zh-CN" w:bidi="ar-SA"/>
              </w:rPr>
              <w:t>17</w:t>
            </w:r>
            <w:r>
              <w:rPr>
                <w:rFonts w:hint="default" w:ascii="Times New Roman" w:hAnsi="Times New Roman" w:eastAsia="宋体" w:cs="Times New Roman"/>
                <w:b w:val="0"/>
                <w:snapToGrid w:val="0"/>
                <w:color w:val="auto"/>
                <w:kern w:val="0"/>
                <w:sz w:val="21"/>
                <w:szCs w:val="21"/>
                <w:highlight w:val="none"/>
                <w:lang w:val="en-US" w:eastAsia="zh-CN" w:bidi="ar-SA"/>
              </w:rPr>
              <w:t>日，满足建设项目周边5千米范围内近3年的现有监测数据要求，</w:t>
            </w:r>
            <w:r>
              <w:rPr>
                <w:rFonts w:hint="default" w:ascii="Times New Roman" w:hAnsi="Times New Roman" w:eastAsia="宋体" w:cs="Times New Roman"/>
                <w:bCs/>
                <w:color w:val="auto"/>
                <w:sz w:val="21"/>
                <w:szCs w:val="21"/>
                <w:highlight w:val="none"/>
                <w:lang w:val="en-US" w:eastAsia="zh-CN"/>
              </w:rPr>
              <w:t>符合《建设项目环境影响报告表编制技术指南（污染影响类）（试行）》要求。因此，该监测数据引用有效。</w:t>
            </w:r>
          </w:p>
          <w:p w14:paraId="08116CC2">
            <w:pPr>
              <w:pStyle w:val="10"/>
              <w:keepNext w:val="0"/>
              <w:keepLines w:val="0"/>
              <w:pageBreakBefore w:val="0"/>
              <w:widowControl w:val="0"/>
              <w:kinsoku/>
              <w:wordWrap/>
              <w:overflowPunct/>
              <w:topLinePunct w:val="0"/>
              <w:autoSpaceDE/>
              <w:autoSpaceDN/>
              <w:bidi w:val="0"/>
              <w:spacing w:line="384" w:lineRule="auto"/>
              <w:jc w:val="both"/>
              <w:rPr>
                <w:rFonts w:hint="default"/>
                <w:color w:val="auto"/>
                <w:highlight w:val="none"/>
                <w:lang w:val="en-US" w:eastAsia="zh-CN"/>
              </w:rPr>
            </w:pPr>
            <w:r>
              <w:rPr>
                <w:rFonts w:hint="eastAsia" w:eastAsia="宋体" w:cs="Times New Roman"/>
                <w:bCs/>
                <w:color w:val="auto"/>
                <w:sz w:val="21"/>
                <w:szCs w:val="21"/>
                <w:highlight w:val="none"/>
                <w:lang w:val="en-US" w:eastAsia="zh-CN"/>
              </w:rPr>
              <w:t>本项目其他特征污染物为氨</w:t>
            </w:r>
            <w:r>
              <w:rPr>
                <w:rFonts w:hint="eastAsia" w:cs="Times New Roman"/>
                <w:color w:val="auto"/>
                <w:sz w:val="21"/>
                <w:szCs w:val="21"/>
                <w:highlight w:val="none"/>
                <w:lang w:val="en-US" w:eastAsia="zh-CN"/>
              </w:rPr>
              <w:t>、硫化氢</w:t>
            </w:r>
            <w:r>
              <w:rPr>
                <w:rFonts w:hint="eastAsia" w:eastAsia="宋体" w:cs="Times New Roman"/>
                <w:bCs/>
                <w:color w:val="auto"/>
                <w:sz w:val="21"/>
                <w:szCs w:val="21"/>
                <w:highlight w:val="none"/>
                <w:lang w:val="en-US" w:eastAsia="zh-CN"/>
              </w:rPr>
              <w:t>、臭气浓度，不属于“国家、地方环境空气质量标准中有标准限值要求的特征污染物”，无需进行现状监测。</w:t>
            </w:r>
          </w:p>
          <w:p w14:paraId="58B5EAC1">
            <w:pPr>
              <w:pStyle w:val="35"/>
              <w:keepNext w:val="0"/>
              <w:keepLines w:val="0"/>
              <w:pageBreakBefore w:val="0"/>
              <w:widowControl w:val="0"/>
              <w:suppressLineNumbers w:val="0"/>
              <w:kinsoku/>
              <w:wordWrap/>
              <w:overflowPunct/>
              <w:topLinePunct w:val="0"/>
              <w:autoSpaceDE/>
              <w:autoSpaceDN/>
              <w:bidi w:val="0"/>
              <w:spacing w:before="0" w:beforeLines="0" w:beforeAutospacing="0" w:after="0" w:afterLines="0" w:afterAutospacing="0" w:line="384" w:lineRule="auto"/>
              <w:ind w:left="0" w:right="0" w:firstLine="420" w:firstLineChars="20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①监测点位和监测因子见表3-2。</w:t>
            </w:r>
          </w:p>
          <w:p w14:paraId="753DC5A7">
            <w:pPr>
              <w:keepNext w:val="0"/>
              <w:keepLines w:val="0"/>
              <w:pageBreakBefore w:val="0"/>
              <w:widowControl w:val="0"/>
              <w:suppressLineNumbers w:val="0"/>
              <w:kinsoku/>
              <w:wordWrap/>
              <w:overflowPunct/>
              <w:topLinePunct w:val="0"/>
              <w:autoSpaceDE/>
              <w:autoSpaceDN/>
              <w:bidi w:val="0"/>
              <w:spacing w:before="0" w:beforeLines="0" w:beforeAutospacing="0" w:after="0" w:afterLines="0" w:afterAutospacing="0" w:line="384" w:lineRule="auto"/>
              <w:ind w:left="0" w:right="0"/>
              <w:jc w:val="center"/>
              <w:textAlignment w:val="auto"/>
              <w:rPr>
                <w:rFonts w:hint="default" w:ascii="Times New Roman" w:hAnsi="Times New Roman" w:eastAsia="宋体" w:cs="Times New Roman"/>
                <w:b/>
                <w:snapToGrid w:val="0"/>
                <w:color w:val="auto"/>
                <w:sz w:val="21"/>
                <w:szCs w:val="21"/>
                <w:highlight w:val="none"/>
              </w:rPr>
            </w:pPr>
          </w:p>
          <w:p w14:paraId="254D2652">
            <w:pPr>
              <w:pStyle w:val="2"/>
              <w:rPr>
                <w:rFonts w:hint="default"/>
                <w:color w:val="auto"/>
                <w:highlight w:val="none"/>
              </w:rPr>
            </w:pPr>
          </w:p>
          <w:p w14:paraId="02F9AE56">
            <w:pPr>
              <w:keepNext w:val="0"/>
              <w:keepLines w:val="0"/>
              <w:pageBreakBefore w:val="0"/>
              <w:widowControl w:val="0"/>
              <w:suppressLineNumbers w:val="0"/>
              <w:kinsoku/>
              <w:wordWrap/>
              <w:overflowPunct/>
              <w:topLinePunct w:val="0"/>
              <w:autoSpaceDE/>
              <w:autoSpaceDN/>
              <w:bidi w:val="0"/>
              <w:spacing w:before="0" w:beforeLines="0" w:beforeAutospacing="0" w:after="0" w:afterLines="0" w:afterAutospacing="0" w:line="384" w:lineRule="auto"/>
              <w:ind w:left="0" w:right="0"/>
              <w:jc w:val="center"/>
              <w:textAlignment w:val="auto"/>
              <w:rPr>
                <w:rFonts w:hint="default" w:cs="宋体"/>
                <w:b/>
                <w:snapToGrid w:val="0"/>
                <w:color w:val="auto"/>
                <w:sz w:val="21"/>
                <w:szCs w:val="21"/>
                <w:highlight w:val="none"/>
              </w:rPr>
            </w:pPr>
            <w:r>
              <w:rPr>
                <w:rFonts w:hint="default" w:ascii="Times New Roman" w:hAnsi="Times New Roman" w:eastAsia="宋体" w:cs="Times New Roman"/>
                <w:b/>
                <w:snapToGrid w:val="0"/>
                <w:color w:val="auto"/>
                <w:sz w:val="21"/>
                <w:szCs w:val="21"/>
                <w:highlight w:val="none"/>
              </w:rPr>
              <w:t>表</w:t>
            </w:r>
            <w:r>
              <w:rPr>
                <w:rFonts w:hint="default" w:ascii="Times New Roman" w:hAnsi="Times New Roman" w:eastAsia="宋体" w:cs="Times New Roman"/>
                <w:b/>
                <w:snapToGrid w:val="0"/>
                <w:color w:val="auto"/>
                <w:sz w:val="21"/>
                <w:szCs w:val="21"/>
                <w:highlight w:val="none"/>
                <w:lang w:val="en-US" w:eastAsia="zh-CN"/>
              </w:rPr>
              <w:t xml:space="preserve"> </w:t>
            </w:r>
            <w:r>
              <w:rPr>
                <w:rFonts w:hint="default" w:ascii="Times New Roman" w:hAnsi="Times New Roman" w:eastAsia="宋体" w:cs="Times New Roman"/>
                <w:b/>
                <w:snapToGrid w:val="0"/>
                <w:color w:val="auto"/>
                <w:sz w:val="21"/>
                <w:szCs w:val="21"/>
                <w:highlight w:val="none"/>
              </w:rPr>
              <w:t>3-2</w:t>
            </w:r>
            <w:r>
              <w:rPr>
                <w:rFonts w:hint="eastAsia" w:ascii="Times New Roman" w:hAnsi="Times New Roman" w:eastAsia="宋体" w:cs="Times New Roman"/>
                <w:b/>
                <w:snapToGrid w:val="0"/>
                <w:color w:val="auto"/>
                <w:sz w:val="21"/>
                <w:szCs w:val="21"/>
                <w:highlight w:val="none"/>
                <w:lang w:val="en-US" w:eastAsia="zh-CN"/>
              </w:rPr>
              <w:t xml:space="preserve"> </w:t>
            </w:r>
            <w:r>
              <w:rPr>
                <w:rFonts w:hint="eastAsia" w:cs="Times New Roman"/>
                <w:b/>
                <w:snapToGrid w:val="0"/>
                <w:color w:val="auto"/>
                <w:sz w:val="21"/>
                <w:szCs w:val="21"/>
                <w:highlight w:val="none"/>
                <w:lang w:val="en-US" w:eastAsia="zh-CN"/>
              </w:rPr>
              <w:t xml:space="preserve"> </w:t>
            </w:r>
            <w:r>
              <w:rPr>
                <w:rFonts w:hint="default" w:ascii="Times New Roman" w:hAnsi="Times New Roman" w:eastAsia="宋体" w:cs="Times New Roman"/>
                <w:b/>
                <w:snapToGrid w:val="0"/>
                <w:color w:val="auto"/>
                <w:sz w:val="21"/>
                <w:szCs w:val="21"/>
                <w:highlight w:val="none"/>
              </w:rPr>
              <w:t>其他污染物监测点位及监测因子一览表</w:t>
            </w:r>
          </w:p>
          <w:tbl>
            <w:tblPr>
              <w:tblStyle w:val="26"/>
              <w:tblW w:w="4993"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108" w:type="dxa"/>
                <w:bottom w:w="0" w:type="dxa"/>
                <w:right w:w="108" w:type="dxa"/>
              </w:tblCellMar>
            </w:tblPr>
            <w:tblGrid>
              <w:gridCol w:w="2158"/>
              <w:gridCol w:w="1433"/>
              <w:gridCol w:w="2026"/>
              <w:gridCol w:w="964"/>
              <w:gridCol w:w="1473"/>
            </w:tblGrid>
            <w:tr w14:paraId="7AFFA2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567" w:hRule="atLeast"/>
                <w:jc w:val="center"/>
              </w:trPr>
              <w:tc>
                <w:tcPr>
                  <w:tcW w:w="1339" w:type="pct"/>
                  <w:tcBorders>
                    <w:tl2br w:val="nil"/>
                    <w:tr2bl w:val="nil"/>
                  </w:tcBorders>
                  <w:noWrap w:val="0"/>
                  <w:vAlign w:val="center"/>
                </w:tcPr>
                <w:p w14:paraId="4D7A7593">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监测点名称</w:t>
                  </w:r>
                </w:p>
              </w:tc>
              <w:tc>
                <w:tcPr>
                  <w:tcW w:w="889" w:type="pct"/>
                  <w:tcBorders>
                    <w:tl2br w:val="nil"/>
                    <w:tr2bl w:val="nil"/>
                  </w:tcBorders>
                  <w:noWrap w:val="0"/>
                  <w:vAlign w:val="center"/>
                </w:tcPr>
                <w:p w14:paraId="6CB9FBAC">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监测因子</w:t>
                  </w:r>
                </w:p>
              </w:tc>
              <w:tc>
                <w:tcPr>
                  <w:tcW w:w="1257" w:type="pct"/>
                  <w:tcBorders>
                    <w:tl2br w:val="nil"/>
                    <w:tr2bl w:val="nil"/>
                  </w:tcBorders>
                  <w:noWrap w:val="0"/>
                  <w:vAlign w:val="center"/>
                </w:tcPr>
                <w:p w14:paraId="71124537">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平均时间</w:t>
                  </w:r>
                </w:p>
              </w:tc>
              <w:tc>
                <w:tcPr>
                  <w:tcW w:w="598" w:type="pct"/>
                  <w:tcBorders>
                    <w:tl2br w:val="nil"/>
                    <w:tr2bl w:val="nil"/>
                  </w:tcBorders>
                  <w:noWrap w:val="0"/>
                  <w:vAlign w:val="center"/>
                </w:tcPr>
                <w:p w14:paraId="167250A0">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相对厂址方位</w:t>
                  </w:r>
                </w:p>
              </w:tc>
              <w:tc>
                <w:tcPr>
                  <w:tcW w:w="914" w:type="pct"/>
                  <w:tcBorders>
                    <w:tl2br w:val="nil"/>
                    <w:tr2bl w:val="nil"/>
                  </w:tcBorders>
                  <w:noWrap w:val="0"/>
                  <w:vAlign w:val="center"/>
                </w:tcPr>
                <w:p w14:paraId="08C3E923">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default" w:ascii="Times New Roman" w:hAnsi="Times New Roman" w:eastAsia="宋体" w:cs="Times New Roman"/>
                      <w:snapToGrid w:val="0"/>
                      <w:color w:val="auto"/>
                      <w:kern w:val="0"/>
                      <w:sz w:val="21"/>
                      <w:szCs w:val="21"/>
                      <w:highlight w:val="none"/>
                      <w:lang w:val="en-US" w:eastAsia="zh-CN" w:bidi="ar-SA"/>
                    </w:rPr>
                    <w:t>监测点与厂界距离</w:t>
                  </w:r>
                </w:p>
              </w:tc>
            </w:tr>
            <w:tr w14:paraId="7FA75CF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567" w:hRule="atLeast"/>
                <w:jc w:val="center"/>
              </w:trPr>
              <w:tc>
                <w:tcPr>
                  <w:tcW w:w="1339" w:type="pct"/>
                  <w:tcBorders>
                    <w:tl2br w:val="nil"/>
                    <w:tr2bl w:val="nil"/>
                  </w:tcBorders>
                  <w:noWrap w:val="0"/>
                  <w:vAlign w:val="center"/>
                </w:tcPr>
                <w:p w14:paraId="2EC5C105">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snapToGrid w:val="0"/>
                      <w:color w:val="auto"/>
                      <w:kern w:val="0"/>
                      <w:sz w:val="21"/>
                      <w:szCs w:val="21"/>
                      <w:highlight w:val="none"/>
                      <w:lang w:val="en-US" w:eastAsia="zh-CN" w:bidi="ar-SA"/>
                    </w:rPr>
                  </w:pPr>
                  <w:r>
                    <w:rPr>
                      <w:rFonts w:hint="eastAsia" w:cs="Times New Roman"/>
                      <w:snapToGrid w:val="0"/>
                      <w:color w:val="auto"/>
                      <w:kern w:val="0"/>
                      <w:sz w:val="21"/>
                      <w:szCs w:val="21"/>
                      <w:highlight w:val="none"/>
                      <w:lang w:val="en-US" w:eastAsia="zh-CN" w:bidi="ar-SA"/>
                    </w:rPr>
                    <w:t>宋北村</w:t>
                  </w:r>
                </w:p>
              </w:tc>
              <w:tc>
                <w:tcPr>
                  <w:tcW w:w="889" w:type="pct"/>
                  <w:tcBorders>
                    <w:tl2br w:val="nil"/>
                    <w:tr2bl w:val="nil"/>
                  </w:tcBorders>
                  <w:noWrap w:val="0"/>
                  <w:vAlign w:val="center"/>
                </w:tcPr>
                <w:p w14:paraId="50719F53">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eastAsia" w:ascii="Times New Roman" w:hAnsi="Times New Roman" w:eastAsia="宋体" w:cs="Times New Roman"/>
                      <w:snapToGrid w:val="0"/>
                      <w:color w:val="auto"/>
                      <w:kern w:val="0"/>
                      <w:sz w:val="21"/>
                      <w:szCs w:val="21"/>
                      <w:highlight w:val="none"/>
                      <w:lang w:val="en-US" w:eastAsia="zh-CN" w:bidi="ar-SA"/>
                    </w:rPr>
                  </w:pPr>
                  <w:r>
                    <w:rPr>
                      <w:rFonts w:hint="eastAsia" w:cs="Times New Roman"/>
                      <w:snapToGrid w:val="0"/>
                      <w:color w:val="auto"/>
                      <w:kern w:val="0"/>
                      <w:sz w:val="21"/>
                      <w:szCs w:val="21"/>
                      <w:highlight w:val="none"/>
                      <w:lang w:val="en-US" w:eastAsia="zh-CN" w:bidi="ar-SA"/>
                    </w:rPr>
                    <w:t>TSP</w:t>
                  </w:r>
                </w:p>
              </w:tc>
              <w:tc>
                <w:tcPr>
                  <w:tcW w:w="1257" w:type="pct"/>
                  <w:tcBorders>
                    <w:tl2br w:val="nil"/>
                    <w:tr2bl w:val="nil"/>
                  </w:tcBorders>
                  <w:noWrap w:val="0"/>
                  <w:vAlign w:val="center"/>
                </w:tcPr>
                <w:p w14:paraId="0614508F">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cs="Times New Roman"/>
                      <w:snapToGrid w:val="0"/>
                      <w:color w:val="auto"/>
                      <w:kern w:val="0"/>
                      <w:sz w:val="21"/>
                      <w:szCs w:val="21"/>
                      <w:highlight w:val="none"/>
                      <w:lang w:val="en-US" w:eastAsia="zh-CN" w:bidi="ar-SA"/>
                    </w:rPr>
                    <w:t>24小时平均</w:t>
                  </w:r>
                  <w:r>
                    <w:rPr>
                      <w:rFonts w:hint="default" w:ascii="Times New Roman" w:hAnsi="Times New Roman" w:eastAsia="宋体" w:cs="Times New Roman"/>
                      <w:snapToGrid w:val="0"/>
                      <w:color w:val="auto"/>
                      <w:kern w:val="0"/>
                      <w:sz w:val="21"/>
                      <w:szCs w:val="21"/>
                      <w:highlight w:val="none"/>
                      <w:lang w:val="en-US" w:eastAsia="zh-CN" w:bidi="ar-SA"/>
                    </w:rPr>
                    <w:t>浓度</w:t>
                  </w:r>
                </w:p>
              </w:tc>
              <w:tc>
                <w:tcPr>
                  <w:tcW w:w="598" w:type="pct"/>
                  <w:tcBorders>
                    <w:tl2br w:val="nil"/>
                    <w:tr2bl w:val="nil"/>
                  </w:tcBorders>
                  <w:noWrap w:val="0"/>
                  <w:vAlign w:val="center"/>
                </w:tcPr>
                <w:p w14:paraId="3CAE8E7F">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ascii="Times New Roman" w:hAnsi="Times New Roman" w:eastAsia="宋体" w:cs="Times New Roman"/>
                      <w:snapToGrid w:val="0"/>
                      <w:color w:val="auto"/>
                      <w:kern w:val="0"/>
                      <w:sz w:val="21"/>
                      <w:szCs w:val="21"/>
                      <w:highlight w:val="none"/>
                      <w:lang w:val="en-US" w:eastAsia="zh-CN" w:bidi="ar-SA"/>
                    </w:rPr>
                    <w:t>N</w:t>
                  </w:r>
                  <w:r>
                    <w:rPr>
                      <w:rFonts w:hint="eastAsia" w:cs="Times New Roman"/>
                      <w:snapToGrid w:val="0"/>
                      <w:color w:val="auto"/>
                      <w:kern w:val="0"/>
                      <w:sz w:val="21"/>
                      <w:szCs w:val="21"/>
                      <w:highlight w:val="none"/>
                      <w:lang w:val="en-US" w:eastAsia="zh-CN" w:bidi="ar-SA"/>
                    </w:rPr>
                    <w:t>E</w:t>
                  </w:r>
                </w:p>
              </w:tc>
              <w:tc>
                <w:tcPr>
                  <w:tcW w:w="914" w:type="pct"/>
                  <w:tcBorders>
                    <w:tl2br w:val="nil"/>
                    <w:tr2bl w:val="nil"/>
                  </w:tcBorders>
                  <w:noWrap w:val="0"/>
                  <w:vAlign w:val="center"/>
                </w:tcPr>
                <w:p w14:paraId="651947FC">
                  <w:pPr>
                    <w:keepNext w:val="0"/>
                    <w:keepLines w:val="0"/>
                    <w:widowControl w:val="0"/>
                    <w:suppressLineNumbers w:val="0"/>
                    <w:snapToGrid/>
                    <w:spacing w:before="0" w:beforeLines="0" w:beforeAutospacing="0" w:after="0" w:afterLines="0" w:afterAutospacing="0" w:line="240" w:lineRule="auto"/>
                    <w:ind w:left="0" w:right="0" w:firstLine="0" w:firstLineChars="0"/>
                    <w:jc w:val="center"/>
                    <w:rPr>
                      <w:rFonts w:hint="default" w:ascii="Times New Roman" w:hAnsi="Times New Roman" w:eastAsia="宋体" w:cs="Times New Roman"/>
                      <w:snapToGrid w:val="0"/>
                      <w:color w:val="auto"/>
                      <w:kern w:val="0"/>
                      <w:sz w:val="21"/>
                      <w:szCs w:val="21"/>
                      <w:highlight w:val="none"/>
                      <w:lang w:val="en-US" w:eastAsia="zh-CN" w:bidi="ar-SA"/>
                    </w:rPr>
                  </w:pPr>
                  <w:r>
                    <w:rPr>
                      <w:rFonts w:hint="eastAsia" w:cs="Times New Roman"/>
                      <w:snapToGrid w:val="0"/>
                      <w:color w:val="auto"/>
                      <w:kern w:val="0"/>
                      <w:sz w:val="21"/>
                      <w:szCs w:val="21"/>
                      <w:highlight w:val="none"/>
                      <w:lang w:val="en-US" w:eastAsia="zh-CN" w:bidi="ar-SA"/>
                    </w:rPr>
                    <w:t>920m</w:t>
                  </w:r>
                </w:p>
              </w:tc>
            </w:tr>
          </w:tbl>
          <w:p w14:paraId="0762AEB4">
            <w:pPr>
              <w:pStyle w:val="35"/>
              <w:keepNext w:val="0"/>
              <w:keepLines w:val="0"/>
              <w:pageBreakBefore w:val="0"/>
              <w:widowControl w:val="0"/>
              <w:kinsoku/>
              <w:wordWrap/>
              <w:overflowPunct/>
              <w:topLinePunct w:val="0"/>
              <w:autoSpaceDE/>
              <w:autoSpaceDN/>
              <w:bidi w:val="0"/>
              <w:spacing w:beforeLines="0" w:afterLines="0" w:line="384" w:lineRule="auto"/>
              <w:ind w:firstLine="420" w:firstLineChars="200"/>
              <w:jc w:val="both"/>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②监测时间及频率</w:t>
            </w:r>
          </w:p>
          <w:p w14:paraId="0D27458F">
            <w:pPr>
              <w:pStyle w:val="35"/>
              <w:keepNext w:val="0"/>
              <w:keepLines w:val="0"/>
              <w:pageBreakBefore w:val="0"/>
              <w:widowControl w:val="0"/>
              <w:kinsoku/>
              <w:wordWrap/>
              <w:overflowPunct/>
              <w:topLinePunct w:val="0"/>
              <w:autoSpaceDE/>
              <w:autoSpaceDN/>
              <w:bidi w:val="0"/>
              <w:spacing w:beforeLines="0" w:afterLines="0" w:line="384" w:lineRule="auto"/>
              <w:ind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202</w:t>
            </w:r>
            <w:r>
              <w:rPr>
                <w:rFonts w:hint="eastAsia" w:ascii="Times New Roman" w:cs="Times New Roman"/>
                <w:color w:val="auto"/>
                <w:sz w:val="21"/>
                <w:szCs w:val="21"/>
                <w:highlight w:val="none"/>
                <w:lang w:val="en-US" w:eastAsia="zh-CN"/>
              </w:rPr>
              <w:t>5</w:t>
            </w:r>
            <w:r>
              <w:rPr>
                <w:rFonts w:hint="default" w:ascii="Times New Roman" w:hAnsi="Times New Roman" w:eastAsia="宋体" w:cs="Times New Roman"/>
                <w:color w:val="auto"/>
                <w:sz w:val="21"/>
                <w:szCs w:val="21"/>
                <w:highlight w:val="none"/>
              </w:rPr>
              <w:t>年</w:t>
            </w:r>
            <w:r>
              <w:rPr>
                <w:rFonts w:hint="eastAsia" w:ascii="Times New Roman"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rPr>
              <w:t>月</w:t>
            </w:r>
            <w:r>
              <w:rPr>
                <w:rFonts w:hint="eastAsia" w:ascii="Times New Roman" w:cs="Times New Roman"/>
                <w:color w:val="auto"/>
                <w:sz w:val="21"/>
                <w:szCs w:val="21"/>
                <w:highlight w:val="none"/>
                <w:lang w:val="en-US" w:eastAsia="zh-CN"/>
              </w:rPr>
              <w:t>11</w:t>
            </w:r>
            <w:r>
              <w:rPr>
                <w:rFonts w:hint="default" w:ascii="Times New Roman" w:hAnsi="Times New Roman" w:eastAsia="宋体" w:cs="Times New Roman"/>
                <w:color w:val="auto"/>
                <w:sz w:val="21"/>
                <w:szCs w:val="21"/>
                <w:highlight w:val="none"/>
              </w:rPr>
              <w:t>日~</w:t>
            </w:r>
            <w:r>
              <w:rPr>
                <w:rFonts w:hint="eastAsia" w:ascii="Times New Roman" w:cs="Times New Roman"/>
                <w:color w:val="auto"/>
                <w:sz w:val="21"/>
                <w:szCs w:val="21"/>
                <w:highlight w:val="none"/>
                <w:lang w:val="en-US" w:eastAsia="zh-CN"/>
              </w:rPr>
              <w:t>1月17</w:t>
            </w:r>
            <w:r>
              <w:rPr>
                <w:rFonts w:hint="default" w:ascii="Times New Roman" w:hAnsi="Times New Roman" w:eastAsia="宋体" w:cs="Times New Roman"/>
                <w:color w:val="auto"/>
                <w:sz w:val="21"/>
                <w:szCs w:val="21"/>
                <w:highlight w:val="none"/>
              </w:rPr>
              <w:t>日，连续监测</w:t>
            </w:r>
            <w:r>
              <w:rPr>
                <w:rFonts w:hint="eastAsia" w:ascii="Times New Roman" w:cs="Times New Roman"/>
                <w:color w:val="auto"/>
                <w:sz w:val="21"/>
                <w:szCs w:val="21"/>
                <w:highlight w:val="none"/>
                <w:lang w:val="en-US" w:eastAsia="zh-CN"/>
              </w:rPr>
              <w:t>7</w:t>
            </w:r>
            <w:r>
              <w:rPr>
                <w:rFonts w:hint="default" w:ascii="Times New Roman" w:hAnsi="Times New Roman" w:eastAsia="宋体" w:cs="Times New Roman"/>
                <w:color w:val="auto"/>
                <w:sz w:val="21"/>
                <w:szCs w:val="21"/>
                <w:highlight w:val="none"/>
              </w:rPr>
              <w:t>天</w:t>
            </w:r>
            <w:r>
              <w:rPr>
                <w:rFonts w:hint="default" w:ascii="Times New Roman" w:hAnsi="Times New Roman" w:eastAsia="宋体" w:cs="Times New Roman"/>
                <w:color w:val="auto"/>
                <w:sz w:val="21"/>
                <w:szCs w:val="21"/>
                <w:highlight w:val="none"/>
                <w:lang w:eastAsia="zh-CN"/>
              </w:rPr>
              <w:t>，</w:t>
            </w:r>
            <w:r>
              <w:rPr>
                <w:rFonts w:hint="eastAsia" w:ascii="Times New Roman" w:hAnsi="Times New Roman" w:cs="Times New Roman"/>
                <w:color w:val="auto"/>
                <w:sz w:val="21"/>
                <w:szCs w:val="21"/>
                <w:highlight w:val="none"/>
                <w:lang w:val="en-US" w:eastAsia="zh-CN"/>
              </w:rPr>
              <w:t>TSP</w:t>
            </w:r>
            <w:r>
              <w:rPr>
                <w:rFonts w:hint="eastAsia" w:ascii="Times New Roman" w:hAnsi="Times New Roman" w:cs="Times New Roman"/>
                <w:color w:val="auto"/>
                <w:sz w:val="21"/>
                <w:szCs w:val="21"/>
                <w:highlight w:val="none"/>
                <w:lang w:eastAsia="zh-CN"/>
              </w:rPr>
              <w:t>监测</w:t>
            </w:r>
            <w:r>
              <w:rPr>
                <w:rFonts w:hint="default" w:ascii="Times New Roman" w:hAnsi="Times New Roman" w:eastAsia="宋体" w:cs="Times New Roman"/>
                <w:color w:val="auto"/>
                <w:sz w:val="21"/>
                <w:szCs w:val="21"/>
                <w:highlight w:val="none"/>
                <w:lang w:val="en-US" w:eastAsia="zh-CN"/>
              </w:rPr>
              <w:t>24小时平均浓度</w:t>
            </w:r>
            <w:r>
              <w:rPr>
                <w:rFonts w:hint="eastAsia" w:ascii="Times New Roman" w:hAnsi="Times New Roman" w:cs="Times New Roman"/>
                <w:color w:val="auto"/>
                <w:sz w:val="21"/>
                <w:szCs w:val="21"/>
                <w:highlight w:val="none"/>
                <w:lang w:val="en-US" w:eastAsia="zh-CN"/>
              </w:rPr>
              <w:t>、非甲烷总烃监测1小时平均浓度</w:t>
            </w:r>
            <w:r>
              <w:rPr>
                <w:rFonts w:hint="default" w:ascii="Times New Roman" w:hAnsi="Times New Roman" w:eastAsia="宋体" w:cs="Times New Roman"/>
                <w:color w:val="auto"/>
                <w:sz w:val="21"/>
                <w:szCs w:val="21"/>
                <w:highlight w:val="none"/>
              </w:rPr>
              <w:t>，每天采样4次，4个样品/时</w:t>
            </w:r>
            <w:r>
              <w:rPr>
                <w:rFonts w:hint="eastAsia" w:ascii="Times New Roman" w:hAnsi="Times New Roman" w:cs="Times New Roman"/>
                <w:color w:val="auto"/>
                <w:sz w:val="21"/>
                <w:szCs w:val="21"/>
                <w:highlight w:val="none"/>
                <w:lang w:val="en-US" w:eastAsia="zh-CN"/>
              </w:rPr>
              <w:t>。</w:t>
            </w:r>
          </w:p>
          <w:p w14:paraId="6922DAB5">
            <w:pPr>
              <w:pStyle w:val="35"/>
              <w:keepNext w:val="0"/>
              <w:keepLines w:val="0"/>
              <w:pageBreakBefore w:val="0"/>
              <w:widowControl w:val="0"/>
              <w:kinsoku/>
              <w:wordWrap/>
              <w:overflowPunct/>
              <w:topLinePunct w:val="0"/>
              <w:autoSpaceDE/>
              <w:autoSpaceDN/>
              <w:bidi w:val="0"/>
              <w:spacing w:beforeLines="0" w:afterLines="0" w:line="384" w:lineRule="auto"/>
              <w:ind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③监测结果</w:t>
            </w:r>
            <w:r>
              <w:rPr>
                <w:rFonts w:hint="eastAsia" w:ascii="Times New Roman" w:hAnsi="Times New Roman" w:cs="Times New Roman"/>
                <w:color w:val="auto"/>
                <w:sz w:val="21"/>
                <w:szCs w:val="21"/>
                <w:highlight w:val="none"/>
                <w:lang w:val="en-US" w:eastAsia="zh-CN"/>
              </w:rPr>
              <w:t>及评价</w:t>
            </w:r>
          </w:p>
          <w:p w14:paraId="0EA6F428">
            <w:pPr>
              <w:pStyle w:val="35"/>
              <w:keepNext w:val="0"/>
              <w:keepLines w:val="0"/>
              <w:pageBreakBefore w:val="0"/>
              <w:widowControl w:val="0"/>
              <w:kinsoku/>
              <w:wordWrap/>
              <w:overflowPunct/>
              <w:topLinePunct w:val="0"/>
              <w:autoSpaceDE/>
              <w:autoSpaceDN/>
              <w:bidi w:val="0"/>
              <w:spacing w:beforeLines="0" w:afterLines="0" w:line="384" w:lineRule="auto"/>
              <w:ind w:firstLine="420" w:firstLineChars="200"/>
              <w:jc w:val="both"/>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根据监测结果及相关评价标准，现状监测及评价结果见表3-3</w:t>
            </w:r>
            <w:r>
              <w:rPr>
                <w:rFonts w:hint="eastAsia" w:ascii="Times New Roman" w:hAnsi="Times New Roman"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3-</w:t>
            </w:r>
            <w:r>
              <w:rPr>
                <w:rFonts w:hint="eastAsia" w:ascii="Times New Roman" w:hAnsi="Times New Roman" w:cs="Times New Roman"/>
                <w:color w:val="auto"/>
                <w:sz w:val="21"/>
                <w:szCs w:val="21"/>
                <w:highlight w:val="none"/>
                <w:lang w:val="en-US" w:eastAsia="zh-CN"/>
              </w:rPr>
              <w:t>4</w:t>
            </w:r>
            <w:r>
              <w:rPr>
                <w:rFonts w:hint="default" w:ascii="Times New Roman" w:hAnsi="Times New Roman" w:eastAsia="宋体" w:cs="Times New Roman"/>
                <w:color w:val="auto"/>
                <w:sz w:val="21"/>
                <w:szCs w:val="21"/>
                <w:highlight w:val="none"/>
              </w:rPr>
              <w:t>。</w:t>
            </w:r>
          </w:p>
          <w:p w14:paraId="29110162">
            <w:pPr>
              <w:pStyle w:val="57"/>
              <w:rPr>
                <w:rFonts w:hint="default" w:ascii="Times New Roman" w:hAnsi="Times New Roman" w:eastAsia="宋体" w:cs="Times New Roman"/>
                <w:b/>
                <w:snapToGrid w:val="0"/>
                <w:color w:val="auto"/>
                <w:kern w:val="2"/>
                <w:sz w:val="21"/>
                <w:szCs w:val="21"/>
                <w:highlight w:val="none"/>
                <w:lang w:val="en-US" w:eastAsia="zh-CN" w:bidi="ar-SA"/>
              </w:rPr>
            </w:pPr>
            <w:r>
              <w:rPr>
                <w:rFonts w:hint="default" w:ascii="Times New Roman" w:hAnsi="Times New Roman" w:eastAsia="宋体" w:cs="Times New Roman"/>
                <w:b/>
                <w:snapToGrid w:val="0"/>
                <w:color w:val="auto"/>
                <w:kern w:val="2"/>
                <w:sz w:val="21"/>
                <w:szCs w:val="21"/>
                <w:highlight w:val="none"/>
                <w:lang w:val="en-US" w:eastAsia="zh-CN" w:bidi="ar-SA"/>
              </w:rPr>
              <w:t>表3-</w:t>
            </w:r>
            <w:r>
              <w:rPr>
                <w:rFonts w:hint="eastAsia" w:ascii="Times New Roman" w:hAnsi="Times New Roman" w:cs="Times New Roman"/>
                <w:b/>
                <w:snapToGrid w:val="0"/>
                <w:color w:val="auto"/>
                <w:kern w:val="2"/>
                <w:sz w:val="21"/>
                <w:szCs w:val="21"/>
                <w:highlight w:val="none"/>
                <w:lang w:val="en-US" w:eastAsia="zh-CN" w:bidi="ar-SA"/>
              </w:rPr>
              <w:t xml:space="preserve">3  </w:t>
            </w:r>
            <w:r>
              <w:rPr>
                <w:rFonts w:hint="default" w:ascii="Times New Roman" w:hAnsi="Times New Roman" w:eastAsia="宋体" w:cs="Times New Roman"/>
                <w:b/>
                <w:snapToGrid w:val="0"/>
                <w:color w:val="auto"/>
                <w:kern w:val="2"/>
                <w:sz w:val="21"/>
                <w:szCs w:val="21"/>
                <w:highlight w:val="none"/>
                <w:lang w:val="en-US" w:eastAsia="zh-CN" w:bidi="ar-SA"/>
              </w:rPr>
              <w:t>环境空气监测结果</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854"/>
              <w:gridCol w:w="733"/>
              <w:gridCol w:w="628"/>
              <w:gridCol w:w="733"/>
              <w:gridCol w:w="733"/>
              <w:gridCol w:w="628"/>
              <w:gridCol w:w="629"/>
              <w:gridCol w:w="742"/>
            </w:tblGrid>
            <w:tr w14:paraId="53DDE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2011" w:type="pct"/>
                  <w:gridSpan w:val="2"/>
                  <w:vMerge w:val="restart"/>
                  <w:noWrap w:val="0"/>
                  <w:vAlign w:val="center"/>
                  <mc:AlternateContent>
                    <mc:Choice Requires="wpsCustomData">
                      <wpsCustomData:diagonals>
                        <wpsCustomData:diagonal from="10000" to="30000">
                          <wpsCustomData:border w:val="single" w:color="auto" w:sz="4" w:space="0"/>
                        </wpsCustomData:diagonal>
                      </wpsCustomData:diagonals>
                    </mc:Choice>
                  </mc:AlternateContent>
                </w:tcPr>
                <w:p w14:paraId="06DDAE65">
                  <w:pPr>
                    <w:keepNext w:val="0"/>
                    <w:keepLines w:val="0"/>
                    <w:pageBreakBefore w:val="0"/>
                    <w:kinsoku/>
                    <w:wordWrap/>
                    <w:overflowPunct/>
                    <w:topLinePunct w:val="0"/>
                    <w:autoSpaceDE/>
                    <w:autoSpaceDN/>
                    <w:bidi w:val="0"/>
                    <w:adjustRightInd w:val="0"/>
                    <w:snapToGrid w:val="0"/>
                    <w:spacing w:line="240" w:lineRule="auto"/>
                    <w:jc w:val="left"/>
                    <w:textAlignment w:val="auto"/>
                    <w:rPr>
                      <w:color w:val="auto"/>
                      <w:kern w:val="0"/>
                      <w:sz w:val="21"/>
                      <w:szCs w:val="21"/>
                      <w:highlight w:val="none"/>
                    </w:rPr>
                  </w:pPr>
                </w:p>
                <w:p w14:paraId="5B8C911D">
                  <w:pPr>
                    <w:keepNext w:val="0"/>
                    <w:keepLines w:val="0"/>
                    <w:pageBreakBefore w:val="0"/>
                    <w:kinsoku/>
                    <w:wordWrap/>
                    <w:overflowPunct/>
                    <w:topLinePunct w:val="0"/>
                    <w:autoSpaceDE/>
                    <w:autoSpaceDN/>
                    <w:bidi w:val="0"/>
                    <w:adjustRightInd w:val="0"/>
                    <w:snapToGrid w:val="0"/>
                    <w:spacing w:line="240" w:lineRule="auto"/>
                    <w:jc w:val="left"/>
                    <w:textAlignment w:val="auto"/>
                    <w:rPr>
                      <w:rFonts w:hint="default" w:eastAsia="宋体"/>
                      <w:color w:val="auto"/>
                      <w:kern w:val="0"/>
                      <w:sz w:val="21"/>
                      <w:szCs w:val="21"/>
                      <w:highlight w:val="none"/>
                      <w:lang w:val="en-US" w:eastAsia="zh-CN"/>
                    </w:rPr>
                  </w:pPr>
                  <w:r>
                    <w:rPr>
                      <w:rFonts w:hint="eastAsia"/>
                      <w:color w:val="auto"/>
                      <w:kern w:val="0"/>
                      <w:sz w:val="21"/>
                      <w:szCs w:val="21"/>
                      <w:highlight w:val="none"/>
                      <w:lang w:val="en-US" w:eastAsia="zh-CN"/>
                    </w:rPr>
                    <w:t>监测项目</w:t>
                  </w:r>
                </w:p>
                <w:p w14:paraId="219BBF94">
                  <w:pPr>
                    <w:keepNext w:val="0"/>
                    <w:keepLines w:val="0"/>
                    <w:pageBreakBefore w:val="0"/>
                    <w:kinsoku/>
                    <w:wordWrap/>
                    <w:overflowPunct/>
                    <w:topLinePunct w:val="0"/>
                    <w:autoSpaceDE/>
                    <w:autoSpaceDN/>
                    <w:bidi w:val="0"/>
                    <w:adjustRightInd w:val="0"/>
                    <w:snapToGrid w:val="0"/>
                    <w:spacing w:line="240" w:lineRule="auto"/>
                    <w:jc w:val="left"/>
                    <w:textAlignment w:val="auto"/>
                    <mc:AlternateContent>
                      <mc:Choice Requires="wpsCustomData">
                        <wpsCustomData:diagonalParaType/>
                      </mc:Choice>
                    </mc:AlternateContent>
                    <w:rPr>
                      <w:color w:val="auto"/>
                      <w:kern w:val="0"/>
                      <w:sz w:val="21"/>
                      <w:szCs w:val="21"/>
                      <w:highlight w:val="none"/>
                    </w:rPr>
                  </w:pPr>
                  <w:r>
                    <w:rPr>
                      <w:color w:val="auto"/>
                      <w:kern w:val="0"/>
                      <w:sz w:val="21"/>
                      <w:szCs w:val="21"/>
                      <w:highlight w:val="none"/>
                    </w:rPr>
                    <w:t>监测项目</w:t>
                  </w:r>
                </w:p>
                <w:p w14:paraId="253CCD7D">
                  <w:pPr>
                    <w:keepNext w:val="0"/>
                    <w:keepLines w:val="0"/>
                    <w:pageBreakBefore w:val="0"/>
                    <w:kinsoku/>
                    <w:wordWrap/>
                    <w:overflowPunct/>
                    <w:topLinePunct w:val="0"/>
                    <w:autoSpaceDE/>
                    <w:autoSpaceDN/>
                    <w:bidi w:val="0"/>
                    <w:adjustRightInd w:val="0"/>
                    <w:snapToGrid w:val="0"/>
                    <w:spacing w:line="240" w:lineRule="auto"/>
                    <w:jc w:val="right"/>
                    <w:textAlignment w:val="auto"/>
                    <w:rPr>
                      <w:color w:val="auto"/>
                      <w:kern w:val="0"/>
                      <w:sz w:val="21"/>
                      <w:szCs w:val="21"/>
                      <w:highlight w:val="none"/>
                    </w:rPr>
                  </w:pPr>
                  <w:r>
                    <w:rPr>
                      <w:color w:val="auto"/>
                      <w:kern w:val="0"/>
                      <w:sz w:val="21"/>
                      <w:szCs w:val="21"/>
                      <w:highlight w:val="none"/>
                    </w:rPr>
                    <w:t>监测日期</w:t>
                  </w:r>
                </w:p>
              </w:tc>
              <w:tc>
                <w:tcPr>
                  <w:tcW w:w="2988" w:type="pct"/>
                  <w:gridSpan w:val="7"/>
                  <w:noWrap w:val="0"/>
                  <w:vAlign w:val="center"/>
                </w:tcPr>
                <w:p w14:paraId="28D28808">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default" w:eastAsia="宋体"/>
                      <w:color w:val="auto"/>
                      <w:spacing w:val="-8"/>
                      <w:kern w:val="0"/>
                      <w:sz w:val="21"/>
                      <w:szCs w:val="21"/>
                      <w:highlight w:val="none"/>
                      <w:lang w:val="en-US" w:eastAsia="zh-CN"/>
                    </w:rPr>
                  </w:pPr>
                  <w:r>
                    <w:rPr>
                      <w:rFonts w:hint="eastAsia"/>
                      <w:color w:val="auto"/>
                      <w:spacing w:val="-8"/>
                      <w:kern w:val="0"/>
                      <w:sz w:val="21"/>
                      <w:szCs w:val="21"/>
                      <w:highlight w:val="none"/>
                      <w:lang w:val="en-US" w:eastAsia="zh-CN"/>
                    </w:rPr>
                    <w:t>2025年</w:t>
                  </w:r>
                </w:p>
              </w:tc>
            </w:tr>
            <w:tr w14:paraId="318EF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9" w:hRule="atLeast"/>
                <w:jc w:val="center"/>
              </w:trPr>
              <w:tc>
                <w:tcPr>
                  <w:tcW w:w="2011" w:type="pct"/>
                  <w:gridSpan w:val="2"/>
                  <w:vMerge w:val="continue"/>
                  <w:noWrap w:val="0"/>
                  <w:vAlign w:val="center"/>
                </w:tcPr>
                <w:p w14:paraId="7F4677F0">
                  <w:pPr>
                    <w:keepNext w:val="0"/>
                    <w:keepLines w:val="0"/>
                    <w:pageBreakBefore w:val="0"/>
                    <w:kinsoku/>
                    <w:wordWrap/>
                    <w:overflowPunct/>
                    <w:topLinePunct w:val="0"/>
                    <w:autoSpaceDE/>
                    <w:autoSpaceDN/>
                    <w:bidi w:val="0"/>
                    <w:adjustRightInd w:val="0"/>
                    <w:snapToGrid w:val="0"/>
                    <w:spacing w:line="240" w:lineRule="auto"/>
                    <w:jc w:val="left"/>
                    <w:textAlignment w:val="auto"/>
                    <w:rPr>
                      <w:color w:val="auto"/>
                      <w:kern w:val="0"/>
                      <w:sz w:val="21"/>
                      <w:szCs w:val="21"/>
                      <w:highlight w:val="none"/>
                    </w:rPr>
                  </w:pPr>
                </w:p>
              </w:tc>
              <w:tc>
                <w:tcPr>
                  <w:tcW w:w="454" w:type="pct"/>
                  <w:noWrap w:val="0"/>
                  <w:vAlign w:val="center"/>
                </w:tcPr>
                <w:p w14:paraId="169F04DE">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pacing w:val="-8"/>
                      <w:kern w:val="0"/>
                      <w:sz w:val="21"/>
                      <w:szCs w:val="21"/>
                      <w:highlight w:val="none"/>
                    </w:rPr>
                  </w:pPr>
                  <w:r>
                    <w:rPr>
                      <w:rFonts w:hint="eastAsia"/>
                      <w:color w:val="auto"/>
                      <w:spacing w:val="-8"/>
                      <w:kern w:val="0"/>
                      <w:sz w:val="21"/>
                      <w:szCs w:val="21"/>
                      <w:highlight w:val="none"/>
                    </w:rPr>
                    <w:t>1.11</w:t>
                  </w:r>
                </w:p>
              </w:tc>
              <w:tc>
                <w:tcPr>
                  <w:tcW w:w="389" w:type="pct"/>
                  <w:noWrap w:val="0"/>
                  <w:vAlign w:val="center"/>
                </w:tcPr>
                <w:p w14:paraId="2B18B5DC">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pacing w:val="-8"/>
                      <w:kern w:val="0"/>
                      <w:sz w:val="21"/>
                      <w:szCs w:val="21"/>
                      <w:highlight w:val="none"/>
                    </w:rPr>
                  </w:pPr>
                  <w:r>
                    <w:rPr>
                      <w:rFonts w:hint="eastAsia"/>
                      <w:color w:val="auto"/>
                      <w:spacing w:val="-8"/>
                      <w:kern w:val="0"/>
                      <w:sz w:val="21"/>
                      <w:szCs w:val="21"/>
                      <w:highlight w:val="none"/>
                    </w:rPr>
                    <w:t>1.12</w:t>
                  </w:r>
                </w:p>
              </w:tc>
              <w:tc>
                <w:tcPr>
                  <w:tcW w:w="454" w:type="pct"/>
                  <w:noWrap w:val="0"/>
                  <w:vAlign w:val="center"/>
                </w:tcPr>
                <w:p w14:paraId="76884C02">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pacing w:val="-8"/>
                      <w:kern w:val="0"/>
                      <w:sz w:val="21"/>
                      <w:szCs w:val="21"/>
                      <w:highlight w:val="none"/>
                    </w:rPr>
                  </w:pPr>
                  <w:r>
                    <w:rPr>
                      <w:rFonts w:hint="eastAsia"/>
                      <w:color w:val="auto"/>
                      <w:spacing w:val="-8"/>
                      <w:kern w:val="0"/>
                      <w:sz w:val="21"/>
                      <w:szCs w:val="21"/>
                      <w:highlight w:val="none"/>
                    </w:rPr>
                    <w:t>1.13</w:t>
                  </w:r>
                </w:p>
              </w:tc>
              <w:tc>
                <w:tcPr>
                  <w:tcW w:w="454" w:type="pct"/>
                  <w:noWrap w:val="0"/>
                  <w:vAlign w:val="center"/>
                </w:tcPr>
                <w:p w14:paraId="1E57FD75">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color w:val="auto"/>
                      <w:spacing w:val="-8"/>
                      <w:kern w:val="0"/>
                      <w:sz w:val="21"/>
                      <w:szCs w:val="21"/>
                      <w:highlight w:val="none"/>
                    </w:rPr>
                  </w:pPr>
                  <w:r>
                    <w:rPr>
                      <w:rFonts w:hint="eastAsia"/>
                      <w:color w:val="auto"/>
                      <w:spacing w:val="-8"/>
                      <w:kern w:val="0"/>
                      <w:sz w:val="21"/>
                      <w:szCs w:val="21"/>
                      <w:highlight w:val="none"/>
                    </w:rPr>
                    <w:t>1.14</w:t>
                  </w:r>
                </w:p>
              </w:tc>
              <w:tc>
                <w:tcPr>
                  <w:tcW w:w="389" w:type="pct"/>
                  <w:noWrap w:val="0"/>
                  <w:vAlign w:val="center"/>
                </w:tcPr>
                <w:p w14:paraId="4B6D8754">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eastAsia="宋体"/>
                      <w:color w:val="auto"/>
                      <w:spacing w:val="-8"/>
                      <w:kern w:val="0"/>
                      <w:sz w:val="21"/>
                      <w:szCs w:val="21"/>
                      <w:highlight w:val="none"/>
                      <w:lang w:val="en-US" w:eastAsia="zh-CN"/>
                    </w:rPr>
                  </w:pPr>
                  <w:r>
                    <w:rPr>
                      <w:rFonts w:hint="eastAsia"/>
                      <w:color w:val="auto"/>
                      <w:spacing w:val="-8"/>
                      <w:kern w:val="0"/>
                      <w:sz w:val="21"/>
                      <w:szCs w:val="21"/>
                      <w:highlight w:val="none"/>
                    </w:rPr>
                    <w:t>1.1</w:t>
                  </w:r>
                  <w:r>
                    <w:rPr>
                      <w:rFonts w:hint="eastAsia"/>
                      <w:color w:val="auto"/>
                      <w:spacing w:val="-8"/>
                      <w:kern w:val="0"/>
                      <w:sz w:val="21"/>
                      <w:szCs w:val="21"/>
                      <w:highlight w:val="none"/>
                      <w:lang w:val="en-US" w:eastAsia="zh-CN"/>
                    </w:rPr>
                    <w:t>5</w:t>
                  </w:r>
                </w:p>
              </w:tc>
              <w:tc>
                <w:tcPr>
                  <w:tcW w:w="389" w:type="pct"/>
                  <w:noWrap w:val="0"/>
                  <w:vAlign w:val="center"/>
                </w:tcPr>
                <w:p w14:paraId="3EA56D2B">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eastAsia="宋体"/>
                      <w:color w:val="auto"/>
                      <w:spacing w:val="-8"/>
                      <w:kern w:val="0"/>
                      <w:sz w:val="21"/>
                      <w:szCs w:val="21"/>
                      <w:highlight w:val="none"/>
                      <w:lang w:val="en-US" w:eastAsia="zh-CN"/>
                    </w:rPr>
                  </w:pPr>
                  <w:r>
                    <w:rPr>
                      <w:rFonts w:hint="eastAsia"/>
                      <w:color w:val="auto"/>
                      <w:spacing w:val="-8"/>
                      <w:kern w:val="0"/>
                      <w:sz w:val="21"/>
                      <w:szCs w:val="21"/>
                      <w:highlight w:val="none"/>
                    </w:rPr>
                    <w:t>1.1</w:t>
                  </w:r>
                  <w:r>
                    <w:rPr>
                      <w:rFonts w:hint="eastAsia"/>
                      <w:color w:val="auto"/>
                      <w:spacing w:val="-8"/>
                      <w:kern w:val="0"/>
                      <w:sz w:val="21"/>
                      <w:szCs w:val="21"/>
                      <w:highlight w:val="none"/>
                      <w:lang w:val="en-US" w:eastAsia="zh-CN"/>
                    </w:rPr>
                    <w:t>6</w:t>
                  </w:r>
                </w:p>
              </w:tc>
              <w:tc>
                <w:tcPr>
                  <w:tcW w:w="456" w:type="pct"/>
                  <w:noWrap w:val="0"/>
                  <w:vAlign w:val="center"/>
                </w:tcPr>
                <w:p w14:paraId="2DE6928D">
                  <w:pPr>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eastAsia="宋体"/>
                      <w:color w:val="auto"/>
                      <w:spacing w:val="-8"/>
                      <w:kern w:val="0"/>
                      <w:sz w:val="21"/>
                      <w:szCs w:val="21"/>
                      <w:highlight w:val="none"/>
                      <w:lang w:val="en-US" w:eastAsia="zh-CN"/>
                    </w:rPr>
                  </w:pPr>
                  <w:r>
                    <w:rPr>
                      <w:rFonts w:hint="eastAsia"/>
                      <w:color w:val="auto"/>
                      <w:spacing w:val="-8"/>
                      <w:kern w:val="0"/>
                      <w:sz w:val="21"/>
                      <w:szCs w:val="21"/>
                      <w:highlight w:val="none"/>
                    </w:rPr>
                    <w:t>1.1</w:t>
                  </w:r>
                  <w:r>
                    <w:rPr>
                      <w:rFonts w:hint="eastAsia"/>
                      <w:color w:val="auto"/>
                      <w:spacing w:val="-8"/>
                      <w:kern w:val="0"/>
                      <w:sz w:val="21"/>
                      <w:szCs w:val="21"/>
                      <w:highlight w:val="none"/>
                      <w:lang w:val="en-US" w:eastAsia="zh-CN"/>
                    </w:rPr>
                    <w:t>7</w:t>
                  </w:r>
                </w:p>
              </w:tc>
            </w:tr>
            <w:tr w14:paraId="3288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8" w:hRule="atLeast"/>
                <w:jc w:val="center"/>
              </w:trPr>
              <w:tc>
                <w:tcPr>
                  <w:tcW w:w="1482" w:type="pct"/>
                  <w:noWrap w:val="0"/>
                  <w:vAlign w:val="center"/>
                </w:tcPr>
                <w:p w14:paraId="193B2BA6">
                  <w:pPr>
                    <w:pStyle w:val="58"/>
                    <w:keepNext w:val="0"/>
                    <w:keepLines w:val="0"/>
                    <w:pageBreakBefore w:val="0"/>
                    <w:kinsoku/>
                    <w:wordWrap/>
                    <w:overflowPunct/>
                    <w:topLinePunct w:val="0"/>
                    <w:autoSpaceDE/>
                    <w:autoSpaceDN/>
                    <w:bidi w:val="0"/>
                    <w:adjustRightInd w:val="0"/>
                    <w:snapToGrid w:val="0"/>
                    <w:spacing w:line="240" w:lineRule="auto"/>
                    <w:jc w:val="center"/>
                    <w:textAlignment w:val="auto"/>
                    <w:rPr>
                      <w:rFonts w:hint="eastAsia" w:eastAsia="宋体"/>
                      <w:color w:val="auto"/>
                      <w:sz w:val="21"/>
                      <w:szCs w:val="21"/>
                      <w:highlight w:val="none"/>
                      <w:lang w:val="en-US" w:eastAsia="zh-CN"/>
                    </w:rPr>
                  </w:pPr>
                  <w:r>
                    <w:rPr>
                      <w:rFonts w:hint="eastAsia"/>
                      <w:color w:val="auto"/>
                      <w:sz w:val="21"/>
                      <w:szCs w:val="21"/>
                      <w:highlight w:val="none"/>
                      <w:lang w:val="en-US" w:eastAsia="zh-CN"/>
                    </w:rPr>
                    <w:t>总悬浮颗粒物</w:t>
                  </w:r>
                  <w:r>
                    <w:rPr>
                      <w:rFonts w:hint="default" w:ascii="Times New Roman" w:hAnsi="Times New Roman" w:cs="Times New Roman"/>
                      <w:color w:val="auto"/>
                      <w:sz w:val="21"/>
                      <w:szCs w:val="21"/>
                      <w:highlight w:val="none"/>
                    </w:rPr>
                    <w:t>µ</w:t>
                  </w:r>
                  <w:r>
                    <w:rPr>
                      <w:rFonts w:hint="default"/>
                      <w:color w:val="auto"/>
                      <w:sz w:val="21"/>
                      <w:szCs w:val="21"/>
                      <w:highlight w:val="none"/>
                    </w:rPr>
                    <w:t>g/m³</w:t>
                  </w:r>
                </w:p>
              </w:tc>
              <w:tc>
                <w:tcPr>
                  <w:tcW w:w="528" w:type="pct"/>
                  <w:noWrap w:val="0"/>
                  <w:vAlign w:val="center"/>
                </w:tcPr>
                <w:p w14:paraId="1229BC96">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日均</w:t>
                  </w:r>
                </w:p>
              </w:tc>
              <w:tc>
                <w:tcPr>
                  <w:tcW w:w="454" w:type="pct"/>
                  <w:noWrap w:val="0"/>
                  <w:vAlign w:val="center"/>
                </w:tcPr>
                <w:p w14:paraId="12B027F8">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124</w:t>
                  </w:r>
                </w:p>
              </w:tc>
              <w:tc>
                <w:tcPr>
                  <w:tcW w:w="389" w:type="pct"/>
                  <w:noWrap w:val="0"/>
                  <w:vAlign w:val="center"/>
                </w:tcPr>
                <w:p w14:paraId="6F2BD4B0">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96</w:t>
                  </w:r>
                </w:p>
              </w:tc>
              <w:tc>
                <w:tcPr>
                  <w:tcW w:w="454" w:type="pct"/>
                  <w:noWrap w:val="0"/>
                  <w:vAlign w:val="center"/>
                </w:tcPr>
                <w:p w14:paraId="54A12ADD">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128</w:t>
                  </w:r>
                </w:p>
              </w:tc>
              <w:tc>
                <w:tcPr>
                  <w:tcW w:w="454" w:type="pct"/>
                  <w:noWrap w:val="0"/>
                  <w:vAlign w:val="center"/>
                </w:tcPr>
                <w:p w14:paraId="1D881969">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152</w:t>
                  </w:r>
                </w:p>
              </w:tc>
              <w:tc>
                <w:tcPr>
                  <w:tcW w:w="389" w:type="pct"/>
                  <w:noWrap w:val="0"/>
                  <w:vAlign w:val="center"/>
                </w:tcPr>
                <w:p w14:paraId="6CB598EC">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等线"/>
                      <w:color w:val="auto"/>
                      <w:sz w:val="21"/>
                      <w:szCs w:val="21"/>
                      <w:highlight w:val="none"/>
                      <w:lang w:val="en-US" w:eastAsia="zh-CN"/>
                    </w:rPr>
                  </w:pPr>
                  <w:r>
                    <w:rPr>
                      <w:rFonts w:hint="eastAsia" w:eastAsia="等线"/>
                      <w:color w:val="auto"/>
                      <w:sz w:val="21"/>
                      <w:szCs w:val="21"/>
                      <w:highlight w:val="none"/>
                      <w:lang w:val="en-US" w:eastAsia="zh-CN"/>
                    </w:rPr>
                    <w:t>93</w:t>
                  </w:r>
                </w:p>
              </w:tc>
              <w:tc>
                <w:tcPr>
                  <w:tcW w:w="389" w:type="pct"/>
                  <w:noWrap w:val="0"/>
                  <w:vAlign w:val="center"/>
                </w:tcPr>
                <w:p w14:paraId="600B913E">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89</w:t>
                  </w:r>
                </w:p>
              </w:tc>
              <w:tc>
                <w:tcPr>
                  <w:tcW w:w="456" w:type="pct"/>
                  <w:noWrap w:val="0"/>
                  <w:vAlign w:val="center"/>
                </w:tcPr>
                <w:p w14:paraId="6012FA57">
                  <w:pPr>
                    <w:pStyle w:val="58"/>
                    <w:keepNext w:val="0"/>
                    <w:keepLines w:val="0"/>
                    <w:pageBreakBefore w:val="0"/>
                    <w:kinsoku/>
                    <w:wordWrap/>
                    <w:overflowPunct/>
                    <w:topLinePunct w:val="0"/>
                    <w:autoSpaceDE/>
                    <w:autoSpaceDN/>
                    <w:bidi w:val="0"/>
                    <w:adjustRightInd w:val="0"/>
                    <w:snapToGrid w:val="0"/>
                    <w:spacing w:line="240" w:lineRule="auto"/>
                    <w:textAlignment w:val="auto"/>
                    <w:rPr>
                      <w:rFonts w:hint="default" w:eastAsia="宋体"/>
                      <w:color w:val="auto"/>
                      <w:sz w:val="21"/>
                      <w:szCs w:val="21"/>
                      <w:highlight w:val="none"/>
                      <w:lang w:val="en-US" w:eastAsia="zh-CN"/>
                    </w:rPr>
                  </w:pPr>
                  <w:r>
                    <w:rPr>
                      <w:rFonts w:hint="eastAsia"/>
                      <w:color w:val="auto"/>
                      <w:sz w:val="21"/>
                      <w:szCs w:val="21"/>
                      <w:highlight w:val="none"/>
                      <w:lang w:val="en-US" w:eastAsia="zh-CN"/>
                    </w:rPr>
                    <w:t>124</w:t>
                  </w:r>
                </w:p>
              </w:tc>
            </w:tr>
          </w:tbl>
          <w:p w14:paraId="1D4E6501">
            <w:pPr>
              <w:keepNext w:val="0"/>
              <w:keepLines w:val="0"/>
              <w:pageBreakBefore w:val="0"/>
              <w:widowControl w:val="0"/>
              <w:suppressLineNumbers w:val="0"/>
              <w:kinsoku/>
              <w:wordWrap/>
              <w:overflowPunct/>
              <w:topLinePunct w:val="0"/>
              <w:autoSpaceDE/>
              <w:autoSpaceDN/>
              <w:bidi w:val="0"/>
              <w:spacing w:before="0" w:beforeLines="0" w:beforeAutospacing="0" w:after="0" w:afterLines="0" w:afterAutospacing="0" w:line="384" w:lineRule="auto"/>
              <w:ind w:left="0" w:right="0"/>
              <w:jc w:val="center"/>
              <w:textAlignment w:val="auto"/>
              <w:rPr>
                <w:rFonts w:hint="default" w:ascii="Times New Roman" w:hAnsi="Times New Roman" w:eastAsia="宋体" w:cs="Times New Roman"/>
                <w:b/>
                <w:snapToGrid w:val="0"/>
                <w:color w:val="auto"/>
                <w:sz w:val="21"/>
                <w:szCs w:val="21"/>
                <w:highlight w:val="none"/>
              </w:rPr>
            </w:pPr>
          </w:p>
          <w:p w14:paraId="0C803AAF">
            <w:pPr>
              <w:keepNext w:val="0"/>
              <w:keepLines w:val="0"/>
              <w:pageBreakBefore w:val="0"/>
              <w:widowControl w:val="0"/>
              <w:suppressLineNumbers w:val="0"/>
              <w:kinsoku/>
              <w:wordWrap/>
              <w:overflowPunct/>
              <w:topLinePunct w:val="0"/>
              <w:autoSpaceDE/>
              <w:autoSpaceDN/>
              <w:bidi w:val="0"/>
              <w:spacing w:before="0" w:beforeLines="0" w:beforeAutospacing="0" w:after="0" w:afterLines="0" w:afterAutospacing="0" w:line="384" w:lineRule="auto"/>
              <w:ind w:left="0" w:right="0"/>
              <w:jc w:val="center"/>
              <w:textAlignment w:val="auto"/>
              <w:rPr>
                <w:rFonts w:hint="default" w:cs="宋体"/>
                <w:b/>
                <w:snapToGrid w:val="0"/>
                <w:color w:val="auto"/>
                <w:sz w:val="21"/>
                <w:szCs w:val="21"/>
                <w:highlight w:val="none"/>
              </w:rPr>
            </w:pPr>
            <w:r>
              <w:rPr>
                <w:rFonts w:hint="default" w:ascii="Times New Roman" w:hAnsi="Times New Roman" w:eastAsia="宋体" w:cs="Times New Roman"/>
                <w:b/>
                <w:snapToGrid w:val="0"/>
                <w:color w:val="auto"/>
                <w:sz w:val="21"/>
                <w:szCs w:val="21"/>
                <w:highlight w:val="none"/>
              </w:rPr>
              <w:t>表</w:t>
            </w:r>
            <w:r>
              <w:rPr>
                <w:rFonts w:hint="eastAsia" w:ascii="Times New Roman" w:hAnsi="Times New Roman" w:eastAsia="宋体" w:cs="Times New Roman"/>
                <w:b/>
                <w:snapToGrid w:val="0"/>
                <w:color w:val="auto"/>
                <w:sz w:val="21"/>
                <w:szCs w:val="21"/>
                <w:highlight w:val="none"/>
                <w:lang w:val="en-US" w:eastAsia="zh-CN"/>
              </w:rPr>
              <w:t xml:space="preserve"> </w:t>
            </w:r>
            <w:r>
              <w:rPr>
                <w:rFonts w:hint="default" w:ascii="Times New Roman" w:hAnsi="Times New Roman" w:eastAsia="宋体" w:cs="Times New Roman"/>
                <w:b/>
                <w:snapToGrid w:val="0"/>
                <w:color w:val="auto"/>
                <w:sz w:val="21"/>
                <w:szCs w:val="21"/>
                <w:highlight w:val="none"/>
              </w:rPr>
              <w:t>3-</w:t>
            </w:r>
            <w:r>
              <w:rPr>
                <w:rFonts w:hint="eastAsia" w:cs="Times New Roman"/>
                <w:b/>
                <w:snapToGrid w:val="0"/>
                <w:color w:val="auto"/>
                <w:sz w:val="21"/>
                <w:szCs w:val="21"/>
                <w:highlight w:val="none"/>
                <w:lang w:val="en-US" w:eastAsia="zh-CN"/>
              </w:rPr>
              <w:t>4</w:t>
            </w:r>
            <w:r>
              <w:rPr>
                <w:rFonts w:hint="eastAsia" w:ascii="Times New Roman" w:hAnsi="Times New Roman" w:eastAsia="宋体" w:cs="Times New Roman"/>
                <w:b/>
                <w:snapToGrid w:val="0"/>
                <w:color w:val="auto"/>
                <w:sz w:val="21"/>
                <w:szCs w:val="21"/>
                <w:highlight w:val="none"/>
                <w:lang w:eastAsia="zh-CN"/>
              </w:rPr>
              <w:t xml:space="preserve"> </w:t>
            </w:r>
            <w:r>
              <w:rPr>
                <w:rFonts w:hint="eastAsia" w:cs="Times New Roman"/>
                <w:b/>
                <w:snapToGrid w:val="0"/>
                <w:color w:val="auto"/>
                <w:sz w:val="21"/>
                <w:szCs w:val="21"/>
                <w:highlight w:val="none"/>
                <w:lang w:val="en-US" w:eastAsia="zh-CN"/>
              </w:rPr>
              <w:t xml:space="preserve"> </w:t>
            </w:r>
            <w:r>
              <w:rPr>
                <w:rFonts w:hint="default" w:ascii="Times New Roman" w:hAnsi="Times New Roman" w:eastAsia="宋体" w:cs="Times New Roman"/>
                <w:b/>
                <w:snapToGrid w:val="0"/>
                <w:color w:val="auto"/>
                <w:sz w:val="21"/>
                <w:szCs w:val="21"/>
                <w:highlight w:val="none"/>
              </w:rPr>
              <w:t>大气环境质量现状监测统计结果一览表</w:t>
            </w:r>
          </w:p>
          <w:tbl>
            <w:tblPr>
              <w:tblStyle w:val="25"/>
              <w:tblW w:w="7973"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1003"/>
              <w:gridCol w:w="1212"/>
              <w:gridCol w:w="1032"/>
              <w:gridCol w:w="856"/>
              <w:gridCol w:w="930"/>
              <w:gridCol w:w="925"/>
              <w:gridCol w:w="800"/>
              <w:gridCol w:w="597"/>
              <w:gridCol w:w="618"/>
            </w:tblGrid>
            <w:tr w14:paraId="2358184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7" w:hRule="atLeast"/>
                <w:jc w:val="center"/>
              </w:trPr>
              <w:tc>
                <w:tcPr>
                  <w:tcW w:w="1003" w:type="dxa"/>
                  <w:noWrap w:val="0"/>
                  <w:vAlign w:val="center"/>
                </w:tcPr>
                <w:p w14:paraId="0A13113E">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监测点</w:t>
                  </w:r>
                </w:p>
                <w:p w14:paraId="415976F5">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名称</w:t>
                  </w:r>
                </w:p>
              </w:tc>
              <w:tc>
                <w:tcPr>
                  <w:tcW w:w="1212" w:type="dxa"/>
                  <w:noWrap w:val="0"/>
                  <w:vAlign w:val="center"/>
                </w:tcPr>
                <w:p w14:paraId="181E8077">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监测因子</w:t>
                  </w:r>
                </w:p>
              </w:tc>
              <w:tc>
                <w:tcPr>
                  <w:tcW w:w="1032" w:type="dxa"/>
                  <w:noWrap w:val="0"/>
                  <w:vAlign w:val="center"/>
                </w:tcPr>
                <w:p w14:paraId="79441971">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平均</w:t>
                  </w:r>
                </w:p>
                <w:p w14:paraId="29C0AFA0">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时间</w:t>
                  </w:r>
                </w:p>
              </w:tc>
              <w:tc>
                <w:tcPr>
                  <w:tcW w:w="856" w:type="dxa"/>
                  <w:noWrap w:val="0"/>
                  <w:vAlign w:val="center"/>
                </w:tcPr>
                <w:p w14:paraId="71678186">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评价标准</w:t>
                  </w:r>
                </w:p>
                <w:p w14:paraId="770E146D">
                  <w:pPr>
                    <w:keepNext w:val="0"/>
                    <w:keepLines w:val="0"/>
                    <w:suppressLineNumbers w:val="0"/>
                    <w:autoSpaceDE/>
                    <w:autoSpaceDN/>
                    <w:spacing w:before="0" w:beforeLines="0" w:beforeAutospacing="0" w:after="0" w:afterLines="0" w:afterAutospacing="0" w:line="240" w:lineRule="auto"/>
                    <w:ind w:left="0" w:right="0"/>
                    <w:jc w:val="center"/>
                    <w:rPr>
                      <w:rFonts w:hint="eastAsia" w:eastAsia="宋体"/>
                      <w:color w:val="auto"/>
                      <w:sz w:val="21"/>
                      <w:szCs w:val="21"/>
                      <w:highlight w:val="none"/>
                      <w:lang w:eastAsia="zh-CN"/>
                    </w:rPr>
                  </w:pPr>
                  <w:r>
                    <w:rPr>
                      <w:rFonts w:hint="default" w:ascii="Times New Roman" w:hAnsi="Times New Roman" w:cs="Times New Roman"/>
                      <w:color w:val="auto"/>
                      <w:sz w:val="21"/>
                      <w:szCs w:val="21"/>
                      <w:highlight w:val="none"/>
                    </w:rPr>
                    <w:t>µ</w:t>
                  </w:r>
                  <w:r>
                    <w:rPr>
                      <w:rFonts w:hint="default"/>
                      <w:color w:val="auto"/>
                      <w:sz w:val="21"/>
                      <w:szCs w:val="21"/>
                      <w:highlight w:val="none"/>
                    </w:rPr>
                    <w:t>g/m³</w:t>
                  </w:r>
                </w:p>
              </w:tc>
              <w:tc>
                <w:tcPr>
                  <w:tcW w:w="1855" w:type="dxa"/>
                  <w:gridSpan w:val="2"/>
                  <w:noWrap w:val="0"/>
                  <w:vAlign w:val="center"/>
                </w:tcPr>
                <w:p w14:paraId="5F0CE6FC">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监测浓度范围</w:t>
                  </w:r>
                </w:p>
                <w:p w14:paraId="2EAF63C6">
                  <w:pPr>
                    <w:keepNext w:val="0"/>
                    <w:keepLines w:val="0"/>
                    <w:suppressLineNumbers w:val="0"/>
                    <w:autoSpaceDE/>
                    <w:autoSpaceDN/>
                    <w:spacing w:before="0" w:beforeLines="0" w:beforeAutospacing="0" w:after="0" w:afterLines="0" w:afterAutospacing="0" w:line="240" w:lineRule="auto"/>
                    <w:ind w:left="0" w:right="0"/>
                    <w:jc w:val="center"/>
                    <w:rPr>
                      <w:rFonts w:hint="eastAsia" w:eastAsia="宋体"/>
                      <w:color w:val="auto"/>
                      <w:sz w:val="21"/>
                      <w:szCs w:val="21"/>
                      <w:highlight w:val="none"/>
                      <w:lang w:eastAsia="zh-CN"/>
                    </w:rPr>
                  </w:pPr>
                  <w:r>
                    <w:rPr>
                      <w:rFonts w:hint="default" w:ascii="Times New Roman" w:hAnsi="Times New Roman" w:cs="Times New Roman"/>
                      <w:color w:val="auto"/>
                      <w:sz w:val="21"/>
                      <w:szCs w:val="21"/>
                      <w:highlight w:val="none"/>
                    </w:rPr>
                    <w:t>µ</w:t>
                  </w:r>
                  <w:r>
                    <w:rPr>
                      <w:rFonts w:hint="default"/>
                      <w:color w:val="auto"/>
                      <w:sz w:val="21"/>
                      <w:szCs w:val="21"/>
                      <w:highlight w:val="none"/>
                    </w:rPr>
                    <w:t>g/m³</w:t>
                  </w:r>
                </w:p>
              </w:tc>
              <w:tc>
                <w:tcPr>
                  <w:tcW w:w="800" w:type="dxa"/>
                  <w:noWrap w:val="0"/>
                  <w:vAlign w:val="center"/>
                </w:tcPr>
                <w:p w14:paraId="43186096">
                  <w:pPr>
                    <w:keepNext w:val="0"/>
                    <w:keepLines w:val="0"/>
                    <w:suppressLineNumbers w:val="0"/>
                    <w:autoSpaceDE/>
                    <w:autoSpaceDN/>
                    <w:spacing w:before="0" w:beforeLines="0" w:beforeAutospacing="0" w:after="0" w:afterLines="0" w:afterAutospacing="0" w:line="240" w:lineRule="auto"/>
                    <w:ind w:left="0" w:right="0"/>
                    <w:jc w:val="center"/>
                    <w:rPr>
                      <w:rFonts w:hint="eastAsia" w:eastAsia="宋体"/>
                      <w:color w:val="auto"/>
                      <w:sz w:val="21"/>
                      <w:szCs w:val="21"/>
                      <w:highlight w:val="none"/>
                      <w:lang w:val="en-US" w:eastAsia="zh-CN"/>
                    </w:rPr>
                  </w:pPr>
                  <w:r>
                    <w:rPr>
                      <w:rFonts w:hint="eastAsia"/>
                      <w:color w:val="auto"/>
                      <w:sz w:val="21"/>
                      <w:szCs w:val="21"/>
                      <w:highlight w:val="none"/>
                      <w:lang w:eastAsia="zh-CN"/>
                    </w:rPr>
                    <w:t>最大占标率（</w:t>
                  </w:r>
                  <w:r>
                    <w:rPr>
                      <w:rFonts w:hint="default"/>
                      <w:color w:val="auto"/>
                      <w:sz w:val="21"/>
                      <w:szCs w:val="21"/>
                      <w:highlight w:val="none"/>
                    </w:rPr>
                    <w:t>%</w:t>
                  </w:r>
                  <w:r>
                    <w:rPr>
                      <w:rFonts w:hint="eastAsia"/>
                      <w:color w:val="auto"/>
                      <w:sz w:val="21"/>
                      <w:szCs w:val="21"/>
                      <w:highlight w:val="none"/>
                      <w:lang w:eastAsia="zh-CN"/>
                    </w:rPr>
                    <w:t>）</w:t>
                  </w:r>
                </w:p>
              </w:tc>
              <w:tc>
                <w:tcPr>
                  <w:tcW w:w="597" w:type="dxa"/>
                  <w:noWrap w:val="0"/>
                  <w:vAlign w:val="center"/>
                </w:tcPr>
                <w:p w14:paraId="42B139A9">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超</w:t>
                  </w:r>
                  <w:r>
                    <w:rPr>
                      <w:rFonts w:hint="eastAsia"/>
                      <w:color w:val="auto"/>
                      <w:sz w:val="21"/>
                      <w:szCs w:val="21"/>
                      <w:highlight w:val="none"/>
                      <w:lang w:eastAsia="zh-CN"/>
                    </w:rPr>
                    <w:t>倍数数</w:t>
                  </w:r>
                </w:p>
              </w:tc>
              <w:tc>
                <w:tcPr>
                  <w:tcW w:w="618" w:type="dxa"/>
                  <w:noWrap w:val="0"/>
                  <w:vAlign w:val="center"/>
                </w:tcPr>
                <w:p w14:paraId="46952ADD">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达标</w:t>
                  </w:r>
                </w:p>
                <w:p w14:paraId="28B6CCCA">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rPr>
                  </w:pPr>
                  <w:r>
                    <w:rPr>
                      <w:rFonts w:hint="default"/>
                      <w:color w:val="auto"/>
                      <w:sz w:val="21"/>
                      <w:szCs w:val="21"/>
                      <w:highlight w:val="none"/>
                    </w:rPr>
                    <w:t>情况</w:t>
                  </w:r>
                </w:p>
              </w:tc>
            </w:tr>
            <w:tr w14:paraId="4D0BAC8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7" w:hRule="atLeast"/>
                <w:jc w:val="center"/>
              </w:trPr>
              <w:tc>
                <w:tcPr>
                  <w:tcW w:w="1003" w:type="dxa"/>
                  <w:noWrap w:val="0"/>
                  <w:vAlign w:val="center"/>
                </w:tcPr>
                <w:p w14:paraId="48E602FD">
                  <w:pPr>
                    <w:keepNext w:val="0"/>
                    <w:keepLines w:val="0"/>
                    <w:suppressLineNumbers w:val="0"/>
                    <w:spacing w:before="0" w:beforeLines="0" w:beforeAutospacing="0" w:after="0" w:afterLines="0" w:afterAutospacing="0" w:line="240" w:lineRule="auto"/>
                    <w:ind w:left="0" w:right="0"/>
                    <w:jc w:val="center"/>
                    <w:rPr>
                      <w:rFonts w:hint="eastAsia" w:eastAsia="宋体"/>
                      <w:color w:val="auto"/>
                      <w:sz w:val="21"/>
                      <w:szCs w:val="21"/>
                      <w:highlight w:val="none"/>
                      <w:lang w:eastAsia="zh-CN"/>
                    </w:rPr>
                  </w:pPr>
                  <w:r>
                    <w:rPr>
                      <w:rFonts w:hint="eastAsia" w:cs="Times New Roman"/>
                      <w:snapToGrid w:val="0"/>
                      <w:color w:val="auto"/>
                      <w:kern w:val="0"/>
                      <w:sz w:val="21"/>
                      <w:szCs w:val="21"/>
                      <w:highlight w:val="none"/>
                      <w:lang w:val="en-US" w:eastAsia="zh-CN" w:bidi="ar-SA"/>
                    </w:rPr>
                    <w:t>宋北村</w:t>
                  </w:r>
                </w:p>
              </w:tc>
              <w:tc>
                <w:tcPr>
                  <w:tcW w:w="1212" w:type="dxa"/>
                  <w:noWrap w:val="0"/>
                  <w:vAlign w:val="center"/>
                </w:tcPr>
                <w:p w14:paraId="15468207">
                  <w:pPr>
                    <w:keepNext w:val="0"/>
                    <w:keepLines w:val="0"/>
                    <w:suppressLineNumbers w:val="0"/>
                    <w:autoSpaceDE/>
                    <w:autoSpaceDN/>
                    <w:spacing w:before="0" w:beforeLines="0" w:beforeAutospacing="0" w:after="0" w:afterLines="0" w:afterAutospacing="0" w:line="240" w:lineRule="auto"/>
                    <w:ind w:left="0" w:right="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TSP</w:t>
                  </w:r>
                </w:p>
              </w:tc>
              <w:tc>
                <w:tcPr>
                  <w:tcW w:w="1032" w:type="dxa"/>
                  <w:noWrap w:val="0"/>
                  <w:vAlign w:val="center"/>
                </w:tcPr>
                <w:p w14:paraId="1B4C321E">
                  <w:pPr>
                    <w:keepNext w:val="0"/>
                    <w:keepLines w:val="0"/>
                    <w:widowControl w:val="0"/>
                    <w:suppressLineNumbers w:val="0"/>
                    <w:snapToGrid/>
                    <w:spacing w:before="0" w:beforeLines="0" w:beforeAutospacing="0" w:after="0" w:afterLines="0" w:afterAutospacing="0" w:line="240" w:lineRule="auto"/>
                    <w:ind w:left="0" w:leftChars="0" w:right="0" w:rightChars="0" w:firstLine="0" w:firstLineChars="0"/>
                    <w:jc w:val="center"/>
                    <w:rPr>
                      <w:rFonts w:hint="eastAsia"/>
                      <w:color w:val="auto"/>
                      <w:sz w:val="21"/>
                      <w:szCs w:val="21"/>
                      <w:highlight w:val="none"/>
                      <w:lang w:val="en-US" w:eastAsia="zh-CN"/>
                    </w:rPr>
                  </w:pPr>
                  <w:r>
                    <w:rPr>
                      <w:rFonts w:hint="eastAsia" w:cs="Times New Roman"/>
                      <w:snapToGrid w:val="0"/>
                      <w:color w:val="auto"/>
                      <w:kern w:val="0"/>
                      <w:sz w:val="21"/>
                      <w:szCs w:val="21"/>
                      <w:highlight w:val="none"/>
                      <w:lang w:val="en-US" w:eastAsia="zh-CN" w:bidi="ar-SA"/>
                    </w:rPr>
                    <w:t>24小时平均</w:t>
                  </w:r>
                  <w:r>
                    <w:rPr>
                      <w:rFonts w:hint="default" w:ascii="Times New Roman" w:hAnsi="Times New Roman" w:eastAsia="宋体" w:cs="Times New Roman"/>
                      <w:snapToGrid w:val="0"/>
                      <w:color w:val="auto"/>
                      <w:kern w:val="0"/>
                      <w:sz w:val="21"/>
                      <w:szCs w:val="21"/>
                      <w:highlight w:val="none"/>
                      <w:lang w:val="en-US" w:eastAsia="zh-CN" w:bidi="ar-SA"/>
                    </w:rPr>
                    <w:t>浓度</w:t>
                  </w:r>
                </w:p>
              </w:tc>
              <w:tc>
                <w:tcPr>
                  <w:tcW w:w="856" w:type="dxa"/>
                  <w:noWrap w:val="0"/>
                  <w:vAlign w:val="center"/>
                </w:tcPr>
                <w:p w14:paraId="7915ADA8">
                  <w:pPr>
                    <w:keepNext w:val="0"/>
                    <w:keepLines w:val="0"/>
                    <w:suppressLineNumbers w:val="0"/>
                    <w:autoSpaceDE/>
                    <w:autoSpaceDN/>
                    <w:spacing w:before="0" w:beforeLines="0" w:beforeAutospacing="0" w:after="0" w:afterLines="0" w:afterAutospacing="0" w:line="240" w:lineRule="auto"/>
                    <w:ind w:left="0" w:right="0"/>
                    <w:jc w:val="center"/>
                    <w:rPr>
                      <w:rFonts w:hint="default"/>
                      <w:color w:val="auto"/>
                      <w:sz w:val="21"/>
                      <w:szCs w:val="21"/>
                      <w:highlight w:val="none"/>
                      <w:lang w:val="en-US" w:eastAsia="zh-CN"/>
                    </w:rPr>
                  </w:pPr>
                  <w:r>
                    <w:rPr>
                      <w:rFonts w:hint="eastAsia"/>
                      <w:color w:val="auto"/>
                      <w:sz w:val="21"/>
                      <w:szCs w:val="21"/>
                      <w:highlight w:val="none"/>
                      <w:lang w:val="en-US" w:eastAsia="zh-CN"/>
                    </w:rPr>
                    <w:t>300</w:t>
                  </w:r>
                </w:p>
              </w:tc>
              <w:tc>
                <w:tcPr>
                  <w:tcW w:w="930" w:type="dxa"/>
                  <w:tcBorders>
                    <w:right w:val="single" w:color="auto" w:sz="4" w:space="0"/>
                  </w:tcBorders>
                  <w:noWrap w:val="0"/>
                  <w:vAlign w:val="center"/>
                </w:tcPr>
                <w:p w14:paraId="4206B58E">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1月11日-1月17日</w:t>
                  </w:r>
                </w:p>
              </w:tc>
              <w:tc>
                <w:tcPr>
                  <w:tcW w:w="925" w:type="dxa"/>
                  <w:tcBorders>
                    <w:left w:val="single" w:color="auto" w:sz="4" w:space="0"/>
                  </w:tcBorders>
                  <w:noWrap w:val="0"/>
                  <w:vAlign w:val="center"/>
                </w:tcPr>
                <w:p w14:paraId="469A7199">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89-152</w:t>
                  </w:r>
                </w:p>
              </w:tc>
              <w:tc>
                <w:tcPr>
                  <w:tcW w:w="800" w:type="dxa"/>
                  <w:noWrap w:val="0"/>
                  <w:vAlign w:val="center"/>
                </w:tcPr>
                <w:p w14:paraId="403DC735">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51</w:t>
                  </w:r>
                </w:p>
              </w:tc>
              <w:tc>
                <w:tcPr>
                  <w:tcW w:w="597" w:type="dxa"/>
                  <w:noWrap w:val="0"/>
                  <w:vAlign w:val="center"/>
                </w:tcPr>
                <w:p w14:paraId="38E8CD68">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w:t>
                  </w:r>
                </w:p>
              </w:tc>
              <w:tc>
                <w:tcPr>
                  <w:tcW w:w="618" w:type="dxa"/>
                  <w:noWrap w:val="0"/>
                  <w:vAlign w:val="center"/>
                </w:tcPr>
                <w:p w14:paraId="0B5E1A86">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color w:val="auto"/>
                      <w:sz w:val="21"/>
                      <w:szCs w:val="21"/>
                      <w:highlight w:val="none"/>
                    </w:rPr>
                  </w:pPr>
                  <w:r>
                    <w:rPr>
                      <w:rFonts w:hint="default"/>
                      <w:color w:val="auto"/>
                      <w:sz w:val="21"/>
                      <w:szCs w:val="21"/>
                      <w:highlight w:val="none"/>
                    </w:rPr>
                    <w:t>达标</w:t>
                  </w:r>
                </w:p>
              </w:tc>
            </w:tr>
          </w:tbl>
          <w:p w14:paraId="68A9E491">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384" w:lineRule="auto"/>
              <w:ind w:left="0" w:right="0" w:firstLine="420" w:firstLineChars="200"/>
              <w:jc w:val="both"/>
              <w:rPr>
                <w:rFonts w:hint="default" w:ascii="Times New Roman" w:hAnsi="Times New Roman" w:eastAsia="宋体" w:cs="Times New Roman"/>
                <w:snapToGrid/>
                <w:color w:val="auto"/>
                <w:kern w:val="0"/>
                <w:sz w:val="21"/>
                <w:szCs w:val="21"/>
                <w:highlight w:val="none"/>
                <w:lang w:val="en-US" w:eastAsia="zh-CN" w:bidi="ar-SA"/>
              </w:rPr>
            </w:pPr>
            <w:r>
              <w:rPr>
                <w:rFonts w:hint="eastAsia" w:cs="Times New Roman"/>
                <w:snapToGrid/>
                <w:color w:val="auto"/>
                <w:kern w:val="0"/>
                <w:sz w:val="21"/>
                <w:szCs w:val="21"/>
                <w:highlight w:val="none"/>
                <w:lang w:val="zh-CN" w:eastAsia="zh-CN" w:bidi="ar-SA"/>
              </w:rPr>
              <w:t>根据监测报告</w:t>
            </w:r>
            <w:r>
              <w:rPr>
                <w:rFonts w:hint="default" w:ascii="Times New Roman" w:hAnsi="Times New Roman" w:eastAsia="宋体" w:cs="Times New Roman"/>
                <w:snapToGrid/>
                <w:color w:val="auto"/>
                <w:kern w:val="0"/>
                <w:sz w:val="21"/>
                <w:szCs w:val="21"/>
                <w:highlight w:val="none"/>
                <w:lang w:val="zh-CN" w:eastAsia="zh-CN" w:bidi="ar-SA"/>
              </w:rPr>
              <w:t>，</w:t>
            </w:r>
            <w:r>
              <w:rPr>
                <w:rFonts w:hint="eastAsia" w:cs="Times New Roman"/>
                <w:snapToGrid/>
                <w:color w:val="auto"/>
                <w:kern w:val="0"/>
                <w:sz w:val="21"/>
                <w:szCs w:val="21"/>
                <w:highlight w:val="none"/>
                <w:lang w:val="en-US" w:eastAsia="zh-CN" w:bidi="ar-SA"/>
              </w:rPr>
              <w:t>TSP24小时浓度满足</w:t>
            </w:r>
            <w:r>
              <w:rPr>
                <w:color w:val="auto"/>
                <w:sz w:val="21"/>
                <w:szCs w:val="21"/>
                <w:highlight w:val="none"/>
              </w:rPr>
              <w:t>《环境空气质量标准》（GB</w:t>
            </w:r>
            <w:r>
              <w:rPr>
                <w:rFonts w:hint="eastAsia" w:ascii="Times New Roman" w:eastAsia="宋体"/>
                <w:color w:val="auto"/>
                <w:sz w:val="21"/>
                <w:szCs w:val="21"/>
                <w:highlight w:val="none"/>
                <w:lang w:val="en-US" w:eastAsia="zh-CN"/>
              </w:rPr>
              <w:t xml:space="preserve"> </w:t>
            </w:r>
            <w:r>
              <w:rPr>
                <w:color w:val="auto"/>
                <w:sz w:val="21"/>
                <w:szCs w:val="21"/>
                <w:highlight w:val="none"/>
              </w:rPr>
              <w:t>3095-20</w:t>
            </w:r>
            <w:r>
              <w:rPr>
                <w:rFonts w:hint="eastAsia"/>
                <w:color w:val="auto"/>
                <w:sz w:val="21"/>
                <w:szCs w:val="21"/>
                <w:highlight w:val="none"/>
                <w:lang w:val="en-US" w:eastAsia="zh-CN"/>
              </w:rPr>
              <w:t>26</w:t>
            </w:r>
            <w:r>
              <w:rPr>
                <w:color w:val="auto"/>
                <w:sz w:val="21"/>
                <w:szCs w:val="21"/>
                <w:highlight w:val="none"/>
              </w:rPr>
              <w:t>）</w:t>
            </w:r>
            <w:r>
              <w:rPr>
                <w:rFonts w:hint="eastAsia"/>
                <w:color w:val="auto"/>
                <w:sz w:val="21"/>
                <w:szCs w:val="21"/>
                <w:highlight w:val="none"/>
                <w:lang w:val="en-US" w:eastAsia="zh-CN"/>
              </w:rPr>
              <w:t>表2</w:t>
            </w:r>
            <w:r>
              <w:rPr>
                <w:color w:val="auto"/>
                <w:sz w:val="21"/>
                <w:szCs w:val="21"/>
                <w:highlight w:val="none"/>
              </w:rPr>
              <w:t>二级标准</w:t>
            </w:r>
            <w:r>
              <w:rPr>
                <w:rFonts w:hint="eastAsia" w:cs="Times New Roman"/>
                <w:snapToGrid/>
                <w:color w:val="auto"/>
                <w:kern w:val="0"/>
                <w:sz w:val="21"/>
                <w:szCs w:val="21"/>
                <w:highlight w:val="none"/>
                <w:lang w:val="en-US" w:eastAsia="zh-CN" w:bidi="ar-SA"/>
              </w:rPr>
              <w:t>。</w:t>
            </w:r>
          </w:p>
          <w:p w14:paraId="28793746">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（二）地表水环境</w:t>
            </w:r>
          </w:p>
          <w:p w14:paraId="3123F0C9">
            <w:pPr>
              <w:keepNext w:val="0"/>
              <w:keepLines w:val="0"/>
              <w:pageBreakBefore w:val="0"/>
              <w:widowControl w:val="0"/>
              <w:kinsoku/>
              <w:wordWrap/>
              <w:overflowPunct/>
              <w:topLinePunct w:val="0"/>
              <w:autoSpaceDE/>
              <w:autoSpaceDN/>
              <w:bidi w:val="0"/>
              <w:adjustRightInd/>
              <w:snapToGrid/>
              <w:spacing w:beforeLines="0" w:afterLines="0" w:line="384" w:lineRule="auto"/>
              <w:ind w:firstLine="420" w:firstLineChars="200"/>
              <w:jc w:val="both"/>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项目区域内地表河流主要为汪洋沟。</w:t>
            </w:r>
            <w:r>
              <w:rPr>
                <w:rFonts w:hint="default" w:cs="Times New Roman"/>
                <w:color w:val="auto"/>
                <w:sz w:val="21"/>
                <w:szCs w:val="21"/>
                <w:highlight w:val="none"/>
                <w:lang w:val="en-US" w:eastAsia="zh-CN"/>
              </w:rPr>
              <w:t>根据石家庄市生态环境局202</w:t>
            </w:r>
            <w:r>
              <w:rPr>
                <w:rFonts w:hint="eastAsia" w:cs="Times New Roman"/>
                <w:color w:val="auto"/>
                <w:sz w:val="21"/>
                <w:szCs w:val="21"/>
                <w:highlight w:val="none"/>
                <w:lang w:val="en-US" w:eastAsia="zh-CN"/>
              </w:rPr>
              <w:t>5</w:t>
            </w:r>
            <w:r>
              <w:rPr>
                <w:rFonts w:hint="default" w:cs="Times New Roman"/>
                <w:color w:val="auto"/>
                <w:sz w:val="21"/>
                <w:szCs w:val="21"/>
                <w:highlight w:val="none"/>
                <w:lang w:val="en-US" w:eastAsia="zh-CN"/>
              </w:rPr>
              <w:t>年6月发布的《202</w:t>
            </w:r>
            <w:r>
              <w:rPr>
                <w:rFonts w:hint="eastAsia" w:cs="Times New Roman"/>
                <w:color w:val="auto"/>
                <w:sz w:val="21"/>
                <w:szCs w:val="21"/>
                <w:highlight w:val="none"/>
                <w:lang w:val="en-US" w:eastAsia="zh-CN"/>
              </w:rPr>
              <w:t>4</w:t>
            </w:r>
            <w:r>
              <w:rPr>
                <w:rFonts w:hint="default" w:cs="Times New Roman"/>
                <w:color w:val="auto"/>
                <w:sz w:val="21"/>
                <w:szCs w:val="21"/>
                <w:highlight w:val="none"/>
                <w:lang w:val="en-US" w:eastAsia="zh-CN"/>
              </w:rPr>
              <w:t>年石家庄市生态环境状况公报》可知，全市12个地表水国省考断面中（</w:t>
            </w:r>
            <w:r>
              <w:rPr>
                <w:rFonts w:hint="eastAsia" w:cs="Times New Roman"/>
                <w:color w:val="auto"/>
                <w:sz w:val="21"/>
                <w:szCs w:val="21"/>
                <w:highlight w:val="none"/>
                <w:lang w:val="en-US" w:eastAsia="zh-CN"/>
              </w:rPr>
              <w:t>2</w:t>
            </w:r>
            <w:r>
              <w:rPr>
                <w:rFonts w:hint="default" w:cs="Times New Roman"/>
                <w:color w:val="auto"/>
                <w:sz w:val="21"/>
                <w:szCs w:val="21"/>
                <w:highlight w:val="none"/>
                <w:lang w:val="en-US" w:eastAsia="zh-CN"/>
              </w:rPr>
              <w:t>个监测断面长期断流无数据，Ⅰ～Ⅲ类水质断面共计8个，占比80.0%，Ⅳ类水质断面共计2个，占比20.0%，无Ⅴ类、劣Ⅴ类水。</w:t>
            </w:r>
            <w:r>
              <w:rPr>
                <w:rFonts w:hint="eastAsia" w:cs="Times New Roman"/>
                <w:color w:val="auto"/>
                <w:sz w:val="21"/>
                <w:szCs w:val="21"/>
                <w:highlight w:val="none"/>
                <w:lang w:val="en-US" w:eastAsia="zh-CN"/>
              </w:rPr>
              <w:t>汪洋沟水质状况为轻</w:t>
            </w:r>
            <w:r>
              <w:rPr>
                <w:rFonts w:hint="default" w:cs="Times New Roman"/>
                <w:color w:val="auto"/>
                <w:sz w:val="21"/>
                <w:szCs w:val="21"/>
                <w:highlight w:val="none"/>
                <w:lang w:val="en-US" w:eastAsia="zh-CN"/>
              </w:rPr>
              <w:t>度污染。</w:t>
            </w:r>
          </w:p>
          <w:p w14:paraId="18D7E927">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（三）</w:t>
            </w:r>
            <w:r>
              <w:rPr>
                <w:rFonts w:hint="default" w:ascii="Times New Roman" w:hAnsi="Times New Roman" w:eastAsia="宋体" w:cs="Times New Roman"/>
                <w:b/>
                <w:bCs w:val="0"/>
                <w:color w:val="auto"/>
                <w:kern w:val="2"/>
                <w:sz w:val="21"/>
                <w:szCs w:val="21"/>
                <w:highlight w:val="none"/>
                <w:lang w:val="en-US" w:eastAsia="zh-CN" w:bidi="ar-SA"/>
              </w:rPr>
              <w:t>声环境</w:t>
            </w:r>
          </w:p>
          <w:p w14:paraId="733EEACE">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本项目厂界外</w:t>
            </w:r>
            <w:r>
              <w:rPr>
                <w:rFonts w:hint="eastAsia" w:ascii="Times New Roman" w:hAnsi="Times New Roman" w:eastAsia="宋体" w:cs="Times New Roman"/>
                <w:b w:val="0"/>
                <w:bCs/>
                <w:color w:val="auto"/>
                <w:kern w:val="2"/>
                <w:sz w:val="21"/>
                <w:szCs w:val="21"/>
                <w:highlight w:val="none"/>
                <w:lang w:val="en-US" w:eastAsia="zh-CN" w:bidi="ar-SA"/>
              </w:rPr>
              <w:t>周边</w:t>
            </w:r>
            <w:r>
              <w:rPr>
                <w:rFonts w:hint="default" w:ascii="Times New Roman" w:hAnsi="Times New Roman" w:eastAsia="宋体" w:cs="Times New Roman"/>
                <w:b w:val="0"/>
                <w:bCs/>
                <w:color w:val="auto"/>
                <w:kern w:val="2"/>
                <w:sz w:val="21"/>
                <w:szCs w:val="21"/>
                <w:highlight w:val="none"/>
                <w:lang w:val="en-US" w:eastAsia="zh-CN" w:bidi="ar-SA"/>
              </w:rPr>
              <w:t>50m范围</w:t>
            </w:r>
            <w:r>
              <w:rPr>
                <w:rFonts w:hint="eastAsia" w:ascii="Times New Roman" w:hAnsi="Times New Roman" w:eastAsia="宋体" w:cs="Times New Roman"/>
                <w:b w:val="0"/>
                <w:bCs/>
                <w:color w:val="auto"/>
                <w:kern w:val="2"/>
                <w:sz w:val="21"/>
                <w:szCs w:val="21"/>
                <w:highlight w:val="none"/>
                <w:lang w:val="en-US" w:eastAsia="zh-CN" w:bidi="ar-SA"/>
              </w:rPr>
              <w:t>内不存在声环境保护目标，故本次不需进行声环境质量现状监测。</w:t>
            </w:r>
          </w:p>
          <w:p w14:paraId="1BCEE368">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（四）</w:t>
            </w:r>
            <w:r>
              <w:rPr>
                <w:rFonts w:hint="default" w:ascii="Times New Roman" w:hAnsi="Times New Roman" w:eastAsia="宋体" w:cs="Times New Roman"/>
                <w:b/>
                <w:bCs w:val="0"/>
                <w:color w:val="auto"/>
                <w:kern w:val="2"/>
                <w:sz w:val="21"/>
                <w:szCs w:val="21"/>
                <w:highlight w:val="none"/>
                <w:lang w:val="en-US" w:eastAsia="zh-CN" w:bidi="ar-SA"/>
              </w:rPr>
              <w:t>生态环境</w:t>
            </w:r>
          </w:p>
          <w:p w14:paraId="1017EFBD">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0" w:firstLineChars="200"/>
              <w:jc w:val="both"/>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本项目</w:t>
            </w:r>
            <w:r>
              <w:rPr>
                <w:rFonts w:hint="eastAsia" w:cs="Times New Roman"/>
                <w:b w:val="0"/>
                <w:bCs/>
                <w:color w:val="auto"/>
                <w:kern w:val="2"/>
                <w:sz w:val="21"/>
                <w:szCs w:val="21"/>
                <w:highlight w:val="none"/>
                <w:lang w:val="en-US" w:eastAsia="zh-CN" w:bidi="ar-SA"/>
              </w:rPr>
              <w:t>在</w:t>
            </w:r>
            <w:r>
              <w:rPr>
                <w:rFonts w:hint="default" w:ascii="Times New Roman" w:hAnsi="Times New Roman" w:eastAsia="宋体" w:cs="Times New Roman"/>
                <w:b w:val="0"/>
                <w:bCs/>
                <w:color w:val="auto"/>
                <w:kern w:val="2"/>
                <w:sz w:val="21"/>
                <w:szCs w:val="21"/>
                <w:highlight w:val="none"/>
                <w:lang w:val="en-US" w:eastAsia="zh-CN" w:bidi="ar-SA"/>
              </w:rPr>
              <w:t>现有</w:t>
            </w:r>
            <w:r>
              <w:rPr>
                <w:rFonts w:hint="eastAsia" w:ascii="Times New Roman" w:hAnsi="Times New Roman" w:eastAsia="宋体" w:cs="Times New Roman"/>
                <w:b w:val="0"/>
                <w:bCs/>
                <w:color w:val="auto"/>
                <w:kern w:val="2"/>
                <w:sz w:val="21"/>
                <w:szCs w:val="21"/>
                <w:highlight w:val="none"/>
                <w:lang w:val="en-US" w:eastAsia="zh-CN" w:bidi="ar-SA"/>
              </w:rPr>
              <w:t>厂区</w:t>
            </w:r>
            <w:r>
              <w:rPr>
                <w:rFonts w:hint="default" w:ascii="Times New Roman" w:hAnsi="Times New Roman" w:eastAsia="宋体" w:cs="Times New Roman"/>
                <w:b w:val="0"/>
                <w:bCs/>
                <w:color w:val="auto"/>
                <w:kern w:val="2"/>
                <w:sz w:val="21"/>
                <w:szCs w:val="21"/>
                <w:highlight w:val="none"/>
                <w:lang w:val="en-US" w:eastAsia="zh-CN" w:bidi="ar-SA"/>
              </w:rPr>
              <w:t>进行建设，不新增建设用地且</w:t>
            </w:r>
            <w:r>
              <w:rPr>
                <w:rFonts w:hint="eastAsia" w:ascii="Times New Roman" w:hAnsi="Times New Roman" w:eastAsia="宋体" w:cs="Times New Roman"/>
                <w:b w:val="0"/>
                <w:bCs/>
                <w:color w:val="auto"/>
                <w:kern w:val="2"/>
                <w:sz w:val="21"/>
                <w:szCs w:val="21"/>
                <w:highlight w:val="none"/>
                <w:lang w:val="en-US" w:eastAsia="zh-CN" w:bidi="ar-SA"/>
              </w:rPr>
              <w:t>用地范围内无生态环境保护目标，不再进行生态现状调查</w:t>
            </w:r>
            <w:r>
              <w:rPr>
                <w:rFonts w:hint="default" w:ascii="Times New Roman" w:hAnsi="Times New Roman" w:eastAsia="宋体" w:cs="Times New Roman"/>
                <w:b w:val="0"/>
                <w:bCs/>
                <w:color w:val="auto"/>
                <w:kern w:val="2"/>
                <w:sz w:val="21"/>
                <w:szCs w:val="21"/>
                <w:highlight w:val="none"/>
                <w:lang w:val="en-US" w:eastAsia="zh-CN" w:bidi="ar-SA"/>
              </w:rPr>
              <w:t>。</w:t>
            </w:r>
          </w:p>
          <w:p w14:paraId="67A1245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（五）</w:t>
            </w:r>
            <w:r>
              <w:rPr>
                <w:rFonts w:hint="default" w:ascii="Times New Roman" w:hAnsi="Times New Roman" w:eastAsia="宋体" w:cs="Times New Roman"/>
                <w:b/>
                <w:bCs w:val="0"/>
                <w:color w:val="auto"/>
                <w:kern w:val="2"/>
                <w:sz w:val="21"/>
                <w:szCs w:val="21"/>
                <w:highlight w:val="none"/>
                <w:lang w:val="en-US" w:eastAsia="zh-CN" w:bidi="ar-SA"/>
              </w:rPr>
              <w:t>电磁辐射</w:t>
            </w:r>
          </w:p>
          <w:p w14:paraId="5ED6CDA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本项目为食品及饲料添加剂制造项目</w:t>
            </w:r>
            <w:r>
              <w:rPr>
                <w:rFonts w:hint="eastAsia" w:ascii="Times New Roman" w:hAnsi="Times New Roman" w:eastAsia="宋体" w:cs="Times New Roman"/>
                <w:b w:val="0"/>
                <w:bCs/>
                <w:color w:val="auto"/>
                <w:kern w:val="2"/>
                <w:sz w:val="21"/>
                <w:szCs w:val="21"/>
                <w:highlight w:val="none"/>
                <w:lang w:val="en-US" w:eastAsia="zh-CN" w:bidi="ar-SA"/>
              </w:rPr>
              <w:t>，不属于</w:t>
            </w:r>
            <w:r>
              <w:rPr>
                <w:rFonts w:hint="default" w:ascii="Times New Roman" w:hAnsi="Times New Roman" w:eastAsia="宋体" w:cs="Times New Roman"/>
                <w:b w:val="0"/>
                <w:bCs/>
                <w:color w:val="auto"/>
                <w:kern w:val="2"/>
                <w:sz w:val="21"/>
                <w:szCs w:val="21"/>
                <w:highlight w:val="none"/>
                <w:lang w:val="en-US" w:eastAsia="zh-CN" w:bidi="ar-SA"/>
              </w:rPr>
              <w:t>电磁辐射</w:t>
            </w:r>
            <w:r>
              <w:rPr>
                <w:rFonts w:hint="eastAsia" w:ascii="Times New Roman" w:hAnsi="Times New Roman" w:eastAsia="宋体" w:cs="Times New Roman"/>
                <w:b w:val="0"/>
                <w:bCs/>
                <w:color w:val="auto"/>
                <w:kern w:val="2"/>
                <w:sz w:val="21"/>
                <w:szCs w:val="21"/>
                <w:highlight w:val="none"/>
                <w:lang w:val="en-US" w:eastAsia="zh-CN" w:bidi="ar-SA"/>
              </w:rPr>
              <w:t>类</w:t>
            </w:r>
            <w:r>
              <w:rPr>
                <w:rFonts w:hint="default" w:ascii="Times New Roman" w:hAnsi="Times New Roman" w:eastAsia="宋体" w:cs="Times New Roman"/>
                <w:b w:val="0"/>
                <w:bCs/>
                <w:color w:val="auto"/>
                <w:kern w:val="2"/>
                <w:sz w:val="21"/>
                <w:szCs w:val="21"/>
                <w:highlight w:val="none"/>
                <w:lang w:val="en-US" w:eastAsia="zh-CN" w:bidi="ar-SA"/>
              </w:rPr>
              <w:t>项目，</w:t>
            </w:r>
            <w:r>
              <w:rPr>
                <w:rFonts w:hint="eastAsia" w:ascii="Times New Roman" w:hAnsi="Times New Roman" w:eastAsia="宋体" w:cs="Times New Roman"/>
                <w:b w:val="0"/>
                <w:bCs/>
                <w:color w:val="auto"/>
                <w:kern w:val="2"/>
                <w:sz w:val="21"/>
                <w:szCs w:val="21"/>
                <w:highlight w:val="none"/>
                <w:lang w:val="en-US" w:eastAsia="zh-CN" w:bidi="ar-SA"/>
              </w:rPr>
              <w:t>不</w:t>
            </w:r>
            <w:r>
              <w:rPr>
                <w:rFonts w:hint="default" w:ascii="Times New Roman" w:hAnsi="Times New Roman" w:eastAsia="宋体" w:cs="Times New Roman"/>
                <w:b w:val="0"/>
                <w:bCs/>
                <w:color w:val="auto"/>
                <w:kern w:val="2"/>
                <w:sz w:val="21"/>
                <w:szCs w:val="21"/>
                <w:highlight w:val="none"/>
                <w:lang w:val="en-US" w:eastAsia="zh-CN" w:bidi="ar-SA"/>
              </w:rPr>
              <w:t>需开展电磁辐射现状</w:t>
            </w:r>
            <w:r>
              <w:rPr>
                <w:rFonts w:hint="eastAsia" w:ascii="Times New Roman" w:hAnsi="Times New Roman" w:eastAsia="宋体" w:cs="Times New Roman"/>
                <w:b w:val="0"/>
                <w:bCs/>
                <w:color w:val="auto"/>
                <w:kern w:val="2"/>
                <w:sz w:val="21"/>
                <w:szCs w:val="21"/>
                <w:highlight w:val="none"/>
                <w:lang w:val="en-US" w:eastAsia="zh-CN" w:bidi="ar-SA"/>
              </w:rPr>
              <w:t>监测与评价</w:t>
            </w:r>
            <w:r>
              <w:rPr>
                <w:rFonts w:hint="default" w:ascii="Times New Roman" w:hAnsi="Times New Roman" w:eastAsia="宋体" w:cs="Times New Roman"/>
                <w:b w:val="0"/>
                <w:bCs/>
                <w:color w:val="auto"/>
                <w:kern w:val="2"/>
                <w:sz w:val="21"/>
                <w:szCs w:val="21"/>
                <w:highlight w:val="none"/>
                <w:lang w:val="en-US" w:eastAsia="zh-CN" w:bidi="ar-SA"/>
              </w:rPr>
              <w:t>。</w:t>
            </w:r>
          </w:p>
          <w:p w14:paraId="7969ABF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84"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（六）</w:t>
            </w:r>
            <w:r>
              <w:rPr>
                <w:rFonts w:hint="default" w:ascii="Times New Roman" w:hAnsi="Times New Roman" w:eastAsia="宋体" w:cs="Times New Roman"/>
                <w:b/>
                <w:bCs w:val="0"/>
                <w:color w:val="auto"/>
                <w:kern w:val="2"/>
                <w:sz w:val="21"/>
                <w:szCs w:val="21"/>
                <w:highlight w:val="none"/>
                <w:lang w:val="en-US" w:eastAsia="zh-CN" w:bidi="ar-SA"/>
              </w:rPr>
              <w:t>地下水、土壤环境</w:t>
            </w:r>
          </w:p>
          <w:p w14:paraId="7E86714B">
            <w:pPr>
              <w:keepNext w:val="0"/>
              <w:keepLines w:val="0"/>
              <w:pageBreakBefore w:val="0"/>
              <w:widowControl w:val="0"/>
              <w:kinsoku/>
              <w:wordWrap/>
              <w:overflowPunct/>
              <w:topLinePunct w:val="0"/>
              <w:autoSpaceDE/>
              <w:autoSpaceDN/>
              <w:bidi w:val="0"/>
              <w:adjustRightInd/>
              <w:snapToGrid/>
              <w:spacing w:beforeLines="0" w:afterLines="0" w:line="384" w:lineRule="auto"/>
              <w:ind w:firstLine="420" w:firstLineChars="200"/>
              <w:jc w:val="both"/>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项目废水经厂区污水站处理后，经园区污水管网排入石家庄高新区循化环境水务有限公司（良村南污水处理厂）进一步处理，项目废水不直接排入地表水体，对地表水环境影响较小。项目厂区已采取完善的防渗措施，不存在地下水土壤污染途径</w:t>
            </w:r>
            <w:r>
              <w:rPr>
                <w:rFonts w:hint="default" w:ascii="Times New Roman" w:hAnsi="Times New Roman" w:eastAsia="宋体" w:cs="Times New Roman"/>
                <w:color w:val="auto"/>
                <w:sz w:val="21"/>
                <w:szCs w:val="21"/>
                <w:highlight w:val="none"/>
              </w:rPr>
              <w:t>，故不开展地下水和土壤环境质量现状调查。</w:t>
            </w:r>
          </w:p>
        </w:tc>
      </w:tr>
      <w:tr w14:paraId="4BD460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71" w:hRule="atLeast"/>
          <w:jc w:val="center"/>
        </w:trPr>
        <w:tc>
          <w:tcPr>
            <w:tcW w:w="760" w:type="dxa"/>
            <w:noWrap w:val="0"/>
            <w:vAlign w:val="center"/>
          </w:tcPr>
          <w:p w14:paraId="353646C8">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环境</w:t>
            </w:r>
          </w:p>
          <w:p w14:paraId="29AFE34B">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保护</w:t>
            </w:r>
          </w:p>
          <w:p w14:paraId="1CE67210">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目标</w:t>
            </w:r>
          </w:p>
        </w:tc>
        <w:tc>
          <w:tcPr>
            <w:tcW w:w="8301" w:type="dxa"/>
            <w:noWrap w:val="0"/>
            <w:vAlign w:val="center"/>
          </w:tcPr>
          <w:p w14:paraId="73610204">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（一）大气环境</w:t>
            </w:r>
          </w:p>
          <w:p w14:paraId="10D4754E">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Cs/>
                <w:color w:val="auto"/>
                <w:sz w:val="21"/>
                <w:szCs w:val="21"/>
                <w:highlight w:val="none"/>
              </w:rPr>
              <w:t>本项目位于石家庄高新技术产业开发区</w:t>
            </w:r>
            <w:r>
              <w:rPr>
                <w:rFonts w:hint="eastAsia" w:cs="Times New Roman"/>
                <w:bCs/>
                <w:color w:val="auto"/>
                <w:sz w:val="21"/>
                <w:szCs w:val="21"/>
                <w:highlight w:val="none"/>
                <w:lang w:val="en-US" w:eastAsia="zh-CN"/>
              </w:rPr>
              <w:t>循环化工园区</w:t>
            </w:r>
            <w:r>
              <w:rPr>
                <w:rFonts w:hint="default" w:ascii="Times New Roman" w:hAnsi="Times New Roman" w:eastAsia="宋体" w:cs="Times New Roman"/>
                <w:bCs/>
                <w:color w:val="auto"/>
                <w:sz w:val="21"/>
                <w:szCs w:val="21"/>
                <w:highlight w:val="none"/>
              </w:rPr>
              <w:t>内，项目厂界外500m范围内无自然保护区、风景名胜区、</w:t>
            </w:r>
            <w:r>
              <w:rPr>
                <w:rFonts w:hint="default" w:ascii="Times New Roman" w:hAnsi="Times New Roman" w:eastAsia="宋体" w:cs="Times New Roman"/>
                <w:bCs/>
                <w:color w:val="auto"/>
                <w:sz w:val="21"/>
                <w:szCs w:val="21"/>
                <w:highlight w:val="none"/>
                <w:lang w:val="en-US" w:eastAsia="zh-CN"/>
              </w:rPr>
              <w:t>文化区和农村地区中人群较集中的区域</w:t>
            </w:r>
            <w:r>
              <w:rPr>
                <w:rFonts w:hint="default" w:ascii="Times New Roman" w:hAnsi="Times New Roman" w:eastAsia="宋体" w:cs="Times New Roman"/>
                <w:bCs/>
                <w:color w:val="auto"/>
                <w:sz w:val="21"/>
                <w:szCs w:val="21"/>
                <w:highlight w:val="none"/>
              </w:rPr>
              <w:t>。</w:t>
            </w:r>
            <w:r>
              <w:rPr>
                <w:rFonts w:hint="eastAsia" w:cs="Times New Roman"/>
                <w:bCs/>
                <w:color w:val="auto"/>
                <w:sz w:val="21"/>
                <w:szCs w:val="21"/>
                <w:highlight w:val="none"/>
                <w:lang w:val="en-US" w:eastAsia="zh-CN"/>
              </w:rPr>
              <w:t>距离厂区最近的敏感点为厂区西南侧920m处的宋北村</w:t>
            </w:r>
            <w:r>
              <w:rPr>
                <w:rFonts w:hint="default" w:ascii="Times New Roman" w:hAnsi="Times New Roman" w:eastAsia="宋体" w:cs="Times New Roman"/>
                <w:bCs/>
                <w:color w:val="auto"/>
                <w:sz w:val="21"/>
                <w:szCs w:val="21"/>
                <w:highlight w:val="none"/>
              </w:rPr>
              <w:t>。</w:t>
            </w:r>
          </w:p>
          <w:p w14:paraId="0604C537">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（二）声环境</w:t>
            </w:r>
          </w:p>
          <w:p w14:paraId="6AAB5D96">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bCs/>
                <w:color w:val="auto"/>
                <w:sz w:val="21"/>
                <w:szCs w:val="21"/>
                <w:highlight w:val="none"/>
              </w:rPr>
            </w:pPr>
            <w:r>
              <w:rPr>
                <w:rFonts w:hint="default" w:ascii="Times New Roman" w:hAnsi="Times New Roman" w:eastAsia="宋体" w:cs="Times New Roman"/>
                <w:b w:val="0"/>
                <w:bCs/>
                <w:snapToGrid w:val="0"/>
                <w:color w:val="auto"/>
                <w:kern w:val="0"/>
                <w:sz w:val="21"/>
                <w:szCs w:val="21"/>
                <w:highlight w:val="none"/>
                <w:lang w:val="en-US" w:eastAsia="zh-CN"/>
              </w:rPr>
              <w:t>本项目</w:t>
            </w:r>
            <w:r>
              <w:rPr>
                <w:rFonts w:hint="default" w:ascii="Times New Roman" w:hAnsi="Times New Roman" w:eastAsia="宋体" w:cs="Times New Roman"/>
                <w:bCs/>
                <w:color w:val="auto"/>
                <w:sz w:val="21"/>
                <w:szCs w:val="21"/>
                <w:highlight w:val="none"/>
              </w:rPr>
              <w:t>厂界</w:t>
            </w:r>
            <w:r>
              <w:rPr>
                <w:rFonts w:hint="default" w:ascii="Times New Roman" w:hAnsi="Times New Roman" w:eastAsia="宋体" w:cs="Times New Roman"/>
                <w:bCs/>
                <w:color w:val="auto"/>
                <w:sz w:val="21"/>
                <w:szCs w:val="21"/>
                <w:highlight w:val="none"/>
                <w:lang w:val="en-US" w:eastAsia="zh-CN"/>
              </w:rPr>
              <w:t>外</w:t>
            </w:r>
            <w:r>
              <w:rPr>
                <w:rFonts w:hint="default" w:ascii="Times New Roman" w:hAnsi="Times New Roman" w:eastAsia="宋体" w:cs="Times New Roman"/>
                <w:bCs/>
                <w:color w:val="auto"/>
                <w:sz w:val="21"/>
                <w:szCs w:val="21"/>
                <w:highlight w:val="none"/>
              </w:rPr>
              <w:t>50m范围内无声环境</w:t>
            </w:r>
            <w:r>
              <w:rPr>
                <w:rFonts w:hint="default" w:ascii="Times New Roman" w:hAnsi="Times New Roman" w:eastAsia="宋体" w:cs="Times New Roman"/>
                <w:bCs/>
                <w:color w:val="auto"/>
                <w:sz w:val="21"/>
                <w:szCs w:val="21"/>
                <w:highlight w:val="none"/>
                <w:lang w:val="en-US" w:eastAsia="zh-CN"/>
              </w:rPr>
              <w:t>保护目标</w:t>
            </w:r>
            <w:r>
              <w:rPr>
                <w:rFonts w:hint="default" w:ascii="Times New Roman" w:hAnsi="Times New Roman" w:eastAsia="宋体" w:cs="Times New Roman"/>
                <w:bCs/>
                <w:color w:val="auto"/>
                <w:sz w:val="21"/>
                <w:szCs w:val="21"/>
                <w:highlight w:val="none"/>
              </w:rPr>
              <w:t>，本评价</w:t>
            </w:r>
            <w:r>
              <w:rPr>
                <w:rFonts w:hint="default" w:ascii="Times New Roman" w:hAnsi="Times New Roman" w:eastAsia="宋体" w:cs="Times New Roman"/>
                <w:bCs/>
                <w:color w:val="auto"/>
                <w:sz w:val="21"/>
                <w:szCs w:val="21"/>
                <w:highlight w:val="none"/>
                <w:lang w:val="en-US" w:eastAsia="zh-CN"/>
              </w:rPr>
              <w:t>无</w:t>
            </w:r>
            <w:r>
              <w:rPr>
                <w:rFonts w:hint="default" w:ascii="Times New Roman" w:hAnsi="Times New Roman" w:eastAsia="宋体" w:cs="Times New Roman"/>
                <w:bCs/>
                <w:color w:val="auto"/>
                <w:sz w:val="21"/>
                <w:szCs w:val="21"/>
                <w:highlight w:val="none"/>
              </w:rPr>
              <w:t>声环境保护目标。</w:t>
            </w:r>
          </w:p>
          <w:p w14:paraId="428762AF">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（三）地下水环境</w:t>
            </w:r>
          </w:p>
          <w:p w14:paraId="4CE2085A">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snapToGrid w:val="0"/>
                <w:color w:val="auto"/>
                <w:kern w:val="0"/>
                <w:sz w:val="21"/>
                <w:szCs w:val="21"/>
                <w:highlight w:val="none"/>
                <w:lang w:val="en-US" w:eastAsia="zh-CN" w:bidi="ar-SA"/>
              </w:rPr>
              <w:t>本项目厂界外500m范围无地下水集中式饮用水水源和热水、矿泉水、温泉等特殊地下水资源，本项目</w:t>
            </w:r>
            <w:r>
              <w:rPr>
                <w:rFonts w:hint="eastAsia" w:ascii="Times New Roman" w:hAnsi="Times New Roman" w:eastAsia="宋体" w:cs="Times New Roman"/>
                <w:b w:val="0"/>
                <w:bCs/>
                <w:snapToGrid w:val="0"/>
                <w:color w:val="auto"/>
                <w:kern w:val="0"/>
                <w:sz w:val="21"/>
                <w:szCs w:val="21"/>
                <w:highlight w:val="none"/>
                <w:lang w:val="en-US" w:eastAsia="zh-CN" w:bidi="ar-SA"/>
              </w:rPr>
              <w:t>无</w:t>
            </w:r>
            <w:r>
              <w:rPr>
                <w:rFonts w:hint="default" w:ascii="Times New Roman" w:hAnsi="Times New Roman" w:eastAsia="宋体" w:cs="Times New Roman"/>
                <w:b w:val="0"/>
                <w:bCs/>
                <w:snapToGrid w:val="0"/>
                <w:color w:val="auto"/>
                <w:kern w:val="0"/>
                <w:sz w:val="21"/>
                <w:szCs w:val="21"/>
                <w:highlight w:val="none"/>
                <w:lang w:val="en-US" w:eastAsia="zh-CN" w:bidi="ar-SA"/>
              </w:rPr>
              <w:t>地下水环境保护目标。</w:t>
            </w:r>
          </w:p>
          <w:p w14:paraId="4E91B65E">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（四）生态环境</w:t>
            </w:r>
          </w:p>
          <w:p w14:paraId="7F3E49DA">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Cs/>
                <w:color w:val="auto"/>
                <w:sz w:val="21"/>
                <w:szCs w:val="21"/>
                <w:highlight w:val="none"/>
              </w:rPr>
              <w:t>本项目</w:t>
            </w:r>
            <w:r>
              <w:rPr>
                <w:rFonts w:hint="eastAsia" w:cs="Times New Roman"/>
                <w:bCs/>
                <w:color w:val="auto"/>
                <w:sz w:val="21"/>
                <w:szCs w:val="21"/>
                <w:highlight w:val="none"/>
                <w:lang w:eastAsia="zh-CN"/>
              </w:rPr>
              <w:t>在</w:t>
            </w:r>
            <w:r>
              <w:rPr>
                <w:rFonts w:hint="default" w:ascii="Times New Roman" w:hAnsi="Times New Roman" w:eastAsia="宋体" w:cs="Times New Roman"/>
                <w:bCs/>
                <w:color w:val="auto"/>
                <w:sz w:val="21"/>
                <w:szCs w:val="21"/>
                <w:highlight w:val="none"/>
              </w:rPr>
              <w:t>现有厂区进行建设</w:t>
            </w:r>
            <w:r>
              <w:rPr>
                <w:rFonts w:hint="default" w:ascii="Times New Roman" w:hAnsi="Times New Roman" w:eastAsia="宋体" w:cs="Times New Roman"/>
                <w:color w:val="auto"/>
                <w:sz w:val="21"/>
                <w:szCs w:val="21"/>
                <w:highlight w:val="none"/>
              </w:rPr>
              <w:t>，不新增建设用地</w:t>
            </w:r>
            <w:r>
              <w:rPr>
                <w:rFonts w:hint="default" w:ascii="Times New Roman" w:hAnsi="Times New Roman" w:eastAsia="宋体" w:cs="Times New Roman"/>
                <w:color w:val="auto"/>
                <w:sz w:val="21"/>
                <w:szCs w:val="21"/>
                <w:highlight w:val="none"/>
                <w:lang w:val="en-US" w:eastAsia="zh-CN"/>
              </w:rPr>
              <w:t>，无须调查用地范围内生态环境保护目标。</w:t>
            </w:r>
          </w:p>
          <w:p w14:paraId="1E6B7B0E">
            <w:pPr>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b/>
                <w:bCs/>
                <w:color w:val="auto"/>
                <w:sz w:val="21"/>
                <w:szCs w:val="21"/>
                <w:highlight w:val="none"/>
              </w:rPr>
              <w:t>表 3-</w:t>
            </w:r>
            <w:r>
              <w:rPr>
                <w:rFonts w:hint="eastAsia" w:ascii="Times New Roman" w:hAnsi="Times New Roman" w:eastAsia="宋体" w:cs="Times New Roman"/>
                <w:b/>
                <w:bCs/>
                <w:color w:val="auto"/>
                <w:sz w:val="21"/>
                <w:szCs w:val="21"/>
                <w:highlight w:val="none"/>
                <w:lang w:val="en-US" w:eastAsia="zh-CN"/>
              </w:rPr>
              <w:t>4</w:t>
            </w:r>
            <w:r>
              <w:rPr>
                <w:rFonts w:hint="default" w:ascii="Times New Roman" w:hAnsi="Times New Roman" w:eastAsia="宋体" w:cs="Times New Roman"/>
                <w:b/>
                <w:bCs/>
                <w:color w:val="auto"/>
                <w:sz w:val="21"/>
                <w:szCs w:val="21"/>
                <w:highlight w:val="none"/>
                <w:lang w:val="en-US" w:eastAsia="zh-CN"/>
              </w:rPr>
              <w:t xml:space="preserve"> </w:t>
            </w:r>
            <w:r>
              <w:rPr>
                <w:rFonts w:hint="eastAsia" w:cs="Times New Roman"/>
                <w:b/>
                <w:bCs/>
                <w:color w:val="auto"/>
                <w:sz w:val="21"/>
                <w:szCs w:val="21"/>
                <w:highlight w:val="none"/>
                <w:lang w:val="en-US" w:eastAsia="zh-CN"/>
              </w:rPr>
              <w:t xml:space="preserve"> </w:t>
            </w:r>
            <w:r>
              <w:rPr>
                <w:rFonts w:hint="eastAsia" w:ascii="Times New Roman" w:hAnsi="Times New Roman" w:eastAsia="宋体" w:cs="Times New Roman"/>
                <w:b/>
                <w:bCs/>
                <w:color w:val="auto"/>
                <w:sz w:val="21"/>
                <w:szCs w:val="21"/>
                <w:highlight w:val="none"/>
                <w:lang w:val="en-US" w:eastAsia="zh-CN"/>
              </w:rPr>
              <w:t>项目</w:t>
            </w:r>
            <w:r>
              <w:rPr>
                <w:rFonts w:hint="default" w:ascii="Times New Roman" w:hAnsi="Times New Roman" w:eastAsia="宋体" w:cs="Times New Roman"/>
                <w:b/>
                <w:bCs/>
                <w:color w:val="auto"/>
                <w:sz w:val="21"/>
                <w:szCs w:val="21"/>
                <w:highlight w:val="none"/>
                <w:lang w:val="en-US" w:eastAsia="zh-CN"/>
              </w:rPr>
              <w:t>主要环境保护目标和保护级别</w:t>
            </w:r>
          </w:p>
          <w:tbl>
            <w:tblPr>
              <w:tblStyle w:val="26"/>
              <w:tblW w:w="8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5"/>
              <w:gridCol w:w="647"/>
              <w:gridCol w:w="1021"/>
              <w:gridCol w:w="960"/>
              <w:gridCol w:w="614"/>
              <w:gridCol w:w="611"/>
              <w:gridCol w:w="682"/>
              <w:gridCol w:w="718"/>
              <w:gridCol w:w="2130"/>
            </w:tblGrid>
            <w:tr w14:paraId="075FA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690" w:type="dxa"/>
                  <w:vMerge w:val="restart"/>
                  <w:tcBorders>
                    <w:tl2br w:val="nil"/>
                    <w:tr2bl w:val="nil"/>
                  </w:tcBorders>
                  <w:noWrap w:val="0"/>
                  <w:vAlign w:val="center"/>
                </w:tcPr>
                <w:p w14:paraId="271E9581">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jc w:val="center"/>
                    <w:textAlignment w:val="baseline"/>
                    <w:rPr>
                      <w:rFonts w:hint="default" w:ascii="Times New Roman" w:hAnsi="Times New Roman" w:eastAsia="宋体" w:cs="Times New Roman"/>
                      <w:snapToGrid w:val="0"/>
                      <w:color w:val="auto"/>
                      <w:kern w:val="0"/>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rPr>
                    <w:t>环境要素</w:t>
                  </w:r>
                </w:p>
              </w:tc>
              <w:tc>
                <w:tcPr>
                  <w:tcW w:w="705" w:type="dxa"/>
                  <w:vMerge w:val="restart"/>
                  <w:tcBorders>
                    <w:tl2br w:val="nil"/>
                    <w:tr2bl w:val="nil"/>
                  </w:tcBorders>
                  <w:noWrap w:val="0"/>
                  <w:vAlign w:val="center"/>
                </w:tcPr>
                <w:p w14:paraId="20B7AE9C">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rPr>
                    <w:t>保护目标</w:t>
                  </w:r>
                </w:p>
              </w:tc>
              <w:tc>
                <w:tcPr>
                  <w:tcW w:w="2124" w:type="dxa"/>
                  <w:gridSpan w:val="2"/>
                  <w:tcBorders>
                    <w:tl2br w:val="nil"/>
                    <w:tr2bl w:val="nil"/>
                  </w:tcBorders>
                  <w:noWrap w:val="0"/>
                  <w:vAlign w:val="center"/>
                </w:tcPr>
                <w:p w14:paraId="4E7B26F1">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zh-CN"/>
                    </w:rPr>
                  </w:pPr>
                  <w:r>
                    <w:rPr>
                      <w:rFonts w:hint="default" w:ascii="Times New Roman" w:hAnsi="Times New Roman" w:eastAsia="宋体" w:cs="Times New Roman"/>
                      <w:snapToGrid w:val="0"/>
                      <w:color w:val="auto"/>
                      <w:kern w:val="0"/>
                      <w:sz w:val="21"/>
                      <w:szCs w:val="21"/>
                      <w:highlight w:val="none"/>
                      <w:lang w:val="en-US" w:eastAsia="zh-CN" w:bidi="zh-CN"/>
                    </w:rPr>
                    <w:t>坐标</w:t>
                  </w:r>
                </w:p>
              </w:tc>
              <w:tc>
                <w:tcPr>
                  <w:tcW w:w="664" w:type="dxa"/>
                  <w:vMerge w:val="restart"/>
                  <w:tcBorders>
                    <w:tl2br w:val="nil"/>
                    <w:tr2bl w:val="nil"/>
                  </w:tcBorders>
                  <w:noWrap w:val="0"/>
                  <w:vAlign w:val="center"/>
                </w:tcPr>
                <w:p w14:paraId="3DF6F40F">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jc w:val="center"/>
                    <w:textAlignment w:val="baseline"/>
                    <w:rPr>
                      <w:rFonts w:hint="default" w:ascii="Times New Roman" w:hAnsi="Times New Roman" w:eastAsia="宋体" w:cs="Times New Roman"/>
                      <w:snapToGrid w:val="0"/>
                      <w:color w:val="auto"/>
                      <w:kern w:val="0"/>
                      <w:sz w:val="21"/>
                      <w:szCs w:val="21"/>
                      <w:highlight w:val="none"/>
                      <w:lang w:val="zh-CN" w:eastAsia="zh-CN" w:bidi="zh-CN"/>
                    </w:rPr>
                  </w:pPr>
                  <w:r>
                    <w:rPr>
                      <w:rFonts w:hint="default" w:ascii="Times New Roman" w:hAnsi="Times New Roman" w:eastAsia="宋体" w:cs="Times New Roman"/>
                      <w:color w:val="auto"/>
                      <w:sz w:val="21"/>
                      <w:szCs w:val="21"/>
                      <w:highlight w:val="none"/>
                      <w:lang w:val="en-US" w:eastAsia="zh-CN"/>
                    </w:rPr>
                    <w:t>保护内容</w:t>
                  </w:r>
                </w:p>
              </w:tc>
              <w:tc>
                <w:tcPr>
                  <w:tcW w:w="660" w:type="dxa"/>
                  <w:vMerge w:val="restart"/>
                  <w:tcBorders>
                    <w:tl2br w:val="nil"/>
                    <w:tr2bl w:val="nil"/>
                  </w:tcBorders>
                  <w:noWrap w:val="0"/>
                  <w:vAlign w:val="center"/>
                </w:tcPr>
                <w:p w14:paraId="7F7C17F7">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rPr>
                    <w:t>相对厂址方位</w:t>
                  </w:r>
                </w:p>
              </w:tc>
              <w:tc>
                <w:tcPr>
                  <w:tcW w:w="750" w:type="dxa"/>
                  <w:vMerge w:val="restart"/>
                  <w:tcBorders>
                    <w:tl2br w:val="nil"/>
                    <w:tr2bl w:val="nil"/>
                  </w:tcBorders>
                  <w:noWrap w:val="0"/>
                  <w:vAlign w:val="center"/>
                </w:tcPr>
                <w:p w14:paraId="7D39C045">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jc w:val="center"/>
                    <w:textAlignment w:val="baseline"/>
                    <w:rPr>
                      <w:rFonts w:hint="default" w:ascii="Times New Roman" w:hAnsi="Times New Roman" w:eastAsia="宋体" w:cs="Times New Roman"/>
                      <w:snapToGrid w:val="0"/>
                      <w:color w:val="auto"/>
                      <w:kern w:val="0"/>
                      <w:sz w:val="21"/>
                      <w:szCs w:val="21"/>
                      <w:highlight w:val="none"/>
                      <w:lang w:val="zh-CN" w:eastAsia="zh-CN" w:bidi="zh-CN"/>
                    </w:rPr>
                  </w:pPr>
                  <w:r>
                    <w:rPr>
                      <w:rFonts w:hint="default" w:ascii="Times New Roman" w:hAnsi="Times New Roman" w:eastAsia="宋体" w:cs="Times New Roman"/>
                      <w:snapToGrid w:val="0"/>
                      <w:color w:val="auto"/>
                      <w:kern w:val="0"/>
                      <w:sz w:val="21"/>
                      <w:szCs w:val="21"/>
                      <w:highlight w:val="none"/>
                      <w:lang w:val="zh-CN" w:eastAsia="zh-CN" w:bidi="zh-CN"/>
                    </w:rPr>
                    <w:t>相对厂界距离</w:t>
                  </w:r>
                </w:p>
              </w:tc>
              <w:tc>
                <w:tcPr>
                  <w:tcW w:w="795" w:type="dxa"/>
                  <w:vMerge w:val="restart"/>
                  <w:tcBorders>
                    <w:tl2br w:val="nil"/>
                    <w:tr2bl w:val="nil"/>
                  </w:tcBorders>
                  <w:noWrap w:val="0"/>
                  <w:vAlign w:val="center"/>
                </w:tcPr>
                <w:p w14:paraId="3F9974E6">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zh-CN"/>
                    </w:rPr>
                  </w:pPr>
                  <w:r>
                    <w:rPr>
                      <w:rFonts w:hint="default" w:ascii="Times New Roman" w:hAnsi="Times New Roman" w:eastAsia="宋体" w:cs="Times New Roman"/>
                      <w:snapToGrid w:val="0"/>
                      <w:color w:val="auto"/>
                      <w:kern w:val="0"/>
                      <w:sz w:val="21"/>
                      <w:szCs w:val="21"/>
                      <w:highlight w:val="none"/>
                      <w:lang w:val="en-US" w:eastAsia="zh-CN" w:bidi="zh-CN"/>
                    </w:rPr>
                    <w:t>环境功能区</w:t>
                  </w:r>
                </w:p>
              </w:tc>
              <w:tc>
                <w:tcPr>
                  <w:tcW w:w="1630" w:type="dxa"/>
                  <w:vMerge w:val="restart"/>
                  <w:tcBorders>
                    <w:tl2br w:val="nil"/>
                    <w:tr2bl w:val="nil"/>
                  </w:tcBorders>
                  <w:noWrap w:val="0"/>
                  <w:vAlign w:val="center"/>
                </w:tcPr>
                <w:p w14:paraId="4BC76BFB">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snapToGrid w:val="0"/>
                      <w:color w:val="auto"/>
                      <w:kern w:val="0"/>
                      <w:sz w:val="21"/>
                      <w:szCs w:val="21"/>
                      <w:highlight w:val="none"/>
                      <w:lang w:val="en-US" w:eastAsia="zh-CN" w:bidi="zh-CN"/>
                    </w:rPr>
                  </w:pPr>
                  <w:r>
                    <w:rPr>
                      <w:rFonts w:hint="default" w:ascii="Times New Roman" w:hAnsi="Times New Roman" w:eastAsia="宋体" w:cs="Times New Roman"/>
                      <w:snapToGrid w:val="0"/>
                      <w:color w:val="auto"/>
                      <w:kern w:val="0"/>
                      <w:sz w:val="21"/>
                      <w:szCs w:val="21"/>
                      <w:highlight w:val="none"/>
                      <w:lang w:val="en-US" w:eastAsia="zh-CN" w:bidi="zh-CN"/>
                    </w:rPr>
                    <w:t>环境</w:t>
                  </w:r>
                  <w:r>
                    <w:rPr>
                      <w:rFonts w:hint="eastAsia" w:ascii="Times New Roman" w:hAnsi="Times New Roman" w:eastAsia="宋体" w:cs="Times New Roman"/>
                      <w:snapToGrid w:val="0"/>
                      <w:color w:val="auto"/>
                      <w:kern w:val="0"/>
                      <w:sz w:val="21"/>
                      <w:szCs w:val="21"/>
                      <w:highlight w:val="none"/>
                      <w:lang w:val="en-US" w:eastAsia="zh-CN" w:bidi="zh-CN"/>
                    </w:rPr>
                    <w:t>标准</w:t>
                  </w:r>
                </w:p>
              </w:tc>
            </w:tr>
            <w:tr w14:paraId="0DF2A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dxa"/>
                  <w:vMerge w:val="continue"/>
                  <w:tcBorders>
                    <w:tl2br w:val="nil"/>
                    <w:tr2bl w:val="nil"/>
                  </w:tcBorders>
                  <w:noWrap w:val="0"/>
                  <w:vAlign w:val="center"/>
                </w:tcPr>
                <w:p w14:paraId="00B16389">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c>
                <w:tcPr>
                  <w:tcW w:w="705" w:type="dxa"/>
                  <w:vMerge w:val="continue"/>
                  <w:tcBorders>
                    <w:tl2br w:val="nil"/>
                    <w:tr2bl w:val="nil"/>
                  </w:tcBorders>
                  <w:noWrap w:val="0"/>
                  <w:vAlign w:val="center"/>
                </w:tcPr>
                <w:p w14:paraId="413BA4CD">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c>
                <w:tcPr>
                  <w:tcW w:w="1101" w:type="dxa"/>
                  <w:tcBorders>
                    <w:tl2br w:val="nil"/>
                    <w:tr2bl w:val="nil"/>
                  </w:tcBorders>
                  <w:noWrap w:val="0"/>
                  <w:vAlign w:val="center"/>
                </w:tcPr>
                <w:p w14:paraId="512D5313">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经度</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pacing w:val="-1"/>
                      <w:sz w:val="21"/>
                      <w:szCs w:val="21"/>
                      <w:highlight w:val="none"/>
                      <w:u w:val="none" w:color="auto"/>
                      <w:lang w:val="en-US" w:eastAsia="zh-CN"/>
                    </w:rPr>
                    <w:t>°</w:t>
                  </w:r>
                  <w:r>
                    <w:rPr>
                      <w:rFonts w:hint="default" w:ascii="Times New Roman" w:hAnsi="Times New Roman" w:eastAsia="宋体" w:cs="Times New Roman"/>
                      <w:color w:val="auto"/>
                      <w:sz w:val="21"/>
                      <w:szCs w:val="21"/>
                      <w:highlight w:val="none"/>
                      <w:lang w:eastAsia="zh-CN"/>
                    </w:rPr>
                    <w:t>）</w:t>
                  </w:r>
                </w:p>
              </w:tc>
              <w:tc>
                <w:tcPr>
                  <w:tcW w:w="1023" w:type="dxa"/>
                  <w:tcBorders>
                    <w:tl2br w:val="nil"/>
                    <w:tr2bl w:val="nil"/>
                  </w:tcBorders>
                  <w:noWrap w:val="0"/>
                  <w:vAlign w:val="center"/>
                </w:tcPr>
                <w:p w14:paraId="55C50737">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纬度（</w:t>
                  </w:r>
                  <w:r>
                    <w:rPr>
                      <w:rFonts w:hint="default" w:ascii="Times New Roman" w:hAnsi="Times New Roman" w:eastAsia="宋体" w:cs="Times New Roman"/>
                      <w:color w:val="auto"/>
                      <w:spacing w:val="-1"/>
                      <w:sz w:val="21"/>
                      <w:szCs w:val="21"/>
                      <w:highlight w:val="none"/>
                      <w:u w:val="none" w:color="auto"/>
                      <w:lang w:val="en-US" w:eastAsia="zh-CN"/>
                    </w:rPr>
                    <w:t>°</w:t>
                  </w:r>
                  <w:r>
                    <w:rPr>
                      <w:rFonts w:hint="default" w:ascii="Times New Roman" w:hAnsi="Times New Roman" w:eastAsia="宋体" w:cs="Times New Roman"/>
                      <w:color w:val="auto"/>
                      <w:sz w:val="21"/>
                      <w:szCs w:val="21"/>
                      <w:highlight w:val="none"/>
                      <w:lang w:val="en-US" w:eastAsia="zh-CN"/>
                    </w:rPr>
                    <w:t>）</w:t>
                  </w:r>
                </w:p>
              </w:tc>
              <w:tc>
                <w:tcPr>
                  <w:tcW w:w="664" w:type="dxa"/>
                  <w:vMerge w:val="continue"/>
                  <w:tcBorders>
                    <w:tl2br w:val="nil"/>
                    <w:tr2bl w:val="nil"/>
                  </w:tcBorders>
                  <w:noWrap w:val="0"/>
                  <w:vAlign w:val="center"/>
                </w:tcPr>
                <w:p w14:paraId="31FC8D72">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c>
                <w:tcPr>
                  <w:tcW w:w="660" w:type="dxa"/>
                  <w:vMerge w:val="continue"/>
                  <w:tcBorders>
                    <w:tl2br w:val="nil"/>
                    <w:tr2bl w:val="nil"/>
                  </w:tcBorders>
                  <w:noWrap w:val="0"/>
                  <w:vAlign w:val="center"/>
                </w:tcPr>
                <w:p w14:paraId="09B902AD">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c>
                <w:tcPr>
                  <w:tcW w:w="750" w:type="dxa"/>
                  <w:vMerge w:val="continue"/>
                  <w:tcBorders>
                    <w:tl2br w:val="nil"/>
                    <w:tr2bl w:val="nil"/>
                  </w:tcBorders>
                  <w:noWrap w:val="0"/>
                  <w:vAlign w:val="center"/>
                </w:tcPr>
                <w:p w14:paraId="6EDB2D4F">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c>
                <w:tcPr>
                  <w:tcW w:w="795" w:type="dxa"/>
                  <w:vMerge w:val="continue"/>
                  <w:tcBorders>
                    <w:tl2br w:val="nil"/>
                    <w:tr2bl w:val="nil"/>
                  </w:tcBorders>
                  <w:noWrap w:val="0"/>
                  <w:vAlign w:val="center"/>
                </w:tcPr>
                <w:p w14:paraId="26EC1D92">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c>
                <w:tcPr>
                  <w:tcW w:w="1630" w:type="dxa"/>
                  <w:vMerge w:val="continue"/>
                  <w:tcBorders>
                    <w:tl2br w:val="nil"/>
                    <w:tr2bl w:val="nil"/>
                  </w:tcBorders>
                  <w:noWrap w:val="0"/>
                  <w:vAlign w:val="center"/>
                </w:tcPr>
                <w:p w14:paraId="7F733435">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right="0" w:firstLine="0"/>
                    <w:jc w:val="center"/>
                    <w:textAlignment w:val="baseline"/>
                    <w:rPr>
                      <w:rFonts w:hint="default" w:ascii="Times New Roman" w:hAnsi="Times New Roman" w:eastAsia="宋体" w:cs="Times New Roman"/>
                      <w:color w:val="auto"/>
                      <w:sz w:val="21"/>
                      <w:szCs w:val="21"/>
                      <w:highlight w:val="none"/>
                    </w:rPr>
                  </w:pPr>
                </w:p>
              </w:tc>
            </w:tr>
            <w:tr w14:paraId="652BF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3" w:hRule="atLeast"/>
                <w:jc w:val="center"/>
              </w:trPr>
              <w:tc>
                <w:tcPr>
                  <w:tcW w:w="690" w:type="dxa"/>
                  <w:tcBorders>
                    <w:tl2br w:val="nil"/>
                    <w:tr2bl w:val="nil"/>
                  </w:tcBorders>
                  <w:noWrap w:val="0"/>
                  <w:vAlign w:val="center"/>
                </w:tcPr>
                <w:p w14:paraId="41FBCF9C">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w:t>
                  </w:r>
                </w:p>
              </w:tc>
              <w:tc>
                <w:tcPr>
                  <w:tcW w:w="4903" w:type="dxa"/>
                  <w:gridSpan w:val="6"/>
                  <w:tcBorders>
                    <w:tl2br w:val="nil"/>
                    <w:tr2bl w:val="nil"/>
                  </w:tcBorders>
                  <w:noWrap w:val="0"/>
                  <w:vAlign w:val="center"/>
                </w:tcPr>
                <w:p w14:paraId="6DD38A2B">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jc w:val="center"/>
                    <w:textAlignment w:val="baseline"/>
                    <w:rPr>
                      <w:rFonts w:hint="default" w:ascii="Times New Roman" w:hAnsi="Times New Roman" w:cs="Times New Roman"/>
                      <w:color w:val="auto"/>
                      <w:sz w:val="21"/>
                      <w:szCs w:val="21"/>
                      <w:highlight w:val="none"/>
                      <w:lang w:val="en-US" w:eastAsia="zh-CN"/>
                    </w:rPr>
                  </w:pPr>
                  <w:r>
                    <w:rPr>
                      <w:rFonts w:hint="default"/>
                      <w:color w:val="auto"/>
                      <w:sz w:val="21"/>
                      <w:szCs w:val="21"/>
                      <w:highlight w:val="none"/>
                    </w:rPr>
                    <w:t>项目</w:t>
                  </w:r>
                  <w:r>
                    <w:rPr>
                      <w:rFonts w:hint="eastAsia" w:ascii="Times New Roman" w:hAnsi="Times New Roman" w:cs="Times New Roman"/>
                      <w:color w:val="auto"/>
                      <w:sz w:val="21"/>
                      <w:szCs w:val="21"/>
                      <w:highlight w:val="none"/>
                      <w:lang w:val="en-US" w:eastAsia="zh-CN"/>
                    </w:rPr>
                    <w:t>厂界外500米范围内无自然保护区、风景名胜区、居住区、文化区和农村地区中人群较集中的区域</w:t>
                  </w:r>
                </w:p>
              </w:tc>
              <w:tc>
                <w:tcPr>
                  <w:tcW w:w="795" w:type="dxa"/>
                  <w:tcBorders>
                    <w:tl2br w:val="nil"/>
                    <w:tr2bl w:val="nil"/>
                  </w:tcBorders>
                  <w:noWrap w:val="0"/>
                  <w:vAlign w:val="center"/>
                </w:tcPr>
                <w:p w14:paraId="5F72E512">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环境空气二类区</w:t>
                  </w:r>
                </w:p>
              </w:tc>
              <w:tc>
                <w:tcPr>
                  <w:tcW w:w="1630" w:type="dxa"/>
                  <w:tcBorders>
                    <w:tl2br w:val="nil"/>
                    <w:tr2bl w:val="nil"/>
                  </w:tcBorders>
                  <w:noWrap w:val="0"/>
                  <w:vAlign w:val="center"/>
                </w:tcPr>
                <w:p w14:paraId="295D0F98">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jc w:val="center"/>
                    <w:textAlignment w:val="baseline"/>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《环境空气质量标准》</w:t>
                  </w:r>
                  <w:r>
                    <w:rPr>
                      <w:rFonts w:hint="eastAsia" w:ascii="Times New Roman" w:hAnsi="Times New Roman" w:cs="Times New Roman"/>
                      <w:color w:val="auto"/>
                      <w:sz w:val="21"/>
                      <w:szCs w:val="21"/>
                      <w:highlight w:val="none"/>
                      <w:lang w:val="en-US" w:eastAsia="zh-CN"/>
                    </w:rPr>
                    <w:t>（</w:t>
                  </w:r>
                  <w:r>
                    <w:rPr>
                      <w:rFonts w:hint="default" w:ascii="Times New Roman" w:hAnsi="Times New Roman" w:eastAsia="宋体" w:cs="Times New Roman"/>
                      <w:color w:val="auto"/>
                      <w:sz w:val="21"/>
                      <w:szCs w:val="21"/>
                      <w:highlight w:val="none"/>
                      <w:lang w:val="en-US" w:eastAsia="zh-CN"/>
                    </w:rPr>
                    <w:t>GB</w:t>
                  </w:r>
                </w:p>
                <w:p w14:paraId="57748EB5">
                  <w:pPr>
                    <w:pStyle w:val="40"/>
                    <w:keepNext w:val="0"/>
                    <w:keepLines w:val="0"/>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jc w:val="center"/>
                    <w:textAlignment w:val="baseline"/>
                    <w:rPr>
                      <w:rFonts w:hint="default" w:ascii="Times New Roman" w:hAnsi="Times New Roman" w:eastAsia="宋体" w:cs="Times New Roman"/>
                      <w:color w:val="auto"/>
                      <w:kern w:val="2"/>
                      <w:sz w:val="21"/>
                      <w:szCs w:val="21"/>
                      <w:highlight w:val="none"/>
                      <w:lang w:val="en-US" w:eastAsia="zh-CN" w:bidi="zh-CN"/>
                    </w:rPr>
                  </w:pPr>
                  <w:r>
                    <w:rPr>
                      <w:rFonts w:hint="default" w:ascii="Times New Roman" w:hAnsi="Times New Roman" w:eastAsia="宋体" w:cs="Times New Roman"/>
                      <w:color w:val="auto"/>
                      <w:sz w:val="21"/>
                      <w:szCs w:val="21"/>
                      <w:highlight w:val="none"/>
                      <w:lang w:val="en-US" w:eastAsia="zh-CN"/>
                    </w:rPr>
                    <w:t>3095-20</w:t>
                  </w:r>
                  <w:r>
                    <w:rPr>
                      <w:rFonts w:hint="eastAsia" w:ascii="Times New Roman" w:hAnsi="Times New Roman" w:cs="Times New Roman"/>
                      <w:color w:val="auto"/>
                      <w:sz w:val="21"/>
                      <w:szCs w:val="21"/>
                      <w:highlight w:val="none"/>
                      <w:lang w:val="en-US" w:eastAsia="zh-CN"/>
                    </w:rPr>
                    <w:t>26）</w:t>
                  </w:r>
                  <w:r>
                    <w:rPr>
                      <w:rFonts w:hint="default" w:ascii="Times New Roman" w:hAnsi="Times New Roman" w:eastAsia="宋体" w:cs="Times New Roman"/>
                      <w:color w:val="auto"/>
                      <w:sz w:val="21"/>
                      <w:szCs w:val="21"/>
                      <w:highlight w:val="none"/>
                      <w:lang w:val="en-US" w:eastAsia="zh-CN"/>
                    </w:rPr>
                    <w:t>二级标准要求</w:t>
                  </w:r>
                </w:p>
              </w:tc>
            </w:tr>
            <w:tr w14:paraId="66BB0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0" w:type="dxa"/>
                  <w:tcBorders>
                    <w:tl2br w:val="nil"/>
                    <w:tr2bl w:val="nil"/>
                  </w:tcBorders>
                  <w:noWrap w:val="0"/>
                  <w:vAlign w:val="center"/>
                </w:tcPr>
                <w:p w14:paraId="049BDB01">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olor w:val="auto"/>
                      <w:kern w:val="2"/>
                      <w:sz w:val="21"/>
                      <w:szCs w:val="21"/>
                      <w:highlight w:val="none"/>
                      <w:lang w:val="en-US" w:eastAsia="zh-CN" w:bidi="ar-SA"/>
                    </w:rPr>
                  </w:pPr>
                  <w:r>
                    <w:rPr>
                      <w:rFonts w:hint="default"/>
                      <w:color w:val="auto"/>
                      <w:sz w:val="21"/>
                      <w:szCs w:val="21"/>
                      <w:highlight w:val="none"/>
                    </w:rPr>
                    <w:t>声环境</w:t>
                  </w:r>
                </w:p>
              </w:tc>
              <w:tc>
                <w:tcPr>
                  <w:tcW w:w="5698" w:type="dxa"/>
                  <w:gridSpan w:val="7"/>
                  <w:tcBorders>
                    <w:tl2br w:val="nil"/>
                    <w:tr2bl w:val="nil"/>
                  </w:tcBorders>
                  <w:noWrap w:val="0"/>
                  <w:vAlign w:val="center"/>
                </w:tcPr>
                <w:p w14:paraId="1746AAFF">
                  <w:pPr>
                    <w:pStyle w:val="40"/>
                    <w:spacing w:beforeLines="0" w:afterLines="0" w:line="240" w:lineRule="auto"/>
                    <w:textAlignment w:val="baseline"/>
                    <w:rPr>
                      <w:rFonts w:hint="default" w:ascii="Times New Roman" w:hAnsi="Times New Roman" w:eastAsia="宋体" w:cs="Times New Roman"/>
                      <w:color w:val="auto"/>
                      <w:spacing w:val="0"/>
                      <w:kern w:val="2"/>
                      <w:sz w:val="21"/>
                      <w:szCs w:val="21"/>
                      <w:highlight w:val="none"/>
                      <w:lang w:val="en-US" w:eastAsia="zh-CN" w:bidi="ar-SA"/>
                    </w:rPr>
                  </w:pPr>
                  <w:r>
                    <w:rPr>
                      <w:rFonts w:hint="default"/>
                      <w:color w:val="auto"/>
                      <w:sz w:val="21"/>
                      <w:szCs w:val="21"/>
                      <w:highlight w:val="none"/>
                    </w:rPr>
                    <w:t>项目厂界外</w:t>
                  </w:r>
                  <w:r>
                    <w:rPr>
                      <w:rFonts w:hint="default" w:ascii="Times New Roman" w:hAnsi="Times New Roman" w:cs="Times New Roman"/>
                      <w:color w:val="auto"/>
                      <w:sz w:val="21"/>
                      <w:szCs w:val="21"/>
                      <w:highlight w:val="none"/>
                    </w:rPr>
                    <w:t>50m</w:t>
                  </w:r>
                  <w:r>
                    <w:rPr>
                      <w:rFonts w:hint="default"/>
                      <w:color w:val="auto"/>
                      <w:sz w:val="21"/>
                      <w:szCs w:val="21"/>
                      <w:highlight w:val="none"/>
                    </w:rPr>
                    <w:t>范围内无声环境保护目标</w:t>
                  </w:r>
                </w:p>
              </w:tc>
              <w:tc>
                <w:tcPr>
                  <w:tcW w:w="1630" w:type="dxa"/>
                  <w:tcBorders>
                    <w:tl2br w:val="nil"/>
                    <w:tr2bl w:val="nil"/>
                  </w:tcBorders>
                  <w:noWrap w:val="0"/>
                  <w:vAlign w:val="center"/>
                </w:tcPr>
                <w:p w14:paraId="0C43EA4C">
                  <w:pPr>
                    <w:pStyle w:val="40"/>
                    <w:spacing w:beforeLines="0" w:afterLines="0" w:line="240" w:lineRule="auto"/>
                    <w:jc w:val="center"/>
                    <w:textAlignment w:val="baseline"/>
                    <w:rPr>
                      <w:rFonts w:hint="default" w:ascii="Times New Roman" w:hAnsi="Times New Roman" w:eastAsia="宋体" w:cs="Times New Roman"/>
                      <w:color w:val="auto"/>
                      <w:spacing w:val="0"/>
                      <w:kern w:val="2"/>
                      <w:sz w:val="21"/>
                      <w:szCs w:val="21"/>
                      <w:highlight w:val="none"/>
                      <w:lang w:val="en-US" w:eastAsia="zh-CN" w:bidi="ar-SA"/>
                    </w:rPr>
                  </w:pPr>
                  <w:r>
                    <w:rPr>
                      <w:rFonts w:ascii="Times New Roman" w:hAnsi="Times New Roman" w:eastAsia="宋体" w:cs="Times New Roman"/>
                      <w:color w:val="auto"/>
                      <w:spacing w:val="0"/>
                      <w:sz w:val="21"/>
                      <w:szCs w:val="21"/>
                      <w:highlight w:val="none"/>
                    </w:rPr>
                    <w:t>《声环境质量标准》（GB3096-2008）3类标准</w:t>
                  </w:r>
                </w:p>
              </w:tc>
            </w:tr>
            <w:tr w14:paraId="69EF9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0" w:type="dxa"/>
                  <w:tcBorders>
                    <w:tl2br w:val="nil"/>
                    <w:tr2bl w:val="nil"/>
                  </w:tcBorders>
                  <w:noWrap w:val="0"/>
                  <w:vAlign w:val="center"/>
                </w:tcPr>
                <w:p w14:paraId="3E73A752">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olor w:val="auto"/>
                      <w:kern w:val="2"/>
                      <w:sz w:val="21"/>
                      <w:szCs w:val="21"/>
                      <w:highlight w:val="none"/>
                      <w:lang w:val="en-US" w:eastAsia="zh-CN" w:bidi="ar-SA"/>
                    </w:rPr>
                  </w:pPr>
                  <w:r>
                    <w:rPr>
                      <w:rFonts w:hint="default"/>
                      <w:color w:val="auto"/>
                      <w:sz w:val="21"/>
                      <w:szCs w:val="21"/>
                      <w:highlight w:val="none"/>
                    </w:rPr>
                    <w:t>地下水</w:t>
                  </w:r>
                </w:p>
              </w:tc>
              <w:tc>
                <w:tcPr>
                  <w:tcW w:w="5698" w:type="dxa"/>
                  <w:gridSpan w:val="7"/>
                  <w:tcBorders>
                    <w:tl2br w:val="nil"/>
                    <w:tr2bl w:val="nil"/>
                  </w:tcBorders>
                  <w:noWrap w:val="0"/>
                  <w:vAlign w:val="center"/>
                </w:tcPr>
                <w:p w14:paraId="03520428">
                  <w:pPr>
                    <w:pStyle w:val="40"/>
                    <w:spacing w:beforeLines="0" w:afterLines="0" w:line="240" w:lineRule="auto"/>
                    <w:textAlignment w:val="baseline"/>
                    <w:rPr>
                      <w:rFonts w:hint="default" w:ascii="Times New Roman" w:hAnsi="Times New Roman" w:eastAsia="宋体" w:cs="Times New Roman"/>
                      <w:color w:val="auto"/>
                      <w:kern w:val="2"/>
                      <w:sz w:val="21"/>
                      <w:szCs w:val="21"/>
                      <w:highlight w:val="none"/>
                      <w:lang w:val="en-US" w:eastAsia="zh-CN" w:bidi="ar-SA"/>
                    </w:rPr>
                  </w:pPr>
                  <w:r>
                    <w:rPr>
                      <w:rFonts w:hint="default"/>
                      <w:color w:val="auto"/>
                      <w:sz w:val="21"/>
                      <w:szCs w:val="21"/>
                      <w:highlight w:val="none"/>
                    </w:rPr>
                    <w:t>项目厂界</w:t>
                  </w:r>
                  <w:r>
                    <w:rPr>
                      <w:rFonts w:hint="default" w:ascii="Times New Roman" w:hAnsi="Times New Roman" w:cs="Times New Roman"/>
                      <w:color w:val="auto"/>
                      <w:sz w:val="21"/>
                      <w:szCs w:val="21"/>
                      <w:highlight w:val="none"/>
                      <w:lang w:val="en-US" w:eastAsia="zh-CN"/>
                    </w:rPr>
                    <w:t>外</w:t>
                  </w:r>
                  <w:r>
                    <w:rPr>
                      <w:rFonts w:hint="default" w:ascii="Times New Roman" w:hAnsi="Times New Roman" w:cs="Times New Roman"/>
                      <w:color w:val="auto"/>
                      <w:sz w:val="21"/>
                      <w:szCs w:val="21"/>
                      <w:highlight w:val="none"/>
                    </w:rPr>
                    <w:t>500m范围内无地下水集中式饮用水水源和热水、矿泉水、温泉等特殊地下水资源</w:t>
                  </w:r>
                </w:p>
              </w:tc>
              <w:tc>
                <w:tcPr>
                  <w:tcW w:w="1630" w:type="dxa"/>
                  <w:tcBorders>
                    <w:tl2br w:val="nil"/>
                    <w:tr2bl w:val="nil"/>
                  </w:tcBorders>
                  <w:noWrap w:val="0"/>
                  <w:vAlign w:val="center"/>
                </w:tcPr>
                <w:p w14:paraId="137151D6">
                  <w:pPr>
                    <w:pStyle w:val="40"/>
                    <w:spacing w:beforeLines="0" w:afterLines="0" w:line="240" w:lineRule="auto"/>
                    <w:jc w:val="center"/>
                    <w:textAlignment w:val="baseline"/>
                    <w:rPr>
                      <w:rFonts w:hint="default" w:ascii="Times New Roman" w:hAnsi="Times New Roman" w:eastAsia="宋体" w:cs="Times New Roman"/>
                      <w:color w:val="auto"/>
                      <w:kern w:val="2"/>
                      <w:sz w:val="21"/>
                      <w:szCs w:val="21"/>
                      <w:highlight w:val="none"/>
                      <w:lang w:val="en-US" w:eastAsia="zh-CN" w:bidi="ar-SA"/>
                    </w:rPr>
                  </w:pPr>
                  <w:r>
                    <w:rPr>
                      <w:rFonts w:ascii="Times New Roman" w:hAnsi="Times New Roman" w:eastAsia="宋体" w:cs="Times New Roman"/>
                      <w:color w:val="auto"/>
                      <w:sz w:val="21"/>
                      <w:szCs w:val="21"/>
                      <w:highlight w:val="none"/>
                    </w:rPr>
                    <w:t>《地下水质量标准》（GB/T14848-2017）Ⅲ类标准</w:t>
                  </w:r>
                </w:p>
              </w:tc>
            </w:tr>
            <w:tr w14:paraId="0A826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90" w:type="dxa"/>
                  <w:tcBorders>
                    <w:tl2br w:val="nil"/>
                    <w:tr2bl w:val="nil"/>
                  </w:tcBorders>
                  <w:noWrap w:val="0"/>
                  <w:vAlign w:val="center"/>
                </w:tcPr>
                <w:p w14:paraId="40A7727D">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olor w:val="auto"/>
                      <w:kern w:val="2"/>
                      <w:sz w:val="21"/>
                      <w:szCs w:val="21"/>
                      <w:highlight w:val="none"/>
                      <w:lang w:val="en-US" w:eastAsia="zh-CN" w:bidi="ar-SA"/>
                    </w:rPr>
                  </w:pPr>
                  <w:r>
                    <w:rPr>
                      <w:rFonts w:hint="default"/>
                      <w:color w:val="auto"/>
                      <w:sz w:val="21"/>
                      <w:szCs w:val="21"/>
                      <w:highlight w:val="none"/>
                    </w:rPr>
                    <w:t>生态环境</w:t>
                  </w:r>
                </w:p>
              </w:tc>
              <w:tc>
                <w:tcPr>
                  <w:tcW w:w="5698" w:type="dxa"/>
                  <w:gridSpan w:val="7"/>
                  <w:tcBorders>
                    <w:tl2br w:val="nil"/>
                    <w:tr2bl w:val="nil"/>
                  </w:tcBorders>
                  <w:noWrap w:val="0"/>
                  <w:vAlign w:val="center"/>
                </w:tcPr>
                <w:p w14:paraId="09752D50">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eastAsia="宋体"/>
                      <w:color w:val="auto"/>
                      <w:sz w:val="21"/>
                      <w:szCs w:val="21"/>
                      <w:highlight w:val="none"/>
                      <w:lang w:val="en-US" w:eastAsia="zh-CN"/>
                    </w:rPr>
                  </w:pPr>
                  <w:r>
                    <w:rPr>
                      <w:rFonts w:hint="default"/>
                      <w:color w:val="auto"/>
                      <w:sz w:val="21"/>
                      <w:szCs w:val="21"/>
                      <w:highlight w:val="none"/>
                    </w:rPr>
                    <w:t>项目不新增占地，无生态环境保护目标</w:t>
                  </w:r>
                </w:p>
              </w:tc>
              <w:tc>
                <w:tcPr>
                  <w:tcW w:w="1630" w:type="dxa"/>
                  <w:tcBorders>
                    <w:tl2br w:val="nil"/>
                    <w:tr2bl w:val="nil"/>
                  </w:tcBorders>
                  <w:noWrap w:val="0"/>
                  <w:vAlign w:val="center"/>
                </w:tcPr>
                <w:p w14:paraId="7D59768C">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color w:val="auto"/>
                      <w:sz w:val="21"/>
                      <w:szCs w:val="21"/>
                      <w:highlight w:val="none"/>
                      <w:lang w:val="en-US" w:eastAsia="zh-CN"/>
                    </w:rPr>
                  </w:pPr>
                  <w:r>
                    <w:rPr>
                      <w:rFonts w:hint="eastAsia" w:ascii="Times New Roman" w:eastAsia="宋体"/>
                      <w:color w:val="auto"/>
                      <w:sz w:val="21"/>
                      <w:szCs w:val="21"/>
                      <w:highlight w:val="none"/>
                      <w:lang w:val="en-US" w:eastAsia="zh-CN"/>
                    </w:rPr>
                    <w:t>/</w:t>
                  </w:r>
                </w:p>
              </w:tc>
            </w:tr>
          </w:tbl>
          <w:p w14:paraId="3BDCD65F">
            <w:pPr>
              <w:adjustRightInd/>
              <w:snapToGrid/>
              <w:spacing w:beforeLines="0" w:afterLines="0"/>
              <w:jc w:val="both"/>
              <w:rPr>
                <w:rFonts w:hint="eastAsia" w:ascii="宋体" w:hAnsi="宋体" w:eastAsia="宋体" w:cs="宋体"/>
                <w:color w:val="auto"/>
                <w:kern w:val="0"/>
                <w:sz w:val="21"/>
                <w:szCs w:val="21"/>
                <w:highlight w:val="none"/>
                <w:lang w:val="en-US" w:eastAsia="zh-CN"/>
              </w:rPr>
            </w:pPr>
          </w:p>
        </w:tc>
      </w:tr>
      <w:tr w14:paraId="0BECDBB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0" w:type="dxa"/>
            <w:noWrap w:val="0"/>
            <w:tcMar>
              <w:left w:w="28" w:type="dxa"/>
              <w:right w:w="28" w:type="dxa"/>
            </w:tcMar>
            <w:vAlign w:val="center"/>
          </w:tcPr>
          <w:p w14:paraId="364744C1">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污染</w:t>
            </w:r>
          </w:p>
          <w:p w14:paraId="1A5CAF70">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物排</w:t>
            </w:r>
          </w:p>
          <w:p w14:paraId="6B7E7EEB">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放控</w:t>
            </w:r>
          </w:p>
          <w:p w14:paraId="1859D617">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制标</w:t>
            </w:r>
          </w:p>
          <w:p w14:paraId="5BAF1ADC">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准</w:t>
            </w:r>
          </w:p>
        </w:tc>
        <w:tc>
          <w:tcPr>
            <w:tcW w:w="8301" w:type="dxa"/>
            <w:noWrap w:val="0"/>
            <w:vAlign w:val="center"/>
          </w:tcPr>
          <w:p w14:paraId="54A813EF">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（一）</w:t>
            </w:r>
            <w:r>
              <w:rPr>
                <w:rFonts w:hint="default" w:ascii="Times New Roman" w:hAnsi="Times New Roman" w:eastAsia="宋体" w:cs="Times New Roman"/>
                <w:b/>
                <w:bCs w:val="0"/>
                <w:color w:val="auto"/>
                <w:kern w:val="2"/>
                <w:sz w:val="21"/>
                <w:szCs w:val="21"/>
                <w:highlight w:val="none"/>
                <w:lang w:val="en-US" w:eastAsia="zh-CN" w:bidi="ar-SA"/>
              </w:rPr>
              <w:t>废气</w:t>
            </w:r>
          </w:p>
          <w:p w14:paraId="0E277C57">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bCs/>
                <w:color w:val="auto"/>
                <w:sz w:val="21"/>
                <w:szCs w:val="21"/>
                <w:highlight w:val="none"/>
                <w:lang w:val="en-US" w:eastAsia="zh-CN"/>
              </w:rPr>
              <w:t>施工期：</w:t>
            </w:r>
            <w:r>
              <w:rPr>
                <w:rFonts w:hint="default" w:ascii="Times New Roman" w:hAnsi="Times New Roman" w:cs="Times New Roman"/>
                <w:color w:val="auto"/>
                <w:sz w:val="21"/>
                <w:szCs w:val="21"/>
                <w:highlight w:val="none"/>
              </w:rPr>
              <w:t>施工期扬尘排放执行《施工场地扬尘排放标准》（DB13/2934-2019）表1扬尘排放浓度限值</w:t>
            </w: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详见表3-5。</w:t>
            </w:r>
          </w:p>
          <w:p w14:paraId="6EBAD524">
            <w:pPr>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baseline"/>
              <w:rPr>
                <w:rFonts w:ascii="Arial"/>
                <w:color w:val="auto"/>
                <w:sz w:val="21"/>
                <w:szCs w:val="21"/>
                <w:highlight w:val="none"/>
              </w:rPr>
            </w:pPr>
            <w:r>
              <w:rPr>
                <w:rFonts w:hint="eastAsia" w:ascii="Times New Roman" w:hAnsi="Times New Roman" w:cs="Times New Roman"/>
                <w:b/>
                <w:bCs/>
                <w:color w:val="auto"/>
                <w:sz w:val="21"/>
                <w:szCs w:val="21"/>
                <w:highlight w:val="none"/>
              </w:rPr>
              <w:t>表</w:t>
            </w:r>
            <w:r>
              <w:rPr>
                <w:rFonts w:hint="eastAsia" w:ascii="Times New Roman" w:hAnsi="Times New Roman" w:cs="Times New Roman"/>
                <w:b/>
                <w:bCs/>
                <w:color w:val="auto"/>
                <w:sz w:val="21"/>
                <w:szCs w:val="21"/>
                <w:highlight w:val="none"/>
                <w:lang w:val="en-US" w:eastAsia="zh-CN"/>
              </w:rPr>
              <w:t xml:space="preserve"> 3-5 </w:t>
            </w:r>
            <w:r>
              <w:rPr>
                <w:rFonts w:hint="eastAsia" w:cs="Times New Roman"/>
                <w:b/>
                <w:bCs/>
                <w:color w:val="auto"/>
                <w:sz w:val="21"/>
                <w:szCs w:val="21"/>
                <w:highlight w:val="none"/>
                <w:lang w:val="en-US" w:eastAsia="zh-CN"/>
              </w:rPr>
              <w:t xml:space="preserve"> </w:t>
            </w:r>
            <w:r>
              <w:rPr>
                <w:rFonts w:hint="eastAsia" w:ascii="Times New Roman" w:hAnsi="Times New Roman" w:cs="Times New Roman"/>
                <w:b/>
                <w:bCs/>
                <w:color w:val="auto"/>
                <w:sz w:val="21"/>
                <w:szCs w:val="21"/>
                <w:highlight w:val="none"/>
              </w:rPr>
              <w:t>施工期废气排放标准</w:t>
            </w:r>
          </w:p>
          <w:tbl>
            <w:tblPr>
              <w:tblStyle w:val="26"/>
              <w:tblW w:w="80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7"/>
              <w:gridCol w:w="2625"/>
              <w:gridCol w:w="1050"/>
              <w:gridCol w:w="1020"/>
              <w:gridCol w:w="1673"/>
            </w:tblGrid>
            <w:tr w14:paraId="51AE6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07" w:type="dxa"/>
                  <w:noWrap w:val="0"/>
                  <w:vAlign w:val="center"/>
                </w:tcPr>
                <w:p w14:paraId="6D732BE3">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标准号</w:t>
                  </w:r>
                </w:p>
              </w:tc>
              <w:tc>
                <w:tcPr>
                  <w:tcW w:w="2625" w:type="dxa"/>
                  <w:noWrap w:val="0"/>
                  <w:vAlign w:val="center"/>
                </w:tcPr>
                <w:p w14:paraId="395F475A">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标准名称</w:t>
                  </w:r>
                </w:p>
              </w:tc>
              <w:tc>
                <w:tcPr>
                  <w:tcW w:w="1050" w:type="dxa"/>
                  <w:noWrap w:val="0"/>
                  <w:vAlign w:val="center"/>
                </w:tcPr>
                <w:p w14:paraId="10CC8F67">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污染物</w:t>
                  </w:r>
                </w:p>
              </w:tc>
              <w:tc>
                <w:tcPr>
                  <w:tcW w:w="1020" w:type="dxa"/>
                  <w:noWrap w:val="0"/>
                  <w:vAlign w:val="center"/>
                </w:tcPr>
                <w:p w14:paraId="085D68C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数值</w:t>
                  </w:r>
                </w:p>
              </w:tc>
              <w:tc>
                <w:tcPr>
                  <w:tcW w:w="1673" w:type="dxa"/>
                  <w:noWrap w:val="0"/>
                  <w:vAlign w:val="center"/>
                </w:tcPr>
                <w:p w14:paraId="4F23542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zh-CN"/>
                    </w:rPr>
                    <w:t>达标判定依据</w:t>
                  </w:r>
                </w:p>
              </w:tc>
            </w:tr>
            <w:tr w14:paraId="20CB5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07" w:type="dxa"/>
                  <w:noWrap w:val="0"/>
                  <w:vAlign w:val="center"/>
                </w:tcPr>
                <w:p w14:paraId="43B0CE4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DB13/2934-2019</w:t>
                  </w:r>
                </w:p>
              </w:tc>
              <w:tc>
                <w:tcPr>
                  <w:tcW w:w="2625" w:type="dxa"/>
                  <w:noWrap w:val="0"/>
                  <w:vAlign w:val="center"/>
                </w:tcPr>
                <w:p w14:paraId="2A13E228">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施工场地扬尘排放标准</w:t>
                  </w:r>
                </w:p>
              </w:tc>
              <w:tc>
                <w:tcPr>
                  <w:tcW w:w="1050" w:type="dxa"/>
                  <w:noWrap w:val="0"/>
                  <w:vAlign w:val="center"/>
                </w:tcPr>
                <w:p w14:paraId="1EA81939">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PM</w:t>
                  </w:r>
                  <w:r>
                    <w:rPr>
                      <w:rFonts w:hint="default" w:ascii="Times New Roman" w:hAnsi="Times New Roman" w:eastAsia="宋体" w:cs="Times New Roman"/>
                      <w:color w:val="auto"/>
                      <w:kern w:val="0"/>
                      <w:sz w:val="21"/>
                      <w:szCs w:val="21"/>
                      <w:highlight w:val="none"/>
                      <w:vertAlign w:val="subscript"/>
                      <w:lang w:val="zh-CN" w:eastAsia="zh-CN" w:bidi="zh-CN"/>
                    </w:rPr>
                    <w:t>10</w:t>
                  </w:r>
                </w:p>
              </w:tc>
              <w:tc>
                <w:tcPr>
                  <w:tcW w:w="1020" w:type="dxa"/>
                  <w:noWrap w:val="0"/>
                  <w:vAlign w:val="center"/>
                </w:tcPr>
                <w:p w14:paraId="6A7C3F74">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80μg/m³</w:t>
                  </w:r>
                </w:p>
              </w:tc>
              <w:tc>
                <w:tcPr>
                  <w:tcW w:w="1673" w:type="dxa"/>
                  <w:noWrap w:val="0"/>
                  <w:vAlign w:val="center"/>
                </w:tcPr>
                <w:p w14:paraId="543EAFE1">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zh-CN" w:eastAsia="zh-CN" w:bidi="zh-CN"/>
                    </w:rPr>
                    <w:t>≤</w:t>
                  </w:r>
                  <w:r>
                    <w:rPr>
                      <w:rFonts w:hint="default" w:ascii="Times New Roman" w:hAnsi="Times New Roman" w:eastAsia="宋体" w:cs="Times New Roman"/>
                      <w:color w:val="auto"/>
                      <w:kern w:val="0"/>
                      <w:sz w:val="21"/>
                      <w:szCs w:val="21"/>
                      <w:highlight w:val="none"/>
                      <w:lang w:val="en-US" w:eastAsia="zh-CN" w:bidi="zh-CN"/>
                    </w:rPr>
                    <w:t>2次/天</w:t>
                  </w:r>
                </w:p>
              </w:tc>
            </w:tr>
          </w:tbl>
          <w:p w14:paraId="38D8FE48">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jc w:val="both"/>
              <w:textAlignment w:val="baseline"/>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监测点浓度限值指监测点PM</w:t>
            </w:r>
            <w:r>
              <w:rPr>
                <w:rFonts w:hint="default" w:ascii="Times New Roman" w:hAnsi="Times New Roman" w:cs="Times New Roman"/>
                <w:color w:val="auto"/>
                <w:sz w:val="21"/>
                <w:szCs w:val="21"/>
                <w:highlight w:val="none"/>
                <w:vertAlign w:val="subscript"/>
              </w:rPr>
              <w:t>10</w:t>
            </w:r>
            <w:r>
              <w:rPr>
                <w:rFonts w:hint="default" w:ascii="Times New Roman" w:hAnsi="Times New Roman" w:cs="Times New Roman"/>
                <w:color w:val="auto"/>
                <w:sz w:val="21"/>
                <w:szCs w:val="21"/>
                <w:highlight w:val="none"/>
              </w:rPr>
              <w:t>小时平均浓度实测值与同时段所属县（市、区）PM</w:t>
            </w:r>
            <w:r>
              <w:rPr>
                <w:rFonts w:hint="default" w:ascii="Times New Roman" w:hAnsi="Times New Roman" w:cs="Times New Roman"/>
                <w:color w:val="auto"/>
                <w:sz w:val="21"/>
                <w:szCs w:val="21"/>
                <w:highlight w:val="none"/>
                <w:vertAlign w:val="subscript"/>
              </w:rPr>
              <w:t>10</w:t>
            </w:r>
            <w:r>
              <w:rPr>
                <w:rFonts w:hint="default" w:ascii="Times New Roman" w:hAnsi="Times New Roman" w:cs="Times New Roman"/>
                <w:color w:val="auto"/>
                <w:sz w:val="21"/>
                <w:szCs w:val="21"/>
                <w:highlight w:val="none"/>
              </w:rPr>
              <w:t>小时平均浓度的差值。当县（市、区）PM</w:t>
            </w:r>
            <w:r>
              <w:rPr>
                <w:rFonts w:hint="default" w:ascii="Times New Roman" w:hAnsi="Times New Roman" w:cs="Times New Roman"/>
                <w:color w:val="auto"/>
                <w:sz w:val="21"/>
                <w:szCs w:val="21"/>
                <w:highlight w:val="none"/>
                <w:vertAlign w:val="subscript"/>
              </w:rPr>
              <w:t>10</w:t>
            </w:r>
            <w:r>
              <w:rPr>
                <w:rFonts w:hint="default" w:ascii="Times New Roman" w:hAnsi="Times New Roman" w:cs="Times New Roman"/>
                <w:color w:val="auto"/>
                <w:sz w:val="21"/>
                <w:szCs w:val="21"/>
                <w:highlight w:val="none"/>
              </w:rPr>
              <w:t>小时平均浓度值大于150μg/m</w:t>
            </w:r>
            <w:r>
              <w:rPr>
                <w:rFonts w:hint="eastAsia"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rPr>
              <w:t>时，以150μg/m</w:t>
            </w:r>
            <w:r>
              <w:rPr>
                <w:rFonts w:hint="eastAsia" w:ascii="Times New Roman" w:hAnsi="Times New Roman" w:cs="Times New Roman"/>
                <w:color w:val="auto"/>
                <w:sz w:val="21"/>
                <w:szCs w:val="21"/>
                <w:highlight w:val="none"/>
                <w:vertAlign w:val="superscript"/>
                <w:lang w:val="en-US" w:eastAsia="zh-CN"/>
              </w:rPr>
              <w:t>3</w:t>
            </w:r>
            <w:r>
              <w:rPr>
                <w:rFonts w:hint="default" w:ascii="Times New Roman" w:hAnsi="Times New Roman" w:cs="Times New Roman"/>
                <w:color w:val="auto"/>
                <w:sz w:val="21"/>
                <w:szCs w:val="21"/>
                <w:highlight w:val="none"/>
              </w:rPr>
              <w:t>计。</w:t>
            </w:r>
          </w:p>
          <w:p w14:paraId="0425CFF7">
            <w:pPr>
              <w:spacing w:beforeLines="0" w:afterLines="0" w:line="360" w:lineRule="auto"/>
              <w:ind w:firstLine="420" w:firstLineChars="200"/>
              <w:rPr>
                <w:rFonts w:hint="eastAsia" w:cs="Times New Roman"/>
                <w:color w:val="auto"/>
                <w:sz w:val="21"/>
                <w:szCs w:val="21"/>
                <w:highlight w:val="none"/>
                <w:lang w:val="en-US" w:eastAsia="zh-CN"/>
              </w:rPr>
            </w:pPr>
            <w:r>
              <w:rPr>
                <w:rFonts w:hint="default" w:ascii="Times New Roman" w:hAnsi="Times New Roman" w:eastAsia="宋体" w:cs="Times New Roman"/>
                <w:bCs/>
                <w:color w:val="auto"/>
                <w:sz w:val="21"/>
                <w:szCs w:val="21"/>
                <w:highlight w:val="none"/>
                <w:lang w:val="en-US" w:eastAsia="zh-CN"/>
              </w:rPr>
              <w:t>运营期</w:t>
            </w: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甘氨酸螯合物一车间</w:t>
            </w:r>
            <w:r>
              <w:rPr>
                <w:rFonts w:hint="default" w:ascii="Times New Roman" w:hAnsi="Times New Roman" w:eastAsia="宋体" w:cs="Times New Roman"/>
                <w:color w:val="auto"/>
                <w:sz w:val="21"/>
                <w:szCs w:val="21"/>
                <w:highlight w:val="none"/>
                <w:lang w:val="en-US" w:eastAsia="zh-CN"/>
              </w:rPr>
              <w:t>有组织</w:t>
            </w:r>
            <w:r>
              <w:rPr>
                <w:rFonts w:hint="eastAsia" w:cs="Times New Roman"/>
                <w:color w:val="auto"/>
                <w:sz w:val="21"/>
                <w:szCs w:val="21"/>
                <w:highlight w:val="none"/>
                <w:lang w:val="en-US" w:eastAsia="zh-CN"/>
              </w:rPr>
              <w:t>颗粒物</w:t>
            </w:r>
            <w:r>
              <w:rPr>
                <w:rFonts w:hint="default" w:ascii="Times New Roman" w:hAnsi="Times New Roman" w:eastAsia="宋体" w:cs="Times New Roman"/>
                <w:color w:val="auto"/>
                <w:sz w:val="21"/>
                <w:szCs w:val="21"/>
                <w:highlight w:val="none"/>
                <w:lang w:val="en-US" w:eastAsia="zh-CN"/>
              </w:rPr>
              <w:t>排放执行《大气污染物</w:t>
            </w:r>
            <w:r>
              <w:rPr>
                <w:rFonts w:hint="eastAsia" w:cs="Times New Roman"/>
                <w:color w:val="auto"/>
                <w:sz w:val="21"/>
                <w:szCs w:val="21"/>
                <w:highlight w:val="none"/>
                <w:lang w:val="en-US" w:eastAsia="zh-CN"/>
              </w:rPr>
              <w:t>综合</w:t>
            </w:r>
            <w:r>
              <w:rPr>
                <w:rFonts w:hint="default" w:ascii="Times New Roman" w:hAnsi="Times New Roman" w:eastAsia="宋体" w:cs="Times New Roman"/>
                <w:color w:val="auto"/>
                <w:sz w:val="21"/>
                <w:szCs w:val="21"/>
                <w:highlight w:val="none"/>
                <w:lang w:val="en-US" w:eastAsia="zh-CN"/>
              </w:rPr>
              <w:t>排放标准》（GB</w:t>
            </w:r>
            <w:r>
              <w:rPr>
                <w:rFonts w:hint="eastAsia" w:ascii="Times New Roman" w:hAnsi="Times New Roman" w:eastAsia="宋体" w:cs="Times New Roman"/>
                <w:color w:val="auto"/>
                <w:sz w:val="21"/>
                <w:szCs w:val="21"/>
                <w:highlight w:val="none"/>
                <w:lang w:val="en-US" w:eastAsia="zh-CN"/>
              </w:rPr>
              <w:t xml:space="preserve"> </w:t>
            </w:r>
            <w:r>
              <w:rPr>
                <w:rFonts w:hint="eastAsia" w:cs="Times New Roman"/>
                <w:color w:val="auto"/>
                <w:sz w:val="21"/>
                <w:szCs w:val="21"/>
                <w:highlight w:val="none"/>
                <w:lang w:val="en-US" w:eastAsia="zh-CN"/>
              </w:rPr>
              <w:t>16297-1996</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表2</w:t>
            </w:r>
            <w:r>
              <w:rPr>
                <w:rFonts w:hint="eastAsia" w:cs="Times New Roman"/>
                <w:color w:val="auto"/>
                <w:sz w:val="21"/>
                <w:szCs w:val="21"/>
                <w:highlight w:val="none"/>
                <w:lang w:val="en-US" w:eastAsia="zh-CN"/>
              </w:rPr>
              <w:t>新污染源大气</w:t>
            </w:r>
            <w:r>
              <w:rPr>
                <w:rFonts w:hint="eastAsia" w:ascii="Times New Roman" w:hAnsi="Times New Roman" w:eastAsia="宋体" w:cs="Times New Roman"/>
                <w:color w:val="auto"/>
                <w:sz w:val="21"/>
                <w:szCs w:val="21"/>
                <w:highlight w:val="none"/>
                <w:lang w:val="en-US" w:eastAsia="zh-CN"/>
              </w:rPr>
              <w:t>污染物排放限值。</w:t>
            </w:r>
            <w:r>
              <w:rPr>
                <w:rFonts w:hint="eastAsia" w:cs="Times New Roman"/>
                <w:color w:val="auto"/>
                <w:sz w:val="21"/>
                <w:szCs w:val="21"/>
                <w:highlight w:val="none"/>
                <w:lang w:val="en-US" w:eastAsia="zh-CN"/>
              </w:rPr>
              <w:t>污水处理站恶臭废气（氨、硫化氢、臭气浓度）执行《恶臭污染物排放标准》（GB14554-93）表2标准。</w:t>
            </w:r>
          </w:p>
          <w:p w14:paraId="4BB61A6E">
            <w:pPr>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厂界</w:t>
            </w:r>
            <w:r>
              <w:rPr>
                <w:rFonts w:hint="eastAsia" w:ascii="Times New Roman" w:hAnsi="Times New Roman" w:eastAsia="宋体" w:cs="Times New Roman"/>
                <w:color w:val="auto"/>
                <w:sz w:val="21"/>
                <w:szCs w:val="21"/>
                <w:highlight w:val="none"/>
                <w:lang w:val="en-US" w:eastAsia="zh-CN"/>
              </w:rPr>
              <w:t>无组织</w:t>
            </w:r>
            <w:r>
              <w:rPr>
                <w:rFonts w:hint="default" w:ascii="Times New Roman" w:hAnsi="Times New Roman" w:eastAsia="宋体" w:cs="Times New Roman"/>
                <w:color w:val="auto"/>
                <w:sz w:val="21"/>
                <w:szCs w:val="21"/>
                <w:highlight w:val="none"/>
                <w:lang w:val="en-US" w:eastAsia="zh-CN"/>
              </w:rPr>
              <w:t>颗粒物</w:t>
            </w:r>
            <w:r>
              <w:rPr>
                <w:rFonts w:hint="eastAsia" w:ascii="Times New Roman" w:hAnsi="Times New Roman" w:eastAsia="宋体" w:cs="Times New Roman"/>
                <w:color w:val="auto"/>
                <w:sz w:val="21"/>
                <w:szCs w:val="21"/>
                <w:highlight w:val="none"/>
                <w:lang w:val="en-US" w:eastAsia="zh-CN"/>
              </w:rPr>
              <w:t>排放</w:t>
            </w:r>
            <w:r>
              <w:rPr>
                <w:rFonts w:hint="default" w:ascii="Times New Roman" w:hAnsi="Times New Roman" w:eastAsia="宋体" w:cs="Times New Roman"/>
                <w:color w:val="auto"/>
                <w:sz w:val="21"/>
                <w:szCs w:val="21"/>
                <w:highlight w:val="none"/>
                <w:lang w:val="en-US" w:eastAsia="zh-CN"/>
              </w:rPr>
              <w:t>执行《大气污染物综合排放标准》（GB</w:t>
            </w:r>
            <w:r>
              <w:rPr>
                <w:rFonts w:hint="eastAsia" w:ascii="Times New Roman" w:hAnsi="Times New Roman" w:eastAsia="宋体" w:cs="Times New Roman"/>
                <w:color w:val="auto"/>
                <w:sz w:val="21"/>
                <w:szCs w:val="21"/>
                <w:highlight w:val="none"/>
                <w:lang w:val="en-US" w:eastAsia="zh-CN"/>
              </w:rPr>
              <w:t>16297</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1996</w:t>
            </w:r>
            <w:r>
              <w:rPr>
                <w:rFonts w:hint="default" w:ascii="Times New Roman" w:hAnsi="Times New Roman" w:eastAsia="宋体" w:cs="Times New Roman"/>
                <w:color w:val="auto"/>
                <w:sz w:val="21"/>
                <w:szCs w:val="21"/>
                <w:highlight w:val="none"/>
                <w:lang w:val="en-US" w:eastAsia="zh-CN"/>
              </w:rPr>
              <w:t>）表</w:t>
            </w:r>
            <w:r>
              <w:rPr>
                <w:rFonts w:hint="eastAsia" w:ascii="Times New Roman" w:hAnsi="Times New Roman" w:eastAsia="宋体" w:cs="Times New Roman"/>
                <w:color w:val="auto"/>
                <w:sz w:val="21"/>
                <w:szCs w:val="21"/>
                <w:highlight w:val="none"/>
                <w:lang w:val="en-US" w:eastAsia="zh-CN"/>
              </w:rPr>
              <w:t>2无组织排放监控浓度限值</w:t>
            </w:r>
            <w:r>
              <w:rPr>
                <w:rFonts w:hint="eastAsia" w:cs="Times New Roman"/>
                <w:color w:val="auto"/>
                <w:sz w:val="21"/>
                <w:szCs w:val="21"/>
                <w:highlight w:val="none"/>
                <w:lang w:val="en-US" w:eastAsia="zh-CN"/>
              </w:rPr>
              <w:t>。厂界无组织恶臭废气（氨、硫化氢、臭气浓度）排放执行</w:t>
            </w:r>
            <w:r>
              <w:rPr>
                <w:rFonts w:hint="default" w:ascii="Times New Roman" w:hAnsi="Times New Roman" w:eastAsia="宋体" w:cs="Times New Roman"/>
                <w:color w:val="auto"/>
                <w:kern w:val="2"/>
                <w:sz w:val="21"/>
                <w:szCs w:val="21"/>
                <w:highlight w:val="none"/>
                <w:lang w:val="en-US" w:eastAsia="zh-CN" w:bidi="ar-SA"/>
              </w:rPr>
              <w:t>《恶臭污染物排放标准》</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GB14554</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93</w:t>
            </w:r>
            <w:r>
              <w:rPr>
                <w:rFonts w:hint="eastAsia" w:cs="Times New Roman"/>
                <w:color w:val="auto"/>
                <w:kern w:val="2"/>
                <w:sz w:val="21"/>
                <w:szCs w:val="21"/>
                <w:highlight w:val="none"/>
                <w:lang w:val="en-US" w:eastAsia="zh-CN" w:bidi="ar-SA"/>
              </w:rPr>
              <w:t>）表1二级新扩改建。</w:t>
            </w:r>
          </w:p>
          <w:p w14:paraId="3E22DF1C">
            <w:pPr>
              <w:pStyle w:val="12"/>
              <w:spacing w:beforeLines="0" w:afterLines="0" w:line="360" w:lineRule="auto"/>
              <w:ind w:firstLine="0"/>
              <w:rPr>
                <w:rFonts w:hint="default"/>
                <w:b/>
                <w:bCs/>
                <w:color w:val="auto"/>
                <w:sz w:val="21"/>
                <w:szCs w:val="21"/>
                <w:highlight w:val="none"/>
                <w:lang w:val="en-US"/>
              </w:rPr>
            </w:pPr>
            <w:r>
              <w:rPr>
                <w:rFonts w:hint="eastAsia"/>
                <w:b/>
                <w:bCs/>
                <w:color w:val="auto"/>
                <w:sz w:val="21"/>
                <w:szCs w:val="21"/>
                <w:highlight w:val="none"/>
              </w:rPr>
              <w:t>表</w:t>
            </w:r>
            <w:r>
              <w:rPr>
                <w:rFonts w:hint="eastAsia"/>
                <w:b/>
                <w:bCs/>
                <w:color w:val="auto"/>
                <w:sz w:val="21"/>
                <w:szCs w:val="21"/>
                <w:highlight w:val="none"/>
                <w:lang w:val="en-US" w:eastAsia="zh-CN"/>
              </w:rPr>
              <w:t xml:space="preserve"> 3-6  运营期废气污染物排放标准</w:t>
            </w:r>
          </w:p>
          <w:tbl>
            <w:tblPr>
              <w:tblStyle w:val="25"/>
              <w:tblW w:w="4991"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637"/>
              <w:gridCol w:w="934"/>
              <w:gridCol w:w="975"/>
              <w:gridCol w:w="946"/>
              <w:gridCol w:w="984"/>
              <w:gridCol w:w="3589"/>
            </w:tblGrid>
            <w:tr w14:paraId="25B5157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noWrap w:val="0"/>
                  <w:vAlign w:val="center"/>
                </w:tcPr>
                <w:p w14:paraId="3D3E3AA0">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类别</w:t>
                  </w:r>
                </w:p>
              </w:tc>
              <w:tc>
                <w:tcPr>
                  <w:tcW w:w="579" w:type="pct"/>
                  <w:noWrap w:val="0"/>
                  <w:vAlign w:val="center"/>
                </w:tcPr>
                <w:p w14:paraId="2B27FAFC">
                  <w:pPr>
                    <w:keepNext w:val="0"/>
                    <w:keepLines w:val="0"/>
                    <w:suppressLineNumbers w:val="0"/>
                    <w:autoSpaceDE/>
                    <w:autoSpaceDN/>
                    <w:spacing w:before="0" w:beforeLines="0" w:beforeAutospacing="0" w:after="0" w:afterLines="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污染源</w:t>
                  </w:r>
                </w:p>
              </w:tc>
              <w:tc>
                <w:tcPr>
                  <w:tcW w:w="604" w:type="pct"/>
                  <w:noWrap w:val="0"/>
                  <w:vAlign w:val="center"/>
                </w:tcPr>
                <w:p w14:paraId="7092F319">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tc>
              <w:tc>
                <w:tcPr>
                  <w:tcW w:w="1196" w:type="pct"/>
                  <w:gridSpan w:val="2"/>
                  <w:noWrap w:val="0"/>
                  <w:vAlign w:val="center"/>
                </w:tcPr>
                <w:p w14:paraId="28555B0F">
                  <w:pPr>
                    <w:keepNext w:val="0"/>
                    <w:keepLines w:val="0"/>
                    <w:suppressLineNumbers w:val="0"/>
                    <w:autoSpaceDE/>
                    <w:autoSpaceDN/>
                    <w:spacing w:before="0" w:beforeLines="0" w:beforeAutospacing="0" w:after="0" w:afterLines="0" w:afterAutospacing="0" w:line="240" w:lineRule="auto"/>
                    <w:ind w:left="0" w:right="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标准值</w:t>
                  </w:r>
                </w:p>
              </w:tc>
              <w:tc>
                <w:tcPr>
                  <w:tcW w:w="2224" w:type="pct"/>
                  <w:noWrap w:val="0"/>
                  <w:vAlign w:val="center"/>
                </w:tcPr>
                <w:p w14:paraId="64BB4A6B">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标准来源</w:t>
                  </w:r>
                </w:p>
              </w:tc>
            </w:tr>
            <w:tr w14:paraId="0F02F2B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trHeight w:val="397" w:hRule="atLeast"/>
                <w:jc w:val="center"/>
              </w:trPr>
              <w:tc>
                <w:tcPr>
                  <w:tcW w:w="395" w:type="pct"/>
                  <w:vMerge w:val="restart"/>
                  <w:noWrap w:val="0"/>
                  <w:vAlign w:val="center"/>
                </w:tcPr>
                <w:p w14:paraId="13C8AA9B">
                  <w:pPr>
                    <w:keepNext w:val="0"/>
                    <w:keepLines w:val="0"/>
                    <w:suppressLineNumbers w:val="0"/>
                    <w:autoSpaceDE/>
                    <w:autoSpaceDN/>
                    <w:spacing w:before="0" w:beforeLines="0" w:beforeAutospacing="0" w:after="0" w:afterLines="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运营期废气</w:t>
                  </w:r>
                </w:p>
              </w:tc>
              <w:tc>
                <w:tcPr>
                  <w:tcW w:w="579" w:type="pct"/>
                  <w:vMerge w:val="restart"/>
                  <w:noWrap w:val="0"/>
                  <w:vAlign w:val="center"/>
                </w:tcPr>
                <w:p w14:paraId="778D7726">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甘氨酸螯合物一车间有组织废气（25m）</w:t>
                  </w:r>
                </w:p>
              </w:tc>
              <w:tc>
                <w:tcPr>
                  <w:tcW w:w="604" w:type="pct"/>
                  <w:vMerge w:val="restart"/>
                  <w:noWrap w:val="0"/>
                  <w:vAlign w:val="center"/>
                </w:tcPr>
                <w:p w14:paraId="4E46E0F0">
                  <w:pPr>
                    <w:spacing w:beforeLines="0" w:afterLines="0" w:line="240" w:lineRule="auto"/>
                    <w:jc w:val="center"/>
                    <w:rPr>
                      <w:rFonts w:hint="default" w:ascii="Times New Roman" w:hAnsi="Times New Roman" w:eastAsia="宋体"/>
                      <w:color w:val="auto"/>
                      <w:spacing w:val="-6"/>
                      <w:kern w:val="0"/>
                      <w:sz w:val="21"/>
                      <w:szCs w:val="21"/>
                      <w:highlight w:val="none"/>
                      <w:lang w:val="en-US" w:eastAsia="zh-CN" w:bidi="ar-SA"/>
                    </w:rPr>
                  </w:pPr>
                  <w:r>
                    <w:rPr>
                      <w:rFonts w:hint="eastAsia"/>
                      <w:color w:val="auto"/>
                      <w:spacing w:val="-6"/>
                      <w:kern w:val="0"/>
                      <w:sz w:val="21"/>
                      <w:szCs w:val="21"/>
                      <w:highlight w:val="none"/>
                      <w:lang w:val="en-US" w:eastAsia="zh-CN" w:bidi="ar-SA"/>
                    </w:rPr>
                    <w:t>颗粒物</w:t>
                  </w:r>
                </w:p>
              </w:tc>
              <w:tc>
                <w:tcPr>
                  <w:tcW w:w="586" w:type="pct"/>
                  <w:noWrap w:val="0"/>
                  <w:vAlign w:val="center"/>
                </w:tcPr>
                <w:p w14:paraId="30433AB6">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浓度限值</w:t>
                  </w:r>
                </w:p>
              </w:tc>
              <w:tc>
                <w:tcPr>
                  <w:tcW w:w="610" w:type="pct"/>
                  <w:noWrap w:val="0"/>
                  <w:vAlign w:val="center"/>
                </w:tcPr>
                <w:p w14:paraId="637803F6">
                  <w:pPr>
                    <w:spacing w:beforeLines="0" w:afterLines="0"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120</w:t>
                  </w:r>
                  <w:r>
                    <w:rPr>
                      <w:rFonts w:hint="default" w:ascii="Times New Roman" w:hAnsi="Times New Roman" w:eastAsia="宋体" w:cs="Times New Roman"/>
                      <w:color w:val="auto"/>
                      <w:sz w:val="21"/>
                      <w:szCs w:val="21"/>
                      <w:highlight w:val="none"/>
                    </w:rPr>
                    <w:t>mg/m</w:t>
                  </w:r>
                  <w:r>
                    <w:rPr>
                      <w:rFonts w:hint="eastAsia" w:ascii="Times New Roman" w:hAnsi="Times New Roman" w:eastAsia="宋体" w:cs="Times New Roman"/>
                      <w:color w:val="auto"/>
                      <w:sz w:val="21"/>
                      <w:szCs w:val="21"/>
                      <w:highlight w:val="none"/>
                      <w:vertAlign w:val="superscript"/>
                      <w:lang w:val="en-US" w:eastAsia="zh-CN"/>
                    </w:rPr>
                    <w:t>3</w:t>
                  </w:r>
                </w:p>
              </w:tc>
              <w:tc>
                <w:tcPr>
                  <w:tcW w:w="2224" w:type="pct"/>
                  <w:vMerge w:val="restart"/>
                  <w:noWrap w:val="0"/>
                  <w:vAlign w:val="center"/>
                </w:tcPr>
                <w:p w14:paraId="2C09CC3C">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《大气污染物综合排放标准》（GB16297-1996）表2新污染源大气污染物排放限值</w:t>
                  </w:r>
                </w:p>
              </w:tc>
            </w:tr>
            <w:tr w14:paraId="4B1C562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335E8354">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continue"/>
                  <w:noWrap w:val="0"/>
                  <w:vAlign w:val="center"/>
                </w:tcPr>
                <w:p w14:paraId="44B10BE8">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cs="Times New Roman"/>
                      <w:color w:val="auto"/>
                      <w:sz w:val="21"/>
                      <w:szCs w:val="21"/>
                      <w:highlight w:val="none"/>
                      <w:lang w:val="en-US" w:eastAsia="zh-CN"/>
                    </w:rPr>
                  </w:pPr>
                </w:p>
              </w:tc>
              <w:tc>
                <w:tcPr>
                  <w:tcW w:w="604" w:type="pct"/>
                  <w:vMerge w:val="continue"/>
                  <w:noWrap w:val="0"/>
                  <w:vAlign w:val="center"/>
                </w:tcPr>
                <w:p w14:paraId="514784B8">
                  <w:pPr>
                    <w:spacing w:beforeLines="0" w:afterLines="0" w:line="240" w:lineRule="auto"/>
                    <w:jc w:val="center"/>
                    <w:rPr>
                      <w:rFonts w:hint="eastAsia"/>
                      <w:color w:val="auto"/>
                      <w:spacing w:val="-6"/>
                      <w:kern w:val="0"/>
                      <w:sz w:val="21"/>
                      <w:szCs w:val="21"/>
                      <w:highlight w:val="none"/>
                      <w:lang w:val="en-US" w:eastAsia="zh-CN" w:bidi="ar-SA"/>
                    </w:rPr>
                  </w:pPr>
                </w:p>
              </w:tc>
              <w:tc>
                <w:tcPr>
                  <w:tcW w:w="586" w:type="pct"/>
                  <w:noWrap w:val="0"/>
                  <w:vAlign w:val="center"/>
                </w:tcPr>
                <w:p w14:paraId="3E37F64F">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排放速率</w:t>
                  </w:r>
                  <w:r>
                    <w:rPr>
                      <w:rFonts w:hint="eastAsia" w:cs="Times New Roman"/>
                      <w:color w:val="auto"/>
                      <w:sz w:val="21"/>
                      <w:szCs w:val="21"/>
                      <w:highlight w:val="none"/>
                      <w:vertAlign w:val="superscript"/>
                      <w:lang w:val="en-US" w:eastAsia="zh-CN"/>
                    </w:rPr>
                    <w:t>a</w:t>
                  </w:r>
                </w:p>
              </w:tc>
              <w:tc>
                <w:tcPr>
                  <w:tcW w:w="610" w:type="pct"/>
                  <w:noWrap w:val="0"/>
                  <w:vAlign w:val="center"/>
                </w:tcPr>
                <w:p w14:paraId="72F660B3">
                  <w:pPr>
                    <w:spacing w:beforeLines="0" w:afterLines="0" w:line="240" w:lineRule="auto"/>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14.45kg/h</w:t>
                  </w:r>
                </w:p>
              </w:tc>
              <w:tc>
                <w:tcPr>
                  <w:tcW w:w="2224" w:type="pct"/>
                  <w:vMerge w:val="continue"/>
                  <w:noWrap w:val="0"/>
                  <w:vAlign w:val="center"/>
                </w:tcPr>
                <w:p w14:paraId="196F4233">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p>
              </w:tc>
            </w:tr>
            <w:tr w14:paraId="1AAEBD4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412E2D1C">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restart"/>
                  <w:noWrap w:val="0"/>
                  <w:vAlign w:val="center"/>
                </w:tcPr>
                <w:p w14:paraId="675C159D">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污水处理站（15m）</w:t>
                  </w:r>
                </w:p>
              </w:tc>
              <w:tc>
                <w:tcPr>
                  <w:tcW w:w="604" w:type="pct"/>
                  <w:noWrap w:val="0"/>
                  <w:vAlign w:val="center"/>
                </w:tcPr>
                <w:p w14:paraId="2D2AA4DD">
                  <w:pPr>
                    <w:spacing w:beforeLines="0" w:afterLines="0" w:line="240" w:lineRule="auto"/>
                    <w:jc w:val="center"/>
                    <w:rPr>
                      <w:rFonts w:hint="eastAsia"/>
                      <w:color w:val="auto"/>
                      <w:spacing w:val="-6"/>
                      <w:kern w:val="0"/>
                      <w:sz w:val="21"/>
                      <w:szCs w:val="21"/>
                      <w:highlight w:val="none"/>
                      <w:lang w:val="en-US" w:eastAsia="zh-CN" w:bidi="ar-SA"/>
                    </w:rPr>
                  </w:pPr>
                  <w:r>
                    <w:rPr>
                      <w:rFonts w:hint="eastAsia"/>
                      <w:color w:val="auto"/>
                      <w:spacing w:val="-6"/>
                      <w:kern w:val="0"/>
                      <w:sz w:val="21"/>
                      <w:szCs w:val="21"/>
                      <w:highlight w:val="none"/>
                      <w:lang w:val="en-US" w:eastAsia="zh-CN" w:bidi="ar-SA"/>
                    </w:rPr>
                    <w:t>氨</w:t>
                  </w:r>
                </w:p>
              </w:tc>
              <w:tc>
                <w:tcPr>
                  <w:tcW w:w="586" w:type="pct"/>
                  <w:noWrap w:val="0"/>
                  <w:vAlign w:val="center"/>
                </w:tcPr>
                <w:p w14:paraId="39E1CF29">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排放速率</w:t>
                  </w:r>
                </w:p>
              </w:tc>
              <w:tc>
                <w:tcPr>
                  <w:tcW w:w="610" w:type="pct"/>
                  <w:noWrap w:val="0"/>
                  <w:vAlign w:val="center"/>
                </w:tcPr>
                <w:p w14:paraId="01546BEA">
                  <w:pPr>
                    <w:spacing w:beforeLines="0" w:afterLines="0" w:line="240" w:lineRule="auto"/>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4.9kg/h</w:t>
                  </w:r>
                </w:p>
              </w:tc>
              <w:tc>
                <w:tcPr>
                  <w:tcW w:w="2224" w:type="pct"/>
                  <w:vMerge w:val="restart"/>
                  <w:noWrap w:val="0"/>
                  <w:vAlign w:val="center"/>
                </w:tcPr>
                <w:p w14:paraId="409FCA9C">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《恶臭污染物排放标准》</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GB14554</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93</w:t>
                  </w:r>
                  <w:r>
                    <w:rPr>
                      <w:rFonts w:hint="eastAsia" w:cs="Times New Roman"/>
                      <w:color w:val="auto"/>
                      <w:kern w:val="2"/>
                      <w:sz w:val="21"/>
                      <w:szCs w:val="21"/>
                      <w:highlight w:val="none"/>
                      <w:lang w:val="en-US" w:eastAsia="zh-CN" w:bidi="ar-SA"/>
                    </w:rPr>
                    <w:t>）表2标准</w:t>
                  </w:r>
                </w:p>
              </w:tc>
            </w:tr>
            <w:tr w14:paraId="57EFDBA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4B7ED401">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continue"/>
                  <w:noWrap w:val="0"/>
                  <w:vAlign w:val="center"/>
                </w:tcPr>
                <w:p w14:paraId="2CC12C0B">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cs="Times New Roman"/>
                      <w:color w:val="auto"/>
                      <w:sz w:val="21"/>
                      <w:szCs w:val="21"/>
                      <w:highlight w:val="none"/>
                      <w:lang w:val="en-US" w:eastAsia="zh-CN"/>
                    </w:rPr>
                  </w:pPr>
                </w:p>
              </w:tc>
              <w:tc>
                <w:tcPr>
                  <w:tcW w:w="604" w:type="pct"/>
                  <w:noWrap w:val="0"/>
                  <w:vAlign w:val="center"/>
                </w:tcPr>
                <w:p w14:paraId="23ABBC6D">
                  <w:pPr>
                    <w:spacing w:beforeLines="0" w:afterLines="0" w:line="240" w:lineRule="auto"/>
                    <w:jc w:val="center"/>
                    <w:rPr>
                      <w:rFonts w:hint="default"/>
                      <w:color w:val="auto"/>
                      <w:spacing w:val="-6"/>
                      <w:kern w:val="0"/>
                      <w:sz w:val="21"/>
                      <w:szCs w:val="21"/>
                      <w:highlight w:val="none"/>
                      <w:lang w:val="en-US" w:eastAsia="zh-CN" w:bidi="ar-SA"/>
                    </w:rPr>
                  </w:pPr>
                  <w:r>
                    <w:rPr>
                      <w:rFonts w:hint="eastAsia"/>
                      <w:color w:val="auto"/>
                      <w:spacing w:val="-6"/>
                      <w:kern w:val="0"/>
                      <w:sz w:val="21"/>
                      <w:szCs w:val="21"/>
                      <w:highlight w:val="none"/>
                      <w:lang w:val="en-US" w:eastAsia="zh-CN" w:bidi="ar-SA"/>
                    </w:rPr>
                    <w:t>硫化氢</w:t>
                  </w:r>
                </w:p>
              </w:tc>
              <w:tc>
                <w:tcPr>
                  <w:tcW w:w="586" w:type="pct"/>
                  <w:noWrap w:val="0"/>
                  <w:vAlign w:val="center"/>
                </w:tcPr>
                <w:p w14:paraId="22E0C0CC">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排放速率</w:t>
                  </w:r>
                </w:p>
              </w:tc>
              <w:tc>
                <w:tcPr>
                  <w:tcW w:w="610" w:type="pct"/>
                  <w:noWrap w:val="0"/>
                  <w:vAlign w:val="center"/>
                </w:tcPr>
                <w:p w14:paraId="7CFE1833">
                  <w:pPr>
                    <w:spacing w:beforeLines="0" w:afterLines="0" w:line="240" w:lineRule="auto"/>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0.33kg/h</w:t>
                  </w:r>
                </w:p>
              </w:tc>
              <w:tc>
                <w:tcPr>
                  <w:tcW w:w="2224" w:type="pct"/>
                  <w:vMerge w:val="continue"/>
                  <w:noWrap w:val="0"/>
                  <w:vAlign w:val="center"/>
                </w:tcPr>
                <w:p w14:paraId="0E5DD3C6">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p>
              </w:tc>
            </w:tr>
            <w:tr w14:paraId="744DDFB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06F52ACF">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continue"/>
                  <w:noWrap w:val="0"/>
                  <w:vAlign w:val="center"/>
                </w:tcPr>
                <w:p w14:paraId="4FF0E733">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cs="Times New Roman"/>
                      <w:color w:val="auto"/>
                      <w:sz w:val="21"/>
                      <w:szCs w:val="21"/>
                      <w:highlight w:val="none"/>
                      <w:lang w:val="en-US" w:eastAsia="zh-CN"/>
                    </w:rPr>
                  </w:pPr>
                </w:p>
              </w:tc>
              <w:tc>
                <w:tcPr>
                  <w:tcW w:w="604" w:type="pct"/>
                  <w:noWrap w:val="0"/>
                  <w:vAlign w:val="center"/>
                </w:tcPr>
                <w:p w14:paraId="211D0BD4">
                  <w:pPr>
                    <w:spacing w:beforeLines="0" w:afterLines="0" w:line="240" w:lineRule="auto"/>
                    <w:jc w:val="center"/>
                    <w:rPr>
                      <w:rFonts w:hint="eastAsia"/>
                      <w:color w:val="auto"/>
                      <w:spacing w:val="-6"/>
                      <w:kern w:val="0"/>
                      <w:sz w:val="21"/>
                      <w:szCs w:val="21"/>
                      <w:highlight w:val="none"/>
                      <w:lang w:val="en-US" w:eastAsia="zh-CN" w:bidi="ar-SA"/>
                    </w:rPr>
                  </w:pPr>
                  <w:r>
                    <w:rPr>
                      <w:rFonts w:hint="eastAsia"/>
                      <w:color w:val="auto"/>
                      <w:spacing w:val="-6"/>
                      <w:kern w:val="0"/>
                      <w:sz w:val="21"/>
                      <w:szCs w:val="21"/>
                      <w:highlight w:val="none"/>
                      <w:lang w:val="en-US" w:eastAsia="zh-CN" w:bidi="ar-SA"/>
                    </w:rPr>
                    <w:t>臭气浓度</w:t>
                  </w:r>
                </w:p>
              </w:tc>
              <w:tc>
                <w:tcPr>
                  <w:tcW w:w="586" w:type="pct"/>
                  <w:noWrap w:val="0"/>
                  <w:vAlign w:val="center"/>
                </w:tcPr>
                <w:p w14:paraId="35897043">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排放浓度</w:t>
                  </w:r>
                </w:p>
              </w:tc>
              <w:tc>
                <w:tcPr>
                  <w:tcW w:w="610" w:type="pct"/>
                  <w:noWrap w:val="0"/>
                  <w:vAlign w:val="center"/>
                </w:tcPr>
                <w:p w14:paraId="5D76C818">
                  <w:pPr>
                    <w:spacing w:beforeLines="0" w:afterLines="0" w:line="240" w:lineRule="auto"/>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2000（无量纲）</w:t>
                  </w:r>
                </w:p>
              </w:tc>
              <w:tc>
                <w:tcPr>
                  <w:tcW w:w="2224" w:type="pct"/>
                  <w:vMerge w:val="continue"/>
                  <w:noWrap w:val="0"/>
                  <w:vAlign w:val="center"/>
                </w:tcPr>
                <w:p w14:paraId="072003BC">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p>
              </w:tc>
            </w:tr>
            <w:tr w14:paraId="497FC36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5E6EF6B2">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restart"/>
                  <w:noWrap w:val="0"/>
                  <w:vAlign w:val="center"/>
                </w:tcPr>
                <w:p w14:paraId="43CE5C01">
                  <w:pPr>
                    <w:keepNext w:val="0"/>
                    <w:keepLines w:val="0"/>
                    <w:suppressLineNumbers w:val="0"/>
                    <w:autoSpaceDE/>
                    <w:autoSpaceDN/>
                    <w:spacing w:before="0" w:beforeLines="0" w:beforeAutospacing="0" w:after="0" w:afterLines="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厂界无组织废气</w:t>
                  </w:r>
                </w:p>
              </w:tc>
              <w:tc>
                <w:tcPr>
                  <w:tcW w:w="604" w:type="pct"/>
                  <w:noWrap w:val="0"/>
                  <w:vAlign w:val="center"/>
                </w:tcPr>
                <w:p w14:paraId="2A43ABF3">
                  <w:pPr>
                    <w:adjustRightInd/>
                    <w:snapToGrid/>
                    <w:spacing w:beforeLines="0" w:afterLines="0" w:line="240" w:lineRule="auto"/>
                    <w:jc w:val="center"/>
                    <w:rPr>
                      <w:rFonts w:hint="default" w:ascii="Times New Roman" w:hAnsi="Times New Roman" w:eastAsia="宋体"/>
                      <w:bCs/>
                      <w:color w:val="auto"/>
                      <w:kern w:val="2"/>
                      <w:sz w:val="21"/>
                      <w:szCs w:val="21"/>
                      <w:highlight w:val="none"/>
                      <w:lang w:val="en-US" w:eastAsia="zh-CN" w:bidi="ar-SA"/>
                    </w:rPr>
                  </w:pPr>
                  <w:r>
                    <w:rPr>
                      <w:rFonts w:hint="eastAsia" w:ascii="Times New Roman" w:eastAsia="宋体"/>
                      <w:bCs/>
                      <w:color w:val="auto"/>
                      <w:sz w:val="21"/>
                      <w:szCs w:val="21"/>
                      <w:highlight w:val="none"/>
                      <w:lang w:val="en-US" w:eastAsia="zh-CN"/>
                    </w:rPr>
                    <w:t>颗粒物</w:t>
                  </w:r>
                </w:p>
              </w:tc>
              <w:tc>
                <w:tcPr>
                  <w:tcW w:w="586" w:type="pct"/>
                  <w:noWrap w:val="0"/>
                  <w:vAlign w:val="center"/>
                </w:tcPr>
                <w:p w14:paraId="094FE96D">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浓度限值</w:t>
                  </w:r>
                </w:p>
              </w:tc>
              <w:tc>
                <w:tcPr>
                  <w:tcW w:w="610" w:type="pct"/>
                  <w:noWrap w:val="0"/>
                  <w:vAlign w:val="center"/>
                </w:tcPr>
                <w:p w14:paraId="455BFC6B">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rPr>
                    <w:t>mg/m</w:t>
                  </w:r>
                  <w:r>
                    <w:rPr>
                      <w:rFonts w:hint="eastAsia" w:ascii="Times New Roman" w:hAnsi="Times New Roman" w:eastAsia="宋体" w:cs="Times New Roman"/>
                      <w:color w:val="auto"/>
                      <w:sz w:val="21"/>
                      <w:szCs w:val="21"/>
                      <w:highlight w:val="none"/>
                      <w:vertAlign w:val="superscript"/>
                      <w:lang w:val="en-US" w:eastAsia="zh-CN"/>
                    </w:rPr>
                    <w:t>3</w:t>
                  </w:r>
                </w:p>
              </w:tc>
              <w:tc>
                <w:tcPr>
                  <w:tcW w:w="2224" w:type="pct"/>
                  <w:tcBorders>
                    <w:top w:val="single" w:color="auto" w:sz="4" w:space="0"/>
                  </w:tcBorders>
                  <w:noWrap w:val="0"/>
                  <w:vAlign w:val="center"/>
                </w:tcPr>
                <w:p w14:paraId="6D266BAE">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《大气污染物综合排放标准》（GB16297-1996）表2无组织排放监控浓度限值</w:t>
                  </w:r>
                </w:p>
              </w:tc>
            </w:tr>
            <w:tr w14:paraId="165F8EE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126E6710">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continue"/>
                  <w:noWrap w:val="0"/>
                  <w:vAlign w:val="center"/>
                </w:tcPr>
                <w:p w14:paraId="0442A9B2">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604" w:type="pct"/>
                  <w:noWrap w:val="0"/>
                  <w:vAlign w:val="center"/>
                </w:tcPr>
                <w:p w14:paraId="1839488F">
                  <w:pPr>
                    <w:adjustRightInd/>
                    <w:snapToGrid/>
                    <w:spacing w:beforeLines="0" w:afterLines="0" w:line="240" w:lineRule="auto"/>
                    <w:jc w:val="center"/>
                    <w:rPr>
                      <w:rFonts w:hint="eastAsia" w:ascii="Times New Roman" w:eastAsia="宋体"/>
                      <w:bCs/>
                      <w:color w:val="auto"/>
                      <w:sz w:val="21"/>
                      <w:szCs w:val="21"/>
                      <w:highlight w:val="none"/>
                      <w:lang w:val="en-US" w:eastAsia="zh-CN"/>
                    </w:rPr>
                  </w:pPr>
                  <w:r>
                    <w:rPr>
                      <w:rFonts w:hint="eastAsia"/>
                      <w:color w:val="auto"/>
                      <w:spacing w:val="-6"/>
                      <w:kern w:val="0"/>
                      <w:sz w:val="21"/>
                      <w:szCs w:val="21"/>
                      <w:highlight w:val="none"/>
                      <w:lang w:val="en-US" w:eastAsia="zh-CN" w:bidi="ar-SA"/>
                    </w:rPr>
                    <w:t>氨</w:t>
                  </w:r>
                </w:p>
              </w:tc>
              <w:tc>
                <w:tcPr>
                  <w:tcW w:w="586" w:type="pct"/>
                  <w:noWrap w:val="0"/>
                  <w:vAlign w:val="center"/>
                </w:tcPr>
                <w:p w14:paraId="009567F1">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排放浓度</w:t>
                  </w:r>
                </w:p>
              </w:tc>
              <w:tc>
                <w:tcPr>
                  <w:tcW w:w="610" w:type="pct"/>
                  <w:noWrap w:val="0"/>
                  <w:vAlign w:val="center"/>
                </w:tcPr>
                <w:p w14:paraId="317F89C9">
                  <w:pPr>
                    <w:keepNext w:val="0"/>
                    <w:keepLines w:val="0"/>
                    <w:suppressLineNumbers w:val="0"/>
                    <w:autoSpaceDE/>
                    <w:autoSpaceDN/>
                    <w:spacing w:before="0" w:beforeLines="0" w:beforeAutospacing="0" w:after="0" w:afterLines="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1.5mg/m</w:t>
                  </w:r>
                  <w:r>
                    <w:rPr>
                      <w:rFonts w:hint="eastAsia" w:cs="Times New Roman"/>
                      <w:color w:val="auto"/>
                      <w:sz w:val="21"/>
                      <w:szCs w:val="21"/>
                      <w:highlight w:val="none"/>
                      <w:vertAlign w:val="superscript"/>
                      <w:lang w:val="en-US" w:eastAsia="zh-CN"/>
                    </w:rPr>
                    <w:t>3</w:t>
                  </w:r>
                </w:p>
              </w:tc>
              <w:tc>
                <w:tcPr>
                  <w:tcW w:w="2224" w:type="pct"/>
                  <w:vMerge w:val="restart"/>
                  <w:noWrap w:val="0"/>
                  <w:vAlign w:val="center"/>
                </w:tcPr>
                <w:p w14:paraId="175D890B">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default" w:ascii="Times New Roman" w:hAnsi="Times New Roman" w:eastAsia="宋体" w:cs="Times New Roman"/>
                      <w:color w:val="auto"/>
                      <w:kern w:val="2"/>
                      <w:sz w:val="21"/>
                      <w:szCs w:val="21"/>
                      <w:highlight w:val="none"/>
                      <w:lang w:val="en-US" w:eastAsia="zh-CN" w:bidi="ar-SA"/>
                    </w:rPr>
                    <w:t>《恶臭污染物排放标准》</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GB14554</w:t>
                  </w:r>
                  <w:r>
                    <w:rPr>
                      <w:rFonts w:hint="eastAsia"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93</w:t>
                  </w:r>
                  <w:r>
                    <w:rPr>
                      <w:rFonts w:hint="eastAsia" w:cs="Times New Roman"/>
                      <w:color w:val="auto"/>
                      <w:kern w:val="2"/>
                      <w:sz w:val="21"/>
                      <w:szCs w:val="21"/>
                      <w:highlight w:val="none"/>
                      <w:lang w:val="en-US" w:eastAsia="zh-CN" w:bidi="ar-SA"/>
                    </w:rPr>
                    <w:t>）表1二级新扩改建</w:t>
                  </w:r>
                </w:p>
              </w:tc>
            </w:tr>
            <w:tr w14:paraId="3F34D8E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1E327888">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continue"/>
                  <w:noWrap w:val="0"/>
                  <w:vAlign w:val="center"/>
                </w:tcPr>
                <w:p w14:paraId="2E3DCF01">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604" w:type="pct"/>
                  <w:noWrap w:val="0"/>
                  <w:vAlign w:val="center"/>
                </w:tcPr>
                <w:p w14:paraId="7C60515F">
                  <w:pPr>
                    <w:adjustRightInd/>
                    <w:snapToGrid/>
                    <w:spacing w:beforeLines="0" w:afterLines="0" w:line="240" w:lineRule="auto"/>
                    <w:jc w:val="center"/>
                    <w:rPr>
                      <w:rFonts w:hint="eastAsia" w:ascii="Times New Roman" w:hAnsi="Times New Roman" w:eastAsia="宋体" w:cs="Times New Roman"/>
                      <w:bCs/>
                      <w:color w:val="auto"/>
                      <w:kern w:val="2"/>
                      <w:sz w:val="21"/>
                      <w:szCs w:val="21"/>
                      <w:highlight w:val="none"/>
                      <w:lang w:val="en-US" w:eastAsia="zh-CN" w:bidi="ar-SA"/>
                    </w:rPr>
                  </w:pPr>
                  <w:r>
                    <w:rPr>
                      <w:rFonts w:hint="eastAsia"/>
                      <w:color w:val="auto"/>
                      <w:spacing w:val="-6"/>
                      <w:kern w:val="0"/>
                      <w:sz w:val="21"/>
                      <w:szCs w:val="21"/>
                      <w:highlight w:val="none"/>
                      <w:lang w:val="en-US" w:eastAsia="zh-CN" w:bidi="ar-SA"/>
                    </w:rPr>
                    <w:t>硫化氢</w:t>
                  </w:r>
                </w:p>
              </w:tc>
              <w:tc>
                <w:tcPr>
                  <w:tcW w:w="586" w:type="pct"/>
                  <w:noWrap w:val="0"/>
                  <w:vAlign w:val="center"/>
                </w:tcPr>
                <w:p w14:paraId="74866659">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排放浓度</w:t>
                  </w:r>
                </w:p>
              </w:tc>
              <w:tc>
                <w:tcPr>
                  <w:tcW w:w="610" w:type="pct"/>
                  <w:noWrap w:val="0"/>
                  <w:vAlign w:val="center"/>
                </w:tcPr>
                <w:p w14:paraId="51FED93B">
                  <w:pPr>
                    <w:keepNext w:val="0"/>
                    <w:keepLines w:val="0"/>
                    <w:suppressLineNumbers w:val="0"/>
                    <w:autoSpaceDE/>
                    <w:autoSpaceDN/>
                    <w:spacing w:before="0" w:beforeLines="0" w:beforeAutospacing="0" w:after="0" w:afterLines="0" w:afterAutospacing="0"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0.06mg/m</w:t>
                  </w:r>
                  <w:r>
                    <w:rPr>
                      <w:rFonts w:hint="eastAsia" w:cs="Times New Roman"/>
                      <w:color w:val="auto"/>
                      <w:sz w:val="21"/>
                      <w:szCs w:val="21"/>
                      <w:highlight w:val="none"/>
                      <w:vertAlign w:val="superscript"/>
                      <w:lang w:val="en-US" w:eastAsia="zh-CN"/>
                    </w:rPr>
                    <w:t>3</w:t>
                  </w:r>
                </w:p>
              </w:tc>
              <w:tc>
                <w:tcPr>
                  <w:tcW w:w="2224" w:type="pct"/>
                  <w:vMerge w:val="continue"/>
                  <w:noWrap w:val="0"/>
                  <w:vAlign w:val="center"/>
                </w:tcPr>
                <w:p w14:paraId="0F8DE23A">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rPr>
                  </w:pPr>
                </w:p>
              </w:tc>
            </w:tr>
            <w:tr w14:paraId="6D8AAD0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395" w:type="pct"/>
                  <w:vMerge w:val="continue"/>
                  <w:noWrap w:val="0"/>
                  <w:vAlign w:val="center"/>
                </w:tcPr>
                <w:p w14:paraId="1BE81D7A">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579" w:type="pct"/>
                  <w:vMerge w:val="continue"/>
                  <w:noWrap w:val="0"/>
                  <w:vAlign w:val="center"/>
                </w:tcPr>
                <w:p w14:paraId="71D44935">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p>
              </w:tc>
              <w:tc>
                <w:tcPr>
                  <w:tcW w:w="604" w:type="pct"/>
                  <w:noWrap w:val="0"/>
                  <w:vAlign w:val="center"/>
                </w:tcPr>
                <w:p w14:paraId="30293F48">
                  <w:pPr>
                    <w:adjustRightInd/>
                    <w:snapToGrid/>
                    <w:spacing w:beforeLines="0" w:afterLines="0" w:line="240" w:lineRule="auto"/>
                    <w:jc w:val="center"/>
                    <w:rPr>
                      <w:rFonts w:hint="eastAsia" w:ascii="Times New Roman" w:eastAsia="宋体"/>
                      <w:bCs/>
                      <w:color w:val="auto"/>
                      <w:sz w:val="21"/>
                      <w:szCs w:val="21"/>
                      <w:highlight w:val="none"/>
                      <w:lang w:val="en-US" w:eastAsia="zh-CN"/>
                    </w:rPr>
                  </w:pPr>
                  <w:r>
                    <w:rPr>
                      <w:rFonts w:hint="eastAsia"/>
                      <w:color w:val="auto"/>
                      <w:spacing w:val="-6"/>
                      <w:kern w:val="0"/>
                      <w:sz w:val="21"/>
                      <w:szCs w:val="21"/>
                      <w:highlight w:val="none"/>
                      <w:lang w:val="en-US" w:eastAsia="zh-CN" w:bidi="ar-SA"/>
                    </w:rPr>
                    <w:t>臭气浓度</w:t>
                  </w:r>
                </w:p>
              </w:tc>
              <w:tc>
                <w:tcPr>
                  <w:tcW w:w="586" w:type="pct"/>
                  <w:noWrap w:val="0"/>
                  <w:vAlign w:val="center"/>
                </w:tcPr>
                <w:p w14:paraId="751A937E">
                  <w:pPr>
                    <w:keepNext w:val="0"/>
                    <w:keepLines w:val="0"/>
                    <w:suppressLineNumbers w:val="0"/>
                    <w:autoSpaceDE/>
                    <w:autoSpaceDN/>
                    <w:spacing w:before="0" w:beforeLines="0" w:beforeAutospacing="0" w:after="0" w:afterLines="0" w:afterAutospacing="0" w:line="240" w:lineRule="auto"/>
                    <w:ind w:left="0" w:right="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排放浓度</w:t>
                  </w:r>
                </w:p>
              </w:tc>
              <w:tc>
                <w:tcPr>
                  <w:tcW w:w="610" w:type="pct"/>
                  <w:noWrap w:val="0"/>
                  <w:vAlign w:val="center"/>
                </w:tcPr>
                <w:p w14:paraId="785237D3">
                  <w:pPr>
                    <w:keepNext w:val="0"/>
                    <w:keepLines w:val="0"/>
                    <w:suppressLineNumbers w:val="0"/>
                    <w:autoSpaceDE/>
                    <w:autoSpaceDN/>
                    <w:spacing w:before="0" w:beforeLines="0" w:beforeAutospacing="0" w:after="0" w:afterLines="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20（无量纲）</w:t>
                  </w:r>
                </w:p>
              </w:tc>
              <w:tc>
                <w:tcPr>
                  <w:tcW w:w="2224" w:type="pct"/>
                  <w:vMerge w:val="continue"/>
                  <w:noWrap w:val="0"/>
                  <w:vAlign w:val="center"/>
                </w:tcPr>
                <w:p w14:paraId="76D82EF7">
                  <w:pPr>
                    <w:keepNext w:val="0"/>
                    <w:keepLines w:val="0"/>
                    <w:suppressLineNumbers w:val="0"/>
                    <w:autoSpaceDE/>
                    <w:autoSpaceDN/>
                    <w:spacing w:before="0" w:beforeLines="0" w:beforeAutospacing="0" w:after="0" w:afterLines="0" w:afterAutospacing="0" w:line="240" w:lineRule="auto"/>
                    <w:ind w:left="0" w:right="0"/>
                    <w:jc w:val="center"/>
                    <w:rPr>
                      <w:rFonts w:hint="default" w:ascii="Times New Roman" w:hAnsi="Times New Roman" w:eastAsia="宋体" w:cs="Times New Roman"/>
                      <w:color w:val="auto"/>
                      <w:sz w:val="21"/>
                      <w:szCs w:val="21"/>
                      <w:highlight w:val="none"/>
                    </w:rPr>
                  </w:pPr>
                </w:p>
              </w:tc>
            </w:tr>
          </w:tbl>
          <w:p w14:paraId="3027F9AA">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（二）废水</w:t>
            </w:r>
          </w:p>
          <w:p w14:paraId="7B65D5A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本</w:t>
            </w:r>
            <w:r>
              <w:rPr>
                <w:rFonts w:hint="default" w:ascii="Times New Roman" w:hAnsi="Times New Roman" w:eastAsia="宋体" w:cs="Times New Roman"/>
                <w:b w:val="0"/>
                <w:bCs w:val="0"/>
                <w:color w:val="auto"/>
                <w:kern w:val="2"/>
                <w:sz w:val="21"/>
                <w:szCs w:val="21"/>
                <w:highlight w:val="none"/>
                <w:lang w:val="en-US" w:eastAsia="zh-CN" w:bidi="ar-SA"/>
              </w:rPr>
              <w:t>项目废水经厂区污水处理站处理后通过园区污水管网最终排入</w:t>
            </w:r>
            <w:r>
              <w:rPr>
                <w:rFonts w:hint="eastAsia" w:cs="Times New Roman"/>
                <w:b w:val="0"/>
                <w:bCs w:val="0"/>
                <w:color w:val="auto"/>
                <w:kern w:val="2"/>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val="0"/>
                <w:bCs w:val="0"/>
                <w:color w:val="auto"/>
                <w:kern w:val="2"/>
                <w:sz w:val="21"/>
                <w:szCs w:val="21"/>
                <w:highlight w:val="none"/>
                <w:lang w:val="en-US" w:eastAsia="zh-CN" w:bidi="ar-SA"/>
              </w:rPr>
              <w:t>进一步处理</w:t>
            </w:r>
            <w:r>
              <w:rPr>
                <w:rFonts w:hint="eastAsia" w:ascii="Times New Roman" w:hAnsi="Times New Roman" w:eastAsia="宋体"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本项目运营期废水排放执行《污水综合排放标准》</w:t>
            </w:r>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GB8978-1996</w:t>
            </w:r>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表4三级标准</w:t>
            </w:r>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同时满足石家庄</w:t>
            </w:r>
            <w:r>
              <w:rPr>
                <w:rFonts w:hint="eastAsia" w:cs="Times New Roman"/>
                <w:b w:val="0"/>
                <w:bCs w:val="0"/>
                <w:color w:val="auto"/>
                <w:kern w:val="2"/>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val="0"/>
                <w:bCs w:val="0"/>
                <w:color w:val="auto"/>
                <w:kern w:val="2"/>
                <w:sz w:val="21"/>
                <w:szCs w:val="21"/>
                <w:highlight w:val="none"/>
                <w:lang w:val="en-US" w:eastAsia="zh-CN" w:bidi="ar-SA"/>
              </w:rPr>
              <w:t>进水水质要求。</w:t>
            </w:r>
          </w:p>
          <w:p w14:paraId="16B17C5E">
            <w:pPr>
              <w:keepNext w:val="0"/>
              <w:keepLines w:val="0"/>
              <w:widowControl w:val="0"/>
              <w:kinsoku/>
              <w:autoSpaceDE/>
              <w:autoSpaceDN/>
              <w:adjustRightInd/>
              <w:snapToGrid/>
              <w:spacing w:beforeLines="0" w:beforeAutospacing="0" w:afterLines="0" w:afterAutospacing="0" w:line="360" w:lineRule="auto"/>
              <w:ind w:firstLine="0" w:firstLineChars="0"/>
              <w:jc w:val="center"/>
              <w:textAlignment w:val="baseline"/>
              <w:outlineLvl w:val="1"/>
              <w:rPr>
                <w:rFonts w:ascii="Times New Roman" w:hAnsi="Times New Roman" w:eastAsia="宋体" w:cs="Times New Roman"/>
                <w:b/>
                <w:bCs/>
                <w:color w:val="auto"/>
                <w:kern w:val="2"/>
                <w:sz w:val="21"/>
                <w:szCs w:val="21"/>
                <w:highlight w:val="none"/>
                <w:lang w:val="en-US" w:eastAsia="zh-CN" w:bidi="ar-SA"/>
              </w:rPr>
            </w:pPr>
            <w:bookmarkStart w:id="34" w:name="_Ref65098369"/>
            <w:r>
              <w:rPr>
                <w:rFonts w:ascii="Times New Roman" w:hAnsi="Times New Roman" w:eastAsia="宋体" w:cs="Times New Roman"/>
                <w:b/>
                <w:bCs/>
                <w:color w:val="auto"/>
                <w:kern w:val="2"/>
                <w:sz w:val="21"/>
                <w:szCs w:val="21"/>
                <w:highlight w:val="none"/>
                <w:lang w:val="en-US" w:eastAsia="zh-CN" w:bidi="ar-SA"/>
              </w:rPr>
              <w:t>表</w:t>
            </w:r>
            <w:bookmarkEnd w:id="34"/>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3-7</w:t>
            </w:r>
            <w:r>
              <w:rPr>
                <w:rFonts w:hint="eastAsia" w:ascii="Times New Roman" w:hAnsi="Times New Roman" w:eastAsia="宋体" w:cs="Times New Roman"/>
                <w:b/>
                <w:bCs/>
                <w:color w:val="auto"/>
                <w:kern w:val="2"/>
                <w:sz w:val="21"/>
                <w:szCs w:val="21"/>
                <w:highlight w:val="none"/>
                <w:lang w:val="en-US" w:eastAsia="zh-CN" w:bidi="ar-SA"/>
              </w:rPr>
              <w:t xml:space="preserve"> 项目</w:t>
            </w:r>
            <w:r>
              <w:rPr>
                <w:rFonts w:ascii="Times New Roman" w:hAnsi="Times New Roman" w:eastAsia="宋体" w:cs="Times New Roman"/>
                <w:b/>
                <w:bCs/>
                <w:color w:val="auto"/>
                <w:kern w:val="2"/>
                <w:sz w:val="21"/>
                <w:szCs w:val="21"/>
                <w:highlight w:val="none"/>
                <w:lang w:val="en-US" w:eastAsia="zh-CN" w:bidi="ar-SA"/>
              </w:rPr>
              <w:t>污水排放标准</w:t>
            </w:r>
          </w:p>
          <w:tbl>
            <w:tblPr>
              <w:tblStyle w:val="25"/>
              <w:tblW w:w="499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4393"/>
              <w:gridCol w:w="366"/>
              <w:gridCol w:w="498"/>
              <w:gridCol w:w="572"/>
              <w:gridCol w:w="356"/>
              <w:gridCol w:w="305"/>
              <w:gridCol w:w="788"/>
              <w:gridCol w:w="772"/>
            </w:tblGrid>
            <w:tr w14:paraId="552F46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727" w:type="pct"/>
                  <w:tcBorders>
                    <w:top w:val="single" w:color="auto" w:sz="4" w:space="0"/>
                    <w:left w:val="single" w:color="auto" w:sz="4" w:space="0"/>
                    <w:bottom w:val="single" w:color="auto" w:sz="4" w:space="0"/>
                    <w:right w:val="single" w:color="auto" w:sz="4" w:space="0"/>
                    <w:tl2br w:val="single" w:color="auto" w:sz="4" w:space="0"/>
                  </w:tcBorders>
                  <w:noWrap w:val="0"/>
                  <w:vAlign w:val="center"/>
                </w:tcPr>
                <w:p w14:paraId="7709A0F1">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lang w:val="en-US" w:eastAsia="zh-CN"/>
                    </w:rPr>
                    <w:t xml:space="preserve">        </w:t>
                  </w:r>
                  <w:r>
                    <w:rPr>
                      <w:rFonts w:hint="default" w:ascii="Times New Roman" w:hAnsi="Times New Roman" w:eastAsia="宋体" w:cs="Times New Roman"/>
                      <w:b w:val="0"/>
                      <w:bCs w:val="0"/>
                      <w:snapToGrid w:val="0"/>
                      <w:color w:val="auto"/>
                      <w:kern w:val="0"/>
                      <w:sz w:val="21"/>
                      <w:szCs w:val="21"/>
                      <w:highlight w:val="none"/>
                    </w:rPr>
                    <w:t>污染物</w:t>
                  </w:r>
                </w:p>
                <w:p w14:paraId="21EE3FA4">
                  <w:pPr>
                    <w:keepNext w:val="0"/>
                    <w:keepLines w:val="0"/>
                    <w:suppressLineNumbers w:val="0"/>
                    <w:snapToGrid w:val="0"/>
                    <w:spacing w:before="0" w:beforeAutospacing="0" w:after="0" w:afterAutospacing="0" w:line="240" w:lineRule="exact"/>
                    <w:ind w:left="0" w:right="0" w:firstLine="0" w:firstLineChars="0"/>
                    <w:jc w:val="both"/>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标准种类</w:t>
                  </w:r>
                </w:p>
              </w:tc>
              <w:tc>
                <w:tcPr>
                  <w:tcW w:w="227" w:type="pct"/>
                  <w:tcBorders>
                    <w:top w:val="single" w:color="auto" w:sz="4" w:space="0"/>
                    <w:left w:val="single" w:color="auto" w:sz="4" w:space="0"/>
                    <w:bottom w:val="single" w:color="auto" w:sz="4" w:space="0"/>
                    <w:right w:val="single" w:color="auto" w:sz="4" w:space="0"/>
                  </w:tcBorders>
                  <w:noWrap w:val="0"/>
                  <w:vAlign w:val="center"/>
                </w:tcPr>
                <w:p w14:paraId="11C3DC3F">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pH</w:t>
                  </w:r>
                </w:p>
              </w:tc>
              <w:tc>
                <w:tcPr>
                  <w:tcW w:w="309" w:type="pct"/>
                  <w:tcBorders>
                    <w:top w:val="single" w:color="auto" w:sz="4" w:space="0"/>
                    <w:left w:val="single" w:color="auto" w:sz="4" w:space="0"/>
                    <w:bottom w:val="single" w:color="auto" w:sz="4" w:space="0"/>
                    <w:right w:val="single" w:color="auto" w:sz="4" w:space="0"/>
                  </w:tcBorders>
                  <w:noWrap w:val="0"/>
                  <w:vAlign w:val="center"/>
                </w:tcPr>
                <w:p w14:paraId="12A74FCF">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COD</w:t>
                  </w:r>
                </w:p>
              </w:tc>
              <w:tc>
                <w:tcPr>
                  <w:tcW w:w="355" w:type="pct"/>
                  <w:tcBorders>
                    <w:top w:val="single" w:color="auto" w:sz="4" w:space="0"/>
                    <w:left w:val="single" w:color="auto" w:sz="4" w:space="0"/>
                    <w:bottom w:val="single" w:color="auto" w:sz="4" w:space="0"/>
                    <w:right w:val="single" w:color="auto" w:sz="4" w:space="0"/>
                  </w:tcBorders>
                  <w:noWrap w:val="0"/>
                  <w:vAlign w:val="center"/>
                </w:tcPr>
                <w:p w14:paraId="7B567BD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BOD</w:t>
                  </w:r>
                  <w:r>
                    <w:rPr>
                      <w:rFonts w:hint="default" w:ascii="Times New Roman" w:hAnsi="Times New Roman" w:eastAsia="宋体" w:cs="Times New Roman"/>
                      <w:b w:val="0"/>
                      <w:bCs w:val="0"/>
                      <w:snapToGrid w:val="0"/>
                      <w:color w:val="auto"/>
                      <w:kern w:val="0"/>
                      <w:sz w:val="21"/>
                      <w:szCs w:val="21"/>
                      <w:highlight w:val="none"/>
                      <w:vertAlign w:val="subscript"/>
                    </w:rPr>
                    <w:t>5</w:t>
                  </w:r>
                </w:p>
              </w:tc>
              <w:tc>
                <w:tcPr>
                  <w:tcW w:w="221" w:type="pct"/>
                  <w:tcBorders>
                    <w:top w:val="single" w:color="auto" w:sz="4" w:space="0"/>
                    <w:left w:val="single" w:color="auto" w:sz="4" w:space="0"/>
                    <w:bottom w:val="single" w:color="auto" w:sz="4" w:space="0"/>
                    <w:right w:val="single" w:color="auto" w:sz="4" w:space="0"/>
                  </w:tcBorders>
                  <w:noWrap w:val="0"/>
                  <w:vAlign w:val="center"/>
                </w:tcPr>
                <w:p w14:paraId="4096ABC2">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SS</w:t>
                  </w:r>
                </w:p>
              </w:tc>
              <w:tc>
                <w:tcPr>
                  <w:tcW w:w="189" w:type="pct"/>
                  <w:tcBorders>
                    <w:top w:val="single" w:color="auto" w:sz="4" w:space="0"/>
                    <w:left w:val="single" w:color="auto" w:sz="4" w:space="0"/>
                    <w:bottom w:val="single" w:color="auto" w:sz="4" w:space="0"/>
                    <w:right w:val="single" w:color="auto" w:sz="4" w:space="0"/>
                  </w:tcBorders>
                  <w:noWrap w:val="0"/>
                  <w:vAlign w:val="center"/>
                </w:tcPr>
                <w:p w14:paraId="018EE7DB">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氨氮</w:t>
                  </w:r>
                </w:p>
              </w:tc>
              <w:tc>
                <w:tcPr>
                  <w:tcW w:w="489" w:type="pct"/>
                  <w:tcBorders>
                    <w:top w:val="single" w:color="auto" w:sz="4" w:space="0"/>
                    <w:left w:val="single" w:color="auto" w:sz="4" w:space="0"/>
                    <w:bottom w:val="single" w:color="auto" w:sz="4" w:space="0"/>
                    <w:right w:val="single" w:color="auto" w:sz="4" w:space="0"/>
                  </w:tcBorders>
                  <w:noWrap w:val="0"/>
                  <w:vAlign w:val="center"/>
                </w:tcPr>
                <w:p w14:paraId="7116B7E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总氮</w:t>
                  </w:r>
                </w:p>
                <w:p w14:paraId="36920D69">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（以N计）</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09364EFA">
                  <w:pPr>
                    <w:bidi w:val="0"/>
                    <w:jc w:val="center"/>
                    <w:rPr>
                      <w:rFonts w:hint="default" w:ascii="Times New Roman" w:hAnsi="Times New Roman" w:eastAsia="宋体" w:cs="Times New Roman"/>
                      <w:b w:val="0"/>
                      <w:bCs w:val="0"/>
                      <w:snapToGrid w:val="0"/>
                      <w:color w:val="auto"/>
                      <w:kern w:val="0"/>
                      <w:sz w:val="21"/>
                      <w:szCs w:val="21"/>
                      <w:highlight w:val="none"/>
                    </w:rPr>
                  </w:pPr>
                  <w:r>
                    <w:rPr>
                      <w:rFonts w:hint="eastAsia" w:cs="Times New Roman"/>
                      <w:color w:val="auto"/>
                      <w:kern w:val="2"/>
                      <w:sz w:val="21"/>
                      <w:szCs w:val="21"/>
                      <w:lang w:val="en-US" w:eastAsia="zh-CN" w:bidi="ar-SA"/>
                    </w:rPr>
                    <w:t>石油类</w:t>
                  </w:r>
                </w:p>
              </w:tc>
            </w:tr>
            <w:tr w14:paraId="7D5867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727" w:type="pct"/>
                  <w:tcBorders>
                    <w:top w:val="single" w:color="auto" w:sz="4" w:space="0"/>
                    <w:left w:val="single" w:color="auto" w:sz="4" w:space="0"/>
                    <w:bottom w:val="single" w:color="auto" w:sz="4" w:space="0"/>
                    <w:right w:val="single" w:color="auto" w:sz="4" w:space="0"/>
                  </w:tcBorders>
                  <w:noWrap w:val="0"/>
                  <w:vAlign w:val="center"/>
                </w:tcPr>
                <w:p w14:paraId="1F7C208C">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GB8978-1996表4三级标准</w:t>
                  </w:r>
                </w:p>
              </w:tc>
              <w:tc>
                <w:tcPr>
                  <w:tcW w:w="227" w:type="pct"/>
                  <w:tcBorders>
                    <w:top w:val="single" w:color="auto" w:sz="4" w:space="0"/>
                    <w:left w:val="single" w:color="auto" w:sz="4" w:space="0"/>
                    <w:bottom w:val="single" w:color="auto" w:sz="4" w:space="0"/>
                    <w:right w:val="single" w:color="auto" w:sz="4" w:space="0"/>
                  </w:tcBorders>
                  <w:noWrap w:val="0"/>
                  <w:vAlign w:val="center"/>
                </w:tcPr>
                <w:p w14:paraId="4F4EEB9B">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6~9</w:t>
                  </w:r>
                </w:p>
              </w:tc>
              <w:tc>
                <w:tcPr>
                  <w:tcW w:w="309" w:type="pct"/>
                  <w:tcBorders>
                    <w:top w:val="single" w:color="auto" w:sz="4" w:space="0"/>
                    <w:left w:val="single" w:color="auto" w:sz="4" w:space="0"/>
                    <w:bottom w:val="single" w:color="auto" w:sz="4" w:space="0"/>
                    <w:right w:val="single" w:color="auto" w:sz="4" w:space="0"/>
                  </w:tcBorders>
                  <w:noWrap w:val="0"/>
                  <w:vAlign w:val="center"/>
                </w:tcPr>
                <w:p w14:paraId="2B1C5357">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lang w:val="en-US" w:eastAsia="zh-CN"/>
                    </w:rPr>
                    <w:t>5</w:t>
                  </w:r>
                  <w:r>
                    <w:rPr>
                      <w:rFonts w:hint="default" w:ascii="Times New Roman" w:hAnsi="Times New Roman" w:eastAsia="宋体" w:cs="Times New Roman"/>
                      <w:b w:val="0"/>
                      <w:bCs w:val="0"/>
                      <w:snapToGrid w:val="0"/>
                      <w:color w:val="auto"/>
                      <w:kern w:val="0"/>
                      <w:sz w:val="21"/>
                      <w:szCs w:val="21"/>
                      <w:highlight w:val="none"/>
                    </w:rPr>
                    <w:t>00</w:t>
                  </w:r>
                </w:p>
              </w:tc>
              <w:tc>
                <w:tcPr>
                  <w:tcW w:w="355" w:type="pct"/>
                  <w:tcBorders>
                    <w:top w:val="single" w:color="auto" w:sz="4" w:space="0"/>
                    <w:left w:val="single" w:color="auto" w:sz="4" w:space="0"/>
                    <w:bottom w:val="single" w:color="auto" w:sz="4" w:space="0"/>
                    <w:right w:val="single" w:color="auto" w:sz="4" w:space="0"/>
                  </w:tcBorders>
                  <w:noWrap w:val="0"/>
                  <w:vAlign w:val="center"/>
                </w:tcPr>
                <w:p w14:paraId="4D027648">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300</w:t>
                  </w:r>
                </w:p>
              </w:tc>
              <w:tc>
                <w:tcPr>
                  <w:tcW w:w="221" w:type="pct"/>
                  <w:tcBorders>
                    <w:top w:val="single" w:color="auto" w:sz="4" w:space="0"/>
                    <w:left w:val="single" w:color="auto" w:sz="4" w:space="0"/>
                    <w:bottom w:val="single" w:color="auto" w:sz="4" w:space="0"/>
                    <w:right w:val="single" w:color="auto" w:sz="4" w:space="0"/>
                  </w:tcBorders>
                  <w:noWrap w:val="0"/>
                  <w:vAlign w:val="center"/>
                </w:tcPr>
                <w:p w14:paraId="54E6D72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400</w:t>
                  </w:r>
                </w:p>
              </w:tc>
              <w:tc>
                <w:tcPr>
                  <w:tcW w:w="189" w:type="pct"/>
                  <w:tcBorders>
                    <w:top w:val="single" w:color="auto" w:sz="4" w:space="0"/>
                    <w:left w:val="single" w:color="auto" w:sz="4" w:space="0"/>
                    <w:bottom w:val="single" w:color="auto" w:sz="4" w:space="0"/>
                    <w:right w:val="single" w:color="auto" w:sz="4" w:space="0"/>
                  </w:tcBorders>
                  <w:noWrap w:val="0"/>
                  <w:vAlign w:val="center"/>
                </w:tcPr>
                <w:p w14:paraId="6344101F">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w:t>
                  </w:r>
                </w:p>
              </w:tc>
              <w:tc>
                <w:tcPr>
                  <w:tcW w:w="489" w:type="pct"/>
                  <w:tcBorders>
                    <w:top w:val="single" w:color="auto" w:sz="4" w:space="0"/>
                    <w:left w:val="single" w:color="auto" w:sz="4" w:space="0"/>
                    <w:bottom w:val="single" w:color="auto" w:sz="4" w:space="0"/>
                    <w:right w:val="single" w:color="auto" w:sz="4" w:space="0"/>
                  </w:tcBorders>
                  <w:noWrap w:val="0"/>
                  <w:vAlign w:val="center"/>
                </w:tcPr>
                <w:p w14:paraId="19A90017">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0623AB7C">
                  <w:pPr>
                    <w:keepNext w:val="0"/>
                    <w:keepLines w:val="0"/>
                    <w:suppressLineNumbers w:val="0"/>
                    <w:snapToGrid w:val="0"/>
                    <w:spacing w:before="0" w:beforeAutospacing="0" w:after="0" w:afterAutospacing="0" w:line="240" w:lineRule="exact"/>
                    <w:ind w:left="0" w:leftChars="0" w:right="0" w:rightChars="0" w:firstLine="0" w:firstLineChars="0"/>
                    <w:jc w:val="center"/>
                    <w:rPr>
                      <w:rFonts w:hint="default" w:ascii="Times New Roman" w:hAnsi="Times New Roman" w:eastAsia="宋体" w:cs="Times New Roman"/>
                      <w:b w:val="0"/>
                      <w:bCs w:val="0"/>
                      <w:snapToGrid w:val="0"/>
                      <w:color w:val="auto"/>
                      <w:kern w:val="0"/>
                      <w:sz w:val="21"/>
                      <w:szCs w:val="21"/>
                      <w:highlight w:val="none"/>
                      <w:lang w:val="en-US"/>
                    </w:rPr>
                  </w:pPr>
                  <w:r>
                    <w:rPr>
                      <w:rFonts w:hint="eastAsia" w:cs="Times New Roman"/>
                      <w:b w:val="0"/>
                      <w:bCs w:val="0"/>
                      <w:snapToGrid w:val="0"/>
                      <w:color w:val="auto"/>
                      <w:kern w:val="0"/>
                      <w:sz w:val="21"/>
                      <w:szCs w:val="21"/>
                      <w:highlight w:val="none"/>
                      <w:lang w:val="en-US" w:eastAsia="zh-CN"/>
                    </w:rPr>
                    <w:t>20</w:t>
                  </w:r>
                </w:p>
              </w:tc>
            </w:tr>
            <w:tr w14:paraId="6EA52D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727" w:type="pct"/>
                  <w:tcBorders>
                    <w:top w:val="single" w:color="auto" w:sz="4" w:space="0"/>
                    <w:left w:val="single" w:color="auto" w:sz="4" w:space="0"/>
                    <w:bottom w:val="single" w:color="auto" w:sz="4" w:space="0"/>
                    <w:right w:val="single" w:color="auto" w:sz="4" w:space="0"/>
                  </w:tcBorders>
                  <w:noWrap w:val="0"/>
                  <w:vAlign w:val="center"/>
                </w:tcPr>
                <w:p w14:paraId="4E0C9E7B">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eastAsia" w:cs="Times New Roman"/>
                      <w:b w:val="0"/>
                      <w:bCs w:val="0"/>
                      <w:snapToGrid w:val="0"/>
                      <w:color w:val="auto"/>
                      <w:kern w:val="0"/>
                      <w:sz w:val="21"/>
                      <w:szCs w:val="21"/>
                      <w:highlight w:val="none"/>
                      <w:lang w:eastAsia="zh-CN"/>
                    </w:rPr>
                    <w:t>石家庄高新区循化环境水务有限公司（良村南污水处理厂）</w:t>
                  </w:r>
                  <w:r>
                    <w:rPr>
                      <w:rFonts w:hint="default" w:ascii="Times New Roman" w:hAnsi="Times New Roman" w:eastAsia="宋体" w:cs="Times New Roman"/>
                      <w:b w:val="0"/>
                      <w:bCs w:val="0"/>
                      <w:snapToGrid w:val="0"/>
                      <w:color w:val="auto"/>
                      <w:kern w:val="0"/>
                      <w:sz w:val="21"/>
                      <w:szCs w:val="21"/>
                      <w:highlight w:val="none"/>
                    </w:rPr>
                    <w:t>进水水质要求</w:t>
                  </w:r>
                </w:p>
              </w:tc>
              <w:tc>
                <w:tcPr>
                  <w:tcW w:w="227" w:type="pct"/>
                  <w:tcBorders>
                    <w:top w:val="single" w:color="auto" w:sz="4" w:space="0"/>
                    <w:left w:val="single" w:color="auto" w:sz="4" w:space="0"/>
                    <w:bottom w:val="single" w:color="auto" w:sz="4" w:space="0"/>
                    <w:right w:val="single" w:color="auto" w:sz="4" w:space="0"/>
                  </w:tcBorders>
                  <w:noWrap w:val="0"/>
                  <w:vAlign w:val="center"/>
                </w:tcPr>
                <w:p w14:paraId="4E58BB89">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6~9</w:t>
                  </w:r>
                </w:p>
              </w:tc>
              <w:tc>
                <w:tcPr>
                  <w:tcW w:w="309" w:type="pct"/>
                  <w:tcBorders>
                    <w:top w:val="single" w:color="auto" w:sz="4" w:space="0"/>
                    <w:left w:val="single" w:color="auto" w:sz="4" w:space="0"/>
                    <w:bottom w:val="single" w:color="auto" w:sz="4" w:space="0"/>
                    <w:right w:val="single" w:color="auto" w:sz="4" w:space="0"/>
                  </w:tcBorders>
                  <w:noWrap w:val="0"/>
                  <w:vAlign w:val="center"/>
                </w:tcPr>
                <w:p w14:paraId="59A54ED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500</w:t>
                  </w:r>
                </w:p>
              </w:tc>
              <w:tc>
                <w:tcPr>
                  <w:tcW w:w="355" w:type="pct"/>
                  <w:tcBorders>
                    <w:top w:val="single" w:color="auto" w:sz="4" w:space="0"/>
                    <w:left w:val="single" w:color="auto" w:sz="4" w:space="0"/>
                    <w:bottom w:val="single" w:color="auto" w:sz="4" w:space="0"/>
                    <w:right w:val="single" w:color="auto" w:sz="4" w:space="0"/>
                  </w:tcBorders>
                  <w:noWrap w:val="0"/>
                  <w:vAlign w:val="center"/>
                </w:tcPr>
                <w:p w14:paraId="5F2696DF">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180</w:t>
                  </w:r>
                </w:p>
              </w:tc>
              <w:tc>
                <w:tcPr>
                  <w:tcW w:w="221" w:type="pct"/>
                  <w:tcBorders>
                    <w:top w:val="single" w:color="auto" w:sz="4" w:space="0"/>
                    <w:left w:val="single" w:color="auto" w:sz="4" w:space="0"/>
                    <w:bottom w:val="single" w:color="auto" w:sz="4" w:space="0"/>
                    <w:right w:val="single" w:color="auto" w:sz="4" w:space="0"/>
                  </w:tcBorders>
                  <w:noWrap w:val="0"/>
                  <w:vAlign w:val="center"/>
                </w:tcPr>
                <w:p w14:paraId="79C9C0BF">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200</w:t>
                  </w:r>
                </w:p>
              </w:tc>
              <w:tc>
                <w:tcPr>
                  <w:tcW w:w="189" w:type="pct"/>
                  <w:tcBorders>
                    <w:top w:val="single" w:color="auto" w:sz="4" w:space="0"/>
                    <w:left w:val="single" w:color="auto" w:sz="4" w:space="0"/>
                    <w:bottom w:val="single" w:color="auto" w:sz="4" w:space="0"/>
                    <w:right w:val="single" w:color="auto" w:sz="4" w:space="0"/>
                  </w:tcBorders>
                  <w:noWrap w:val="0"/>
                  <w:vAlign w:val="center"/>
                </w:tcPr>
                <w:p w14:paraId="02CB618A">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48</w:t>
                  </w:r>
                </w:p>
              </w:tc>
              <w:tc>
                <w:tcPr>
                  <w:tcW w:w="489" w:type="pct"/>
                  <w:tcBorders>
                    <w:top w:val="single" w:color="auto" w:sz="4" w:space="0"/>
                    <w:left w:val="single" w:color="auto" w:sz="4" w:space="0"/>
                    <w:bottom w:val="single" w:color="auto" w:sz="4" w:space="0"/>
                    <w:right w:val="single" w:color="auto" w:sz="4" w:space="0"/>
                  </w:tcBorders>
                  <w:noWrap w:val="0"/>
                  <w:vAlign w:val="center"/>
                </w:tcPr>
                <w:p w14:paraId="58E1CDC1">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70</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130BC3FE">
                  <w:pPr>
                    <w:keepNext w:val="0"/>
                    <w:keepLines w:val="0"/>
                    <w:suppressLineNumbers w:val="0"/>
                    <w:snapToGrid w:val="0"/>
                    <w:spacing w:before="0" w:beforeAutospacing="0" w:after="0" w:afterAutospacing="0" w:line="240" w:lineRule="exact"/>
                    <w:ind w:left="0" w:leftChars="0" w:right="0" w:rightChars="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cs="Times New Roman"/>
                      <w:b w:val="0"/>
                      <w:bCs w:val="0"/>
                      <w:snapToGrid w:val="0"/>
                      <w:color w:val="auto"/>
                      <w:kern w:val="0"/>
                      <w:sz w:val="21"/>
                      <w:szCs w:val="21"/>
                      <w:highlight w:val="none"/>
                      <w:lang w:val="en-US" w:eastAsia="zh-CN"/>
                    </w:rPr>
                    <w:t>/</w:t>
                  </w:r>
                </w:p>
              </w:tc>
            </w:tr>
            <w:tr w14:paraId="534152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2727" w:type="pct"/>
                  <w:tcBorders>
                    <w:top w:val="single" w:color="auto" w:sz="4" w:space="0"/>
                    <w:left w:val="single" w:color="auto" w:sz="4" w:space="0"/>
                    <w:bottom w:val="single" w:color="auto" w:sz="4" w:space="0"/>
                    <w:right w:val="single" w:color="auto" w:sz="4" w:space="0"/>
                  </w:tcBorders>
                  <w:noWrap w:val="0"/>
                  <w:vAlign w:val="center"/>
                </w:tcPr>
                <w:p w14:paraId="389C0870">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本项目执行标准值</w:t>
                  </w:r>
                </w:p>
              </w:tc>
              <w:tc>
                <w:tcPr>
                  <w:tcW w:w="227" w:type="pct"/>
                  <w:tcBorders>
                    <w:top w:val="single" w:color="auto" w:sz="4" w:space="0"/>
                    <w:left w:val="single" w:color="auto" w:sz="4" w:space="0"/>
                    <w:bottom w:val="single" w:color="auto" w:sz="4" w:space="0"/>
                    <w:right w:val="single" w:color="auto" w:sz="4" w:space="0"/>
                  </w:tcBorders>
                  <w:noWrap w:val="0"/>
                  <w:vAlign w:val="center"/>
                </w:tcPr>
                <w:p w14:paraId="4B071760">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6~9</w:t>
                  </w:r>
                </w:p>
              </w:tc>
              <w:tc>
                <w:tcPr>
                  <w:tcW w:w="309" w:type="pct"/>
                  <w:tcBorders>
                    <w:top w:val="single" w:color="auto" w:sz="4" w:space="0"/>
                    <w:left w:val="single" w:color="auto" w:sz="4" w:space="0"/>
                    <w:bottom w:val="single" w:color="auto" w:sz="4" w:space="0"/>
                    <w:right w:val="single" w:color="auto" w:sz="4" w:space="0"/>
                  </w:tcBorders>
                  <w:noWrap w:val="0"/>
                  <w:vAlign w:val="center"/>
                </w:tcPr>
                <w:p w14:paraId="1E59EF09">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500</w:t>
                  </w:r>
                </w:p>
              </w:tc>
              <w:tc>
                <w:tcPr>
                  <w:tcW w:w="355" w:type="pct"/>
                  <w:tcBorders>
                    <w:top w:val="single" w:color="auto" w:sz="4" w:space="0"/>
                    <w:left w:val="single" w:color="auto" w:sz="4" w:space="0"/>
                    <w:bottom w:val="single" w:color="auto" w:sz="4" w:space="0"/>
                    <w:right w:val="single" w:color="auto" w:sz="4" w:space="0"/>
                  </w:tcBorders>
                  <w:noWrap w:val="0"/>
                  <w:vAlign w:val="center"/>
                </w:tcPr>
                <w:p w14:paraId="4711C582">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180</w:t>
                  </w:r>
                </w:p>
              </w:tc>
              <w:tc>
                <w:tcPr>
                  <w:tcW w:w="221" w:type="pct"/>
                  <w:tcBorders>
                    <w:top w:val="single" w:color="auto" w:sz="4" w:space="0"/>
                    <w:left w:val="single" w:color="auto" w:sz="4" w:space="0"/>
                    <w:bottom w:val="single" w:color="auto" w:sz="4" w:space="0"/>
                    <w:right w:val="single" w:color="auto" w:sz="4" w:space="0"/>
                  </w:tcBorders>
                  <w:noWrap w:val="0"/>
                  <w:vAlign w:val="center"/>
                </w:tcPr>
                <w:p w14:paraId="0D4CADC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200</w:t>
                  </w:r>
                </w:p>
              </w:tc>
              <w:tc>
                <w:tcPr>
                  <w:tcW w:w="189" w:type="pct"/>
                  <w:tcBorders>
                    <w:top w:val="single" w:color="auto" w:sz="4" w:space="0"/>
                    <w:left w:val="single" w:color="auto" w:sz="4" w:space="0"/>
                    <w:bottom w:val="single" w:color="auto" w:sz="4" w:space="0"/>
                    <w:right w:val="single" w:color="auto" w:sz="4" w:space="0"/>
                  </w:tcBorders>
                  <w:noWrap w:val="0"/>
                  <w:vAlign w:val="center"/>
                </w:tcPr>
                <w:p w14:paraId="4D239D0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48</w:t>
                  </w:r>
                </w:p>
              </w:tc>
              <w:tc>
                <w:tcPr>
                  <w:tcW w:w="489" w:type="pct"/>
                  <w:tcBorders>
                    <w:top w:val="single" w:color="auto" w:sz="4" w:space="0"/>
                    <w:left w:val="single" w:color="auto" w:sz="4" w:space="0"/>
                    <w:bottom w:val="single" w:color="auto" w:sz="4" w:space="0"/>
                    <w:right w:val="single" w:color="auto" w:sz="4" w:space="0"/>
                  </w:tcBorders>
                  <w:noWrap w:val="0"/>
                  <w:vAlign w:val="center"/>
                </w:tcPr>
                <w:p w14:paraId="660A7A10">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70</w:t>
                  </w:r>
                </w:p>
              </w:tc>
              <w:tc>
                <w:tcPr>
                  <w:tcW w:w="479" w:type="pct"/>
                  <w:tcBorders>
                    <w:top w:val="single" w:color="auto" w:sz="4" w:space="0"/>
                    <w:left w:val="single" w:color="auto" w:sz="4" w:space="0"/>
                    <w:bottom w:val="single" w:color="auto" w:sz="4" w:space="0"/>
                    <w:right w:val="single" w:color="auto" w:sz="4" w:space="0"/>
                  </w:tcBorders>
                  <w:noWrap w:val="0"/>
                  <w:vAlign w:val="center"/>
                </w:tcPr>
                <w:p w14:paraId="78F9C86B">
                  <w:pPr>
                    <w:keepNext w:val="0"/>
                    <w:keepLines w:val="0"/>
                    <w:suppressLineNumbers w:val="0"/>
                    <w:snapToGrid w:val="0"/>
                    <w:spacing w:before="0" w:beforeAutospacing="0" w:after="0" w:afterAutospacing="0" w:line="240" w:lineRule="exact"/>
                    <w:ind w:left="0" w:leftChars="0" w:right="0" w:rightChars="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cs="Times New Roman"/>
                      <w:b w:val="0"/>
                      <w:bCs w:val="0"/>
                      <w:snapToGrid w:val="0"/>
                      <w:color w:val="auto"/>
                      <w:kern w:val="0"/>
                      <w:sz w:val="21"/>
                      <w:szCs w:val="21"/>
                      <w:highlight w:val="none"/>
                      <w:lang w:val="en-US" w:eastAsia="zh-CN"/>
                    </w:rPr>
                    <w:t>20</w:t>
                  </w:r>
                </w:p>
              </w:tc>
            </w:tr>
          </w:tbl>
          <w:p w14:paraId="4D844078">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（二）</w:t>
            </w:r>
            <w:r>
              <w:rPr>
                <w:rFonts w:hint="default" w:ascii="Times New Roman" w:hAnsi="Times New Roman" w:eastAsia="宋体" w:cs="Times New Roman"/>
                <w:b/>
                <w:bCs/>
                <w:color w:val="auto"/>
                <w:kern w:val="2"/>
                <w:sz w:val="21"/>
                <w:szCs w:val="21"/>
                <w:highlight w:val="none"/>
                <w:lang w:val="en-US" w:eastAsia="zh-CN" w:bidi="ar-SA"/>
              </w:rPr>
              <w:t>噪声</w:t>
            </w:r>
          </w:p>
          <w:p w14:paraId="7187A840">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val="0"/>
                <w:color w:val="auto"/>
                <w:kern w:val="2"/>
                <w:sz w:val="21"/>
                <w:szCs w:val="21"/>
                <w:highlight w:val="none"/>
                <w:lang w:val="en-US" w:eastAsia="zh-CN" w:bidi="ar-SA"/>
              </w:rPr>
              <w:t>本项目</w:t>
            </w:r>
            <w:r>
              <w:rPr>
                <w:rFonts w:hint="default" w:ascii="Times New Roman" w:hAnsi="Times New Roman" w:eastAsia="宋体" w:cs="Times New Roman"/>
                <w:b w:val="0"/>
                <w:bCs/>
                <w:color w:val="auto"/>
                <w:kern w:val="2"/>
                <w:sz w:val="21"/>
                <w:szCs w:val="21"/>
                <w:highlight w:val="none"/>
                <w:lang w:val="en-US" w:eastAsia="zh-CN" w:bidi="ar-SA"/>
              </w:rPr>
              <w:t>施工期厂界噪声执行《</w:t>
            </w:r>
            <w:r>
              <w:rPr>
                <w:rFonts w:hint="eastAsia" w:cs="Times New Roman"/>
                <w:b w:val="0"/>
                <w:bCs/>
                <w:color w:val="auto"/>
                <w:kern w:val="2"/>
                <w:sz w:val="21"/>
                <w:szCs w:val="21"/>
                <w:highlight w:val="none"/>
                <w:lang w:val="en-US" w:eastAsia="zh-CN" w:bidi="ar-SA"/>
              </w:rPr>
              <w:t>建筑施工噪声排放标准</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GB12523-2025</w:t>
            </w:r>
            <w:r>
              <w:rPr>
                <w:rFonts w:hint="default" w:ascii="Times New Roman" w:hAnsi="Times New Roman" w:eastAsia="宋体" w:cs="Times New Roman"/>
                <w:b w:val="0"/>
                <w:bCs/>
                <w:color w:val="auto"/>
                <w:kern w:val="2"/>
                <w:sz w:val="21"/>
                <w:szCs w:val="21"/>
                <w:highlight w:val="none"/>
                <w:lang w:val="en-US" w:eastAsia="zh-CN" w:bidi="ar-SA"/>
              </w:rPr>
              <w:t>）中表1</w:t>
            </w:r>
            <w:r>
              <w:rPr>
                <w:rFonts w:hint="eastAsia" w:ascii="Times New Roman" w:hAnsi="Times New Roman" w:eastAsia="宋体" w:cs="Times New Roman"/>
                <w:b w:val="0"/>
                <w:bCs/>
                <w:color w:val="auto"/>
                <w:kern w:val="2"/>
                <w:sz w:val="21"/>
                <w:szCs w:val="21"/>
                <w:highlight w:val="none"/>
                <w:lang w:val="en-US" w:eastAsia="zh-CN" w:bidi="ar-SA"/>
              </w:rPr>
              <w:t>相关标准</w:t>
            </w:r>
            <w:r>
              <w:rPr>
                <w:rFonts w:hint="default" w:ascii="Times New Roman" w:hAnsi="Times New Roman" w:eastAsia="宋体" w:cs="Times New Roman"/>
                <w:b w:val="0"/>
                <w:bCs/>
                <w:color w:val="auto"/>
                <w:kern w:val="2"/>
                <w:sz w:val="21"/>
                <w:szCs w:val="21"/>
                <w:highlight w:val="none"/>
                <w:lang w:val="en-US" w:eastAsia="zh-CN" w:bidi="ar-SA"/>
              </w:rPr>
              <w:t>，运营期厂界噪声执行《工业企业厂界环境噪声排放标准》（GB12348-2008）中</w:t>
            </w:r>
            <w:r>
              <w:rPr>
                <w:rFonts w:hint="eastAsia" w:ascii="Times New Roman" w:hAnsi="Times New Roman" w:eastAsia="宋体" w:cs="Times New Roman"/>
                <w:b w:val="0"/>
                <w:bCs/>
                <w:color w:val="auto"/>
                <w:kern w:val="2"/>
                <w:sz w:val="21"/>
                <w:szCs w:val="21"/>
                <w:highlight w:val="none"/>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类标准。</w:t>
            </w:r>
          </w:p>
          <w:p w14:paraId="2AEA2A0C">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0" w:firstLineChars="0"/>
              <w:jc w:val="center"/>
              <w:textAlignment w:val="baseline"/>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表 3-</w:t>
            </w:r>
            <w:r>
              <w:rPr>
                <w:rFonts w:hint="eastAsia" w:ascii="Times New Roman" w:hAnsi="Times New Roman" w:eastAsia="宋体" w:cs="Times New Roman"/>
                <w:b/>
                <w:bCs/>
                <w:color w:val="auto"/>
                <w:kern w:val="2"/>
                <w:sz w:val="21"/>
                <w:szCs w:val="21"/>
                <w:highlight w:val="none"/>
                <w:lang w:val="en-US" w:eastAsia="zh-CN" w:bidi="ar-SA"/>
              </w:rPr>
              <w:t>8</w:t>
            </w:r>
            <w:r>
              <w:rPr>
                <w:rFonts w:hint="default" w:ascii="Times New Roman" w:hAnsi="Times New Roman" w:eastAsia="宋体" w:cs="Times New Roman"/>
                <w:b/>
                <w:bCs/>
                <w:color w:val="auto"/>
                <w:kern w:val="2"/>
                <w:sz w:val="21"/>
                <w:szCs w:val="21"/>
                <w:highlight w:val="none"/>
                <w:lang w:val="en-US" w:eastAsia="zh-CN" w:bidi="ar-SA"/>
              </w:rPr>
              <w:t xml:space="preserve"> 噪声排放</w:t>
            </w:r>
            <w:r>
              <w:rPr>
                <w:rFonts w:hint="eastAsia" w:ascii="Times New Roman" w:hAnsi="Times New Roman" w:eastAsia="宋体" w:cs="Times New Roman"/>
                <w:b/>
                <w:bCs/>
                <w:color w:val="auto"/>
                <w:kern w:val="2"/>
                <w:sz w:val="21"/>
                <w:szCs w:val="21"/>
                <w:highlight w:val="none"/>
                <w:lang w:val="en-US" w:eastAsia="zh-CN" w:bidi="ar-SA"/>
              </w:rPr>
              <w:t>限值一览表</w:t>
            </w:r>
          </w:p>
          <w:tbl>
            <w:tblPr>
              <w:tblStyle w:val="25"/>
              <w:tblW w:w="7962"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0" w:type="dxa"/>
                <w:bottom w:w="0" w:type="dxa"/>
                <w:right w:w="0" w:type="dxa"/>
              </w:tblCellMar>
            </w:tblPr>
            <w:tblGrid>
              <w:gridCol w:w="932"/>
              <w:gridCol w:w="1349"/>
              <w:gridCol w:w="1349"/>
              <w:gridCol w:w="945"/>
              <w:gridCol w:w="3387"/>
            </w:tblGrid>
            <w:tr w14:paraId="2085506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932" w:type="dxa"/>
                  <w:noWrap w:val="0"/>
                  <w:vAlign w:val="center"/>
                </w:tcPr>
                <w:p w14:paraId="3E4283B7">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w:t>
                  </w:r>
                </w:p>
              </w:tc>
              <w:tc>
                <w:tcPr>
                  <w:tcW w:w="2698" w:type="dxa"/>
                  <w:gridSpan w:val="2"/>
                  <w:noWrap w:val="0"/>
                  <w:vAlign w:val="center"/>
                </w:tcPr>
                <w:p w14:paraId="1E8A2CEE">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标准值</w:t>
                  </w:r>
                </w:p>
              </w:tc>
              <w:tc>
                <w:tcPr>
                  <w:tcW w:w="945" w:type="dxa"/>
                  <w:noWrap w:val="0"/>
                  <w:vAlign w:val="center"/>
                </w:tcPr>
                <w:p w14:paraId="5DA34F2E">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单位</w:t>
                  </w:r>
                </w:p>
              </w:tc>
              <w:tc>
                <w:tcPr>
                  <w:tcW w:w="3387" w:type="dxa"/>
                  <w:noWrap w:val="0"/>
                  <w:vAlign w:val="center"/>
                </w:tcPr>
                <w:p w14:paraId="5C89C95F">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标准来源</w:t>
                  </w:r>
                </w:p>
              </w:tc>
            </w:tr>
            <w:tr w14:paraId="6C3C627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932" w:type="dxa"/>
                  <w:vMerge w:val="restart"/>
                  <w:noWrap w:val="0"/>
                  <w:vAlign w:val="center"/>
                </w:tcPr>
                <w:p w14:paraId="188A2723">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施工期</w:t>
                  </w:r>
                </w:p>
              </w:tc>
              <w:tc>
                <w:tcPr>
                  <w:tcW w:w="1349" w:type="dxa"/>
                  <w:noWrap w:val="0"/>
                  <w:vAlign w:val="center"/>
                </w:tcPr>
                <w:p w14:paraId="42DDC43E">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昼间</w:t>
                  </w:r>
                </w:p>
              </w:tc>
              <w:tc>
                <w:tcPr>
                  <w:tcW w:w="1349" w:type="dxa"/>
                  <w:noWrap w:val="0"/>
                  <w:vAlign w:val="center"/>
                </w:tcPr>
                <w:p w14:paraId="4FA374CB">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70</w:t>
                  </w:r>
                </w:p>
              </w:tc>
              <w:tc>
                <w:tcPr>
                  <w:tcW w:w="945" w:type="dxa"/>
                  <w:vMerge w:val="restart"/>
                  <w:noWrap w:val="0"/>
                  <w:vAlign w:val="center"/>
                </w:tcPr>
                <w:p w14:paraId="19B462F9">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dB（A）</w:t>
                  </w:r>
                </w:p>
              </w:tc>
              <w:tc>
                <w:tcPr>
                  <w:tcW w:w="3387" w:type="dxa"/>
                  <w:vMerge w:val="restart"/>
                  <w:noWrap w:val="0"/>
                  <w:vAlign w:val="center"/>
                </w:tcPr>
                <w:p w14:paraId="39EEBB4E">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lang w:val="en-US" w:eastAsia="zh-CN"/>
                    </w:rPr>
                    <w:t>《建筑施工噪声排放标准》</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GB12523-20</w:t>
                  </w:r>
                  <w:r>
                    <w:rPr>
                      <w:rFonts w:hint="eastAsia" w:ascii="Times New Roman" w:hAnsi="Times New Roman" w:eastAsia="宋体" w:cs="Times New Roman"/>
                      <w:color w:val="auto"/>
                      <w:sz w:val="21"/>
                      <w:szCs w:val="21"/>
                      <w:highlight w:val="none"/>
                      <w:lang w:val="en-US" w:eastAsia="zh-CN"/>
                    </w:rPr>
                    <w:t>25</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val="en-US" w:eastAsia="zh-CN"/>
                    </w:rPr>
                    <w:t>中表1</w:t>
                  </w:r>
                  <w:r>
                    <w:rPr>
                      <w:rFonts w:hint="eastAsia" w:ascii="Times New Roman" w:hAnsi="Times New Roman" w:eastAsia="宋体" w:cs="Times New Roman"/>
                      <w:color w:val="auto"/>
                      <w:sz w:val="21"/>
                      <w:szCs w:val="21"/>
                      <w:highlight w:val="none"/>
                      <w:lang w:val="en-US" w:eastAsia="zh-CN"/>
                    </w:rPr>
                    <w:t>相关标准</w:t>
                  </w:r>
                </w:p>
              </w:tc>
            </w:tr>
            <w:tr w14:paraId="764E850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932" w:type="dxa"/>
                  <w:vMerge w:val="continue"/>
                  <w:noWrap w:val="0"/>
                  <w:vAlign w:val="center"/>
                </w:tcPr>
                <w:p w14:paraId="0C6673A8">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p>
              </w:tc>
              <w:tc>
                <w:tcPr>
                  <w:tcW w:w="1349" w:type="dxa"/>
                  <w:noWrap w:val="0"/>
                  <w:vAlign w:val="center"/>
                </w:tcPr>
                <w:p w14:paraId="52232AC5">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夜间</w:t>
                  </w:r>
                </w:p>
              </w:tc>
              <w:tc>
                <w:tcPr>
                  <w:tcW w:w="1349" w:type="dxa"/>
                  <w:noWrap w:val="0"/>
                  <w:vAlign w:val="center"/>
                </w:tcPr>
                <w:p w14:paraId="3DD95FB0">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55</w:t>
                  </w:r>
                </w:p>
              </w:tc>
              <w:tc>
                <w:tcPr>
                  <w:tcW w:w="945" w:type="dxa"/>
                  <w:vMerge w:val="continue"/>
                  <w:noWrap w:val="0"/>
                  <w:vAlign w:val="center"/>
                </w:tcPr>
                <w:p w14:paraId="32A395D2">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p>
              </w:tc>
              <w:tc>
                <w:tcPr>
                  <w:tcW w:w="3387" w:type="dxa"/>
                  <w:vMerge w:val="continue"/>
                  <w:noWrap w:val="0"/>
                  <w:vAlign w:val="center"/>
                </w:tcPr>
                <w:p w14:paraId="57DDA3D2">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p>
              </w:tc>
            </w:tr>
            <w:tr w14:paraId="348C4F8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932" w:type="dxa"/>
                  <w:vMerge w:val="restart"/>
                  <w:noWrap w:val="0"/>
                  <w:vAlign w:val="center"/>
                </w:tcPr>
                <w:p w14:paraId="4988A499">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运营期</w:t>
                  </w:r>
                </w:p>
              </w:tc>
              <w:tc>
                <w:tcPr>
                  <w:tcW w:w="1349" w:type="dxa"/>
                  <w:noWrap w:val="0"/>
                  <w:vAlign w:val="center"/>
                </w:tcPr>
                <w:p w14:paraId="216CE288">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昼间</w:t>
                  </w:r>
                </w:p>
              </w:tc>
              <w:tc>
                <w:tcPr>
                  <w:tcW w:w="1349" w:type="dxa"/>
                  <w:noWrap w:val="0"/>
                  <w:vAlign w:val="center"/>
                </w:tcPr>
                <w:p w14:paraId="528FF78B">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6</w:t>
                  </w:r>
                  <w:r>
                    <w:rPr>
                      <w:rFonts w:hint="eastAsia" w:cs="Times New Roman"/>
                      <w:color w:val="auto"/>
                      <w:sz w:val="21"/>
                      <w:szCs w:val="21"/>
                      <w:highlight w:val="none"/>
                      <w:lang w:val="en-US" w:eastAsia="zh-CN"/>
                    </w:rPr>
                    <w:t>5</w:t>
                  </w:r>
                </w:p>
              </w:tc>
              <w:tc>
                <w:tcPr>
                  <w:tcW w:w="945" w:type="dxa"/>
                  <w:vMerge w:val="restart"/>
                  <w:noWrap w:val="0"/>
                  <w:vAlign w:val="center"/>
                </w:tcPr>
                <w:p w14:paraId="7BA56365">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dB（A）</w:t>
                  </w:r>
                </w:p>
              </w:tc>
              <w:tc>
                <w:tcPr>
                  <w:tcW w:w="3387" w:type="dxa"/>
                  <w:vMerge w:val="restart"/>
                  <w:noWrap w:val="0"/>
                  <w:vAlign w:val="center"/>
                </w:tcPr>
                <w:p w14:paraId="0911817D">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《工业企业厂界</w:t>
                  </w:r>
                  <w:r>
                    <w:rPr>
                      <w:rFonts w:hint="default" w:ascii="Times New Roman" w:hAnsi="Times New Roman" w:eastAsia="宋体" w:cs="Times New Roman"/>
                      <w:color w:val="auto"/>
                      <w:sz w:val="21"/>
                      <w:szCs w:val="21"/>
                      <w:highlight w:val="none"/>
                      <w:lang w:val="en-US" w:eastAsia="zh-CN"/>
                    </w:rPr>
                    <w:t>环境</w:t>
                  </w:r>
                  <w:r>
                    <w:rPr>
                      <w:rFonts w:hint="default" w:ascii="Times New Roman" w:hAnsi="Times New Roman" w:eastAsia="宋体" w:cs="Times New Roman"/>
                      <w:color w:val="auto"/>
                      <w:sz w:val="21"/>
                      <w:szCs w:val="21"/>
                      <w:highlight w:val="none"/>
                    </w:rPr>
                    <w:t>噪声排放标准》（GB12348-2008）</w:t>
                  </w:r>
                  <w:r>
                    <w:rPr>
                      <w:rFonts w:hint="default" w:ascii="Times New Roman" w:hAnsi="Times New Roman" w:eastAsia="宋体" w:cs="Times New Roman"/>
                      <w:b w:val="0"/>
                      <w:bCs/>
                      <w:color w:val="auto"/>
                      <w:kern w:val="2"/>
                      <w:sz w:val="21"/>
                      <w:szCs w:val="21"/>
                      <w:highlight w:val="none"/>
                      <w:lang w:val="en-US" w:eastAsia="zh-CN" w:bidi="ar-SA"/>
                    </w:rPr>
                    <w:t>中</w:t>
                  </w:r>
                  <w:r>
                    <w:rPr>
                      <w:rFonts w:hint="eastAsia" w:ascii="Times New Roman" w:hAnsi="Times New Roman" w:eastAsia="宋体" w:cs="Times New Roman"/>
                      <w:b w:val="0"/>
                      <w:bCs/>
                      <w:color w:val="auto"/>
                      <w:kern w:val="2"/>
                      <w:sz w:val="21"/>
                      <w:szCs w:val="21"/>
                      <w:highlight w:val="none"/>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类标准</w:t>
                  </w:r>
                </w:p>
              </w:tc>
            </w:tr>
            <w:tr w14:paraId="37A93E2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97" w:hRule="atLeast"/>
                <w:jc w:val="center"/>
              </w:trPr>
              <w:tc>
                <w:tcPr>
                  <w:tcW w:w="932" w:type="dxa"/>
                  <w:vMerge w:val="continue"/>
                  <w:noWrap w:val="0"/>
                  <w:vAlign w:val="center"/>
                </w:tcPr>
                <w:p w14:paraId="619DA61B">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p>
              </w:tc>
              <w:tc>
                <w:tcPr>
                  <w:tcW w:w="1349" w:type="dxa"/>
                  <w:noWrap w:val="0"/>
                  <w:vAlign w:val="center"/>
                </w:tcPr>
                <w:p w14:paraId="2CA425B6">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夜间</w:t>
                  </w:r>
                </w:p>
              </w:tc>
              <w:tc>
                <w:tcPr>
                  <w:tcW w:w="1349" w:type="dxa"/>
                  <w:noWrap w:val="0"/>
                  <w:vAlign w:val="center"/>
                </w:tcPr>
                <w:p w14:paraId="174F48A7">
                  <w:pPr>
                    <w:keepNext w:val="0"/>
                    <w:keepLines w:val="0"/>
                    <w:pageBreakBefore w:val="0"/>
                    <w:widowControl w:val="0"/>
                    <w:suppressLineNumbers w:val="0"/>
                    <w:kinsoku/>
                    <w:wordWrap/>
                    <w:overflowPunct/>
                    <w:topLinePunct w:val="0"/>
                    <w:autoSpaceDE/>
                    <w:autoSpaceDN/>
                    <w:bidi w:val="0"/>
                    <w:adjustRightInd/>
                    <w:snapToGrid/>
                    <w:spacing w:before="0" w:beforeLines="0" w:beforeAutospacing="0" w:after="0" w:afterLines="0" w:afterAutospacing="0" w:line="240" w:lineRule="auto"/>
                    <w:ind w:left="0" w:right="0" w:firstLine="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rPr>
                    <w:t>5</w:t>
                  </w:r>
                  <w:r>
                    <w:rPr>
                      <w:rFonts w:hint="eastAsia" w:cs="Times New Roman"/>
                      <w:color w:val="auto"/>
                      <w:sz w:val="21"/>
                      <w:szCs w:val="21"/>
                      <w:highlight w:val="none"/>
                      <w:lang w:val="en-US" w:eastAsia="zh-CN"/>
                    </w:rPr>
                    <w:t>5</w:t>
                  </w:r>
                </w:p>
              </w:tc>
              <w:tc>
                <w:tcPr>
                  <w:tcW w:w="945" w:type="dxa"/>
                  <w:vMerge w:val="continue"/>
                  <w:noWrap w:val="0"/>
                  <w:vAlign w:val="center"/>
                </w:tcPr>
                <w:p w14:paraId="15124544">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p>
              </w:tc>
              <w:tc>
                <w:tcPr>
                  <w:tcW w:w="3387" w:type="dxa"/>
                  <w:vMerge w:val="continue"/>
                  <w:noWrap w:val="0"/>
                  <w:vAlign w:val="center"/>
                </w:tcPr>
                <w:p w14:paraId="694B3813">
                  <w:pPr>
                    <w:keepNext w:val="0"/>
                    <w:keepLines w:val="0"/>
                    <w:pageBreakBefore w:val="0"/>
                    <w:widowControl w:val="0"/>
                    <w:suppressLineNumbers w:val="0"/>
                    <w:kinsoku/>
                    <w:wordWrap/>
                    <w:overflowPunct/>
                    <w:topLinePunct w:val="0"/>
                    <w:bidi w:val="0"/>
                    <w:adjustRightInd/>
                    <w:snapToGrid/>
                    <w:spacing w:before="0" w:beforeLines="0" w:beforeAutospacing="0" w:after="0" w:afterLines="0" w:afterAutospacing="0" w:line="240" w:lineRule="auto"/>
                    <w:ind w:left="0" w:right="0" w:firstLine="0"/>
                    <w:jc w:val="center"/>
                    <w:textAlignment w:val="auto"/>
                    <w:rPr>
                      <w:rFonts w:hint="default" w:ascii="Times New Roman" w:hAnsi="Times New Roman" w:eastAsia="宋体" w:cs="Times New Roman"/>
                      <w:color w:val="auto"/>
                      <w:sz w:val="21"/>
                      <w:szCs w:val="21"/>
                      <w:highlight w:val="none"/>
                    </w:rPr>
                  </w:pPr>
                </w:p>
              </w:tc>
            </w:tr>
          </w:tbl>
          <w:p w14:paraId="261F3925">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（三）</w:t>
            </w:r>
            <w:r>
              <w:rPr>
                <w:rFonts w:hint="default" w:ascii="Times New Roman" w:hAnsi="Times New Roman" w:eastAsia="宋体" w:cs="Times New Roman"/>
                <w:b/>
                <w:bCs w:val="0"/>
                <w:color w:val="auto"/>
                <w:kern w:val="2"/>
                <w:sz w:val="21"/>
                <w:szCs w:val="21"/>
                <w:highlight w:val="none"/>
                <w:lang w:val="en-US" w:eastAsia="zh-CN" w:bidi="ar-SA"/>
              </w:rPr>
              <w:t>固体废物</w:t>
            </w:r>
          </w:p>
          <w:p w14:paraId="2CC022BF">
            <w:pPr>
              <w:adjustRightInd/>
              <w:snapToGrid/>
              <w:spacing w:beforeLines="0" w:afterLines="0" w:line="360" w:lineRule="auto"/>
              <w:ind w:firstLine="420" w:firstLineChars="200"/>
              <w:jc w:val="both"/>
              <w:rPr>
                <w:rFonts w:hint="default"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本项目一般固体废物执行</w:t>
            </w:r>
            <w:r>
              <w:rPr>
                <w:rFonts w:hint="default" w:ascii="Times New Roman" w:hAnsi="Times New Roman" w:eastAsia="宋体" w:cs="Times New Roman"/>
                <w:b w:val="0"/>
                <w:bCs/>
                <w:color w:val="auto"/>
                <w:sz w:val="21"/>
                <w:szCs w:val="21"/>
                <w:highlight w:val="none"/>
                <w:lang w:val="en-US" w:eastAsia="zh-CN"/>
              </w:rPr>
              <w:t>《</w:t>
            </w:r>
            <w:r>
              <w:rPr>
                <w:rFonts w:hint="eastAsia" w:ascii="Times New Roman" w:hAnsi="Times New Roman" w:eastAsia="宋体" w:cs="Times New Roman"/>
                <w:b w:val="0"/>
                <w:bCs/>
                <w:color w:val="auto"/>
                <w:sz w:val="21"/>
                <w:szCs w:val="21"/>
                <w:highlight w:val="none"/>
                <w:lang w:val="en-US" w:eastAsia="zh-CN"/>
              </w:rPr>
              <w:t>一般工业固体废物贮存和填埋污染控制标准</w:t>
            </w:r>
            <w:r>
              <w:rPr>
                <w:rFonts w:hint="default" w:ascii="Times New Roman" w:hAnsi="Times New Roman" w:eastAsia="宋体" w:cs="Times New Roman"/>
                <w:b w:val="0"/>
                <w:bCs/>
                <w:color w:val="auto"/>
                <w:sz w:val="21"/>
                <w:szCs w:val="21"/>
                <w:highlight w:val="none"/>
                <w:lang w:val="en-US" w:eastAsia="zh-CN"/>
              </w:rPr>
              <w:t>》（GB</w:t>
            </w:r>
            <w:r>
              <w:rPr>
                <w:rFonts w:hint="eastAsia" w:ascii="Times New Roman" w:hAnsi="Times New Roman" w:eastAsia="宋体" w:cs="Times New Roman"/>
                <w:b w:val="0"/>
                <w:bCs/>
                <w:color w:val="auto"/>
                <w:sz w:val="21"/>
                <w:szCs w:val="21"/>
                <w:highlight w:val="none"/>
                <w:lang w:val="en-US" w:eastAsia="zh-CN"/>
              </w:rPr>
              <w:t>18599-2020</w:t>
            </w:r>
            <w:r>
              <w:rPr>
                <w:rFonts w:hint="default" w:ascii="Times New Roman" w:hAnsi="Times New Roman" w:eastAsia="宋体" w:cs="Times New Roman"/>
                <w:b w:val="0"/>
                <w:bCs/>
                <w:color w:val="auto"/>
                <w:sz w:val="21"/>
                <w:szCs w:val="21"/>
                <w:highlight w:val="none"/>
                <w:lang w:val="en-US" w:eastAsia="zh-CN"/>
              </w:rPr>
              <w:t>）</w:t>
            </w:r>
            <w:r>
              <w:rPr>
                <w:rFonts w:hint="eastAsia" w:ascii="Times New Roman" w:hAnsi="Times New Roman" w:eastAsia="宋体" w:cs="Times New Roman"/>
                <w:b w:val="0"/>
                <w:bCs/>
                <w:color w:val="auto"/>
                <w:sz w:val="21"/>
                <w:szCs w:val="21"/>
                <w:highlight w:val="none"/>
                <w:lang w:val="en-US" w:eastAsia="zh-CN"/>
              </w:rPr>
              <w:t>；危险废物执行《危险废物贮存污染控制标准》（GB18597-2023）中标准要求</w:t>
            </w:r>
            <w:r>
              <w:rPr>
                <w:rFonts w:hint="default" w:ascii="Times New Roman" w:hAnsi="Times New Roman" w:eastAsia="宋体" w:cs="Times New Roman"/>
                <w:b w:val="0"/>
                <w:bCs/>
                <w:color w:val="auto"/>
                <w:sz w:val="21"/>
                <w:szCs w:val="21"/>
                <w:highlight w:val="none"/>
                <w:lang w:val="en-US" w:eastAsia="zh-CN"/>
              </w:rPr>
              <w:t>。</w:t>
            </w:r>
          </w:p>
        </w:tc>
      </w:tr>
      <w:tr w14:paraId="0154D62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60" w:type="dxa"/>
            <w:noWrap w:val="0"/>
            <w:vAlign w:val="center"/>
          </w:tcPr>
          <w:p w14:paraId="15E25D01">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总量</w:t>
            </w:r>
          </w:p>
          <w:p w14:paraId="73613C39">
            <w:pPr>
              <w:adjustRightInd/>
              <w:snapToGrid/>
              <w:spacing w:beforeLines="0" w:afterLines="0" w:line="240" w:lineRule="auto"/>
              <w:jc w:val="center"/>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控制</w:t>
            </w:r>
          </w:p>
          <w:p w14:paraId="3A6D888B">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color w:val="auto"/>
                <w:kern w:val="0"/>
                <w:sz w:val="21"/>
                <w:szCs w:val="21"/>
                <w:highlight w:val="none"/>
              </w:rPr>
              <w:t>指标</w:t>
            </w:r>
          </w:p>
        </w:tc>
        <w:tc>
          <w:tcPr>
            <w:tcW w:w="8301" w:type="dxa"/>
            <w:noWrap w:val="0"/>
            <w:vAlign w:val="center"/>
          </w:tcPr>
          <w:p w14:paraId="14366D30">
            <w:pPr>
              <w:adjustRightInd/>
              <w:snapToGrid/>
              <w:spacing w:beforeLines="0" w:afterLines="0" w:line="360" w:lineRule="auto"/>
              <w:ind w:firstLine="420" w:firstLineChars="200"/>
              <w:jc w:val="both"/>
              <w:rPr>
                <w:rFonts w:hint="default"/>
                <w:color w:val="auto"/>
                <w:sz w:val="21"/>
                <w:szCs w:val="21"/>
                <w:highlight w:val="none"/>
                <w:lang w:val="en-US" w:eastAsia="zh-CN"/>
              </w:rPr>
            </w:pPr>
            <w:r>
              <w:rPr>
                <w:rFonts w:hint="default"/>
                <w:color w:val="auto"/>
                <w:sz w:val="21"/>
                <w:szCs w:val="21"/>
                <w:highlight w:val="none"/>
                <w:lang w:val="en-US" w:eastAsia="zh-CN"/>
              </w:rPr>
              <w:t>根据国家污染物排放总量控制要求，并结合本项目所在区域环境质量现状和工程自身外排污染物特征，确定以下污染物为本项目污染物总量控制因子：COD、氨氮、</w:t>
            </w:r>
            <w:r>
              <w:rPr>
                <w:rFonts w:hint="eastAsia" w:ascii="Times New Roman" w:eastAsia="宋体"/>
                <w:color w:val="auto"/>
                <w:sz w:val="21"/>
                <w:szCs w:val="21"/>
                <w:highlight w:val="none"/>
                <w:lang w:val="en-US" w:eastAsia="zh-CN"/>
              </w:rPr>
              <w:t>颗粒物</w:t>
            </w:r>
            <w:r>
              <w:rPr>
                <w:rFonts w:hint="default"/>
                <w:color w:val="auto"/>
                <w:sz w:val="21"/>
                <w:szCs w:val="21"/>
                <w:highlight w:val="none"/>
                <w:lang w:val="en-US" w:eastAsia="zh-CN"/>
              </w:rPr>
              <w:t>。</w:t>
            </w:r>
          </w:p>
          <w:p w14:paraId="5083E7CC">
            <w:pPr>
              <w:spacing w:line="360" w:lineRule="auto"/>
              <w:ind w:firstLine="420" w:firstLineChars="200"/>
              <w:jc w:val="left"/>
              <w:rPr>
                <w:rFonts w:hint="default" w:cs="Times New Roman"/>
                <w:color w:val="auto"/>
                <w:sz w:val="21"/>
                <w:szCs w:val="21"/>
                <w:highlight w:val="none"/>
                <w:lang w:val="en-US" w:eastAsia="zh-CN"/>
              </w:rPr>
            </w:pPr>
            <w:r>
              <w:rPr>
                <w:rFonts w:hint="eastAsia" w:cs="Times New Roman"/>
                <w:color w:val="auto"/>
                <w:sz w:val="21"/>
                <w:szCs w:val="20"/>
                <w:highlight w:val="none"/>
                <w:lang w:val="en-US" w:eastAsia="zh-CN"/>
              </w:rPr>
              <w:t>根据石家庄东华金龙化工有限公司排污权动态更新确认书（2024年7月29日出具），我单位现有</w:t>
            </w:r>
            <w:r>
              <w:rPr>
                <w:rFonts w:hint="default" w:ascii="Times New Roman" w:hAnsi="Times New Roman" w:cs="Times New Roman"/>
                <w:color w:val="auto"/>
                <w:sz w:val="21"/>
                <w:szCs w:val="20"/>
                <w:highlight w:val="none"/>
                <w:lang w:val="en-US" w:eastAsia="zh-CN"/>
              </w:rPr>
              <w:t>总量控制指标为：COD：</w:t>
            </w:r>
            <w:r>
              <w:rPr>
                <w:rFonts w:hint="eastAsia" w:cs="Times New Roman"/>
                <w:color w:val="auto"/>
                <w:sz w:val="21"/>
                <w:szCs w:val="20"/>
                <w:highlight w:val="none"/>
                <w:lang w:val="en-US" w:eastAsia="zh-CN"/>
              </w:rPr>
              <w:t>54.407</w:t>
            </w:r>
            <w:r>
              <w:rPr>
                <w:rFonts w:hint="default" w:ascii="Times New Roman" w:hAnsi="Times New Roman" w:cs="Times New Roman"/>
                <w:color w:val="auto"/>
                <w:sz w:val="21"/>
                <w:szCs w:val="20"/>
                <w:highlight w:val="none"/>
                <w:lang w:val="en-US" w:eastAsia="zh-CN"/>
              </w:rPr>
              <w:t>t/a、氨氮：</w:t>
            </w:r>
            <w:r>
              <w:rPr>
                <w:rFonts w:hint="eastAsia" w:cs="Times New Roman"/>
                <w:color w:val="auto"/>
                <w:sz w:val="21"/>
                <w:szCs w:val="20"/>
                <w:highlight w:val="none"/>
                <w:lang w:val="en-US" w:eastAsia="zh-CN"/>
              </w:rPr>
              <w:t>5.878</w:t>
            </w:r>
            <w:r>
              <w:rPr>
                <w:rFonts w:hint="default" w:ascii="Times New Roman" w:hAnsi="Times New Roman" w:cs="Times New Roman"/>
                <w:color w:val="auto"/>
                <w:sz w:val="21"/>
                <w:szCs w:val="20"/>
                <w:highlight w:val="none"/>
                <w:lang w:val="en-US" w:eastAsia="zh-CN"/>
              </w:rPr>
              <w:t>t/a、SO</w:t>
            </w:r>
            <w:r>
              <w:rPr>
                <w:rFonts w:hint="default" w:ascii="Times New Roman" w:hAnsi="Times New Roman" w:cs="Times New Roman"/>
                <w:color w:val="auto"/>
                <w:sz w:val="21"/>
                <w:szCs w:val="20"/>
                <w:highlight w:val="none"/>
                <w:vertAlign w:val="subscript"/>
                <w:lang w:val="en-US" w:eastAsia="zh-CN"/>
              </w:rPr>
              <w:t>2</w:t>
            </w:r>
            <w:r>
              <w:rPr>
                <w:rFonts w:hint="default" w:ascii="Times New Roman" w:hAnsi="Times New Roman" w:cs="Times New Roman"/>
                <w:color w:val="auto"/>
                <w:sz w:val="21"/>
                <w:szCs w:val="20"/>
                <w:highlight w:val="none"/>
                <w:lang w:val="en-US" w:eastAsia="zh-CN"/>
              </w:rPr>
              <w:t>：</w:t>
            </w:r>
            <w:r>
              <w:rPr>
                <w:rFonts w:hint="eastAsia" w:cs="Times New Roman"/>
                <w:color w:val="auto"/>
                <w:sz w:val="21"/>
                <w:szCs w:val="20"/>
                <w:highlight w:val="none"/>
                <w:lang w:val="en-US" w:eastAsia="zh-CN"/>
              </w:rPr>
              <w:t>5.94</w:t>
            </w:r>
            <w:r>
              <w:rPr>
                <w:rFonts w:hint="default" w:ascii="Times New Roman" w:hAnsi="Times New Roman" w:cs="Times New Roman"/>
                <w:color w:val="auto"/>
                <w:sz w:val="21"/>
                <w:szCs w:val="20"/>
                <w:highlight w:val="none"/>
                <w:lang w:val="en-US" w:eastAsia="zh-CN"/>
              </w:rPr>
              <w:t>t/a、NOx：0t/a</w:t>
            </w:r>
            <w:r>
              <w:rPr>
                <w:rFonts w:hint="eastAsia" w:cs="Times New Roman"/>
                <w:color w:val="5300FF"/>
                <w:sz w:val="21"/>
                <w:szCs w:val="20"/>
                <w:highlight w:val="none"/>
                <w:lang w:val="en-US" w:eastAsia="zh-CN"/>
              </w:rPr>
              <w:t>；</w:t>
            </w:r>
            <w:r>
              <w:rPr>
                <w:rFonts w:hint="eastAsia" w:cs="Times New Roman"/>
                <w:color w:val="auto"/>
                <w:sz w:val="21"/>
                <w:szCs w:val="20"/>
                <w:highlight w:val="none"/>
                <w:lang w:val="en-US" w:eastAsia="zh-CN"/>
              </w:rPr>
              <w:t>此外，公司甘氨酸深加工项目于2025年5月30日取得总量确认书并完成指标交易，交易获得指标为</w:t>
            </w:r>
            <w:r>
              <w:rPr>
                <w:rFonts w:hint="default" w:ascii="Times New Roman" w:hAnsi="Times New Roman" w:cs="Times New Roman"/>
                <w:color w:val="auto"/>
                <w:sz w:val="21"/>
                <w:szCs w:val="20"/>
                <w:highlight w:val="none"/>
                <w:lang w:val="en-US" w:eastAsia="zh-CN"/>
              </w:rPr>
              <w:t>：COD：</w:t>
            </w:r>
            <w:r>
              <w:rPr>
                <w:rFonts w:hint="eastAsia" w:cs="Times New Roman"/>
                <w:color w:val="auto"/>
                <w:sz w:val="21"/>
                <w:szCs w:val="20"/>
                <w:highlight w:val="none"/>
                <w:lang w:val="en-US" w:eastAsia="zh-CN"/>
              </w:rPr>
              <w:t>0.188</w:t>
            </w:r>
            <w:r>
              <w:rPr>
                <w:rFonts w:hint="default" w:ascii="Times New Roman" w:hAnsi="Times New Roman" w:cs="Times New Roman"/>
                <w:color w:val="auto"/>
                <w:sz w:val="21"/>
                <w:szCs w:val="20"/>
                <w:highlight w:val="none"/>
                <w:lang w:val="en-US" w:eastAsia="zh-CN"/>
              </w:rPr>
              <w:t>t/a、氨氮：</w:t>
            </w:r>
            <w:r>
              <w:rPr>
                <w:rFonts w:hint="eastAsia" w:cs="Times New Roman"/>
                <w:color w:val="auto"/>
                <w:sz w:val="21"/>
                <w:szCs w:val="20"/>
                <w:highlight w:val="none"/>
                <w:lang w:val="en-US" w:eastAsia="zh-CN"/>
              </w:rPr>
              <w:t>0.009</w:t>
            </w:r>
            <w:r>
              <w:rPr>
                <w:rFonts w:hint="default" w:ascii="Times New Roman" w:hAnsi="Times New Roman" w:cs="Times New Roman"/>
                <w:color w:val="auto"/>
                <w:sz w:val="21"/>
                <w:szCs w:val="20"/>
                <w:highlight w:val="none"/>
                <w:lang w:val="en-US" w:eastAsia="zh-CN"/>
              </w:rPr>
              <w:t>t/a、SO</w:t>
            </w:r>
            <w:r>
              <w:rPr>
                <w:rFonts w:hint="default" w:ascii="Times New Roman" w:hAnsi="Times New Roman" w:cs="Times New Roman"/>
                <w:color w:val="auto"/>
                <w:sz w:val="21"/>
                <w:szCs w:val="20"/>
                <w:highlight w:val="none"/>
                <w:vertAlign w:val="subscript"/>
                <w:lang w:val="en-US" w:eastAsia="zh-CN"/>
              </w:rPr>
              <w:t>2</w:t>
            </w:r>
            <w:r>
              <w:rPr>
                <w:rFonts w:hint="default" w:ascii="Times New Roman" w:hAnsi="Times New Roman" w:cs="Times New Roman"/>
                <w:color w:val="auto"/>
                <w:sz w:val="21"/>
                <w:szCs w:val="20"/>
                <w:highlight w:val="none"/>
                <w:lang w:val="en-US" w:eastAsia="zh-CN"/>
              </w:rPr>
              <w:t>：</w:t>
            </w:r>
            <w:r>
              <w:rPr>
                <w:rFonts w:hint="eastAsia" w:cs="Times New Roman"/>
                <w:color w:val="auto"/>
                <w:sz w:val="21"/>
                <w:szCs w:val="20"/>
                <w:highlight w:val="none"/>
                <w:lang w:val="en-US" w:eastAsia="zh-CN"/>
              </w:rPr>
              <w:t>0</w:t>
            </w:r>
            <w:r>
              <w:rPr>
                <w:rFonts w:hint="default" w:ascii="Times New Roman" w:hAnsi="Times New Roman" w:cs="Times New Roman"/>
                <w:color w:val="auto"/>
                <w:sz w:val="21"/>
                <w:szCs w:val="20"/>
                <w:highlight w:val="none"/>
                <w:lang w:val="en-US" w:eastAsia="zh-CN"/>
              </w:rPr>
              <w:t>t/a、NOx：0t/a</w:t>
            </w:r>
            <w:r>
              <w:rPr>
                <w:rFonts w:hint="eastAsia" w:cs="Times New Roman"/>
                <w:color w:val="auto"/>
                <w:sz w:val="21"/>
                <w:szCs w:val="20"/>
                <w:highlight w:val="none"/>
                <w:lang w:val="en-US" w:eastAsia="zh-CN"/>
              </w:rPr>
              <w:t>；</w:t>
            </w:r>
            <w:r>
              <w:rPr>
                <w:rFonts w:hint="eastAsia" w:cs="Times New Roman"/>
                <w:color w:val="auto"/>
                <w:sz w:val="21"/>
                <w:szCs w:val="21"/>
                <w:highlight w:val="none"/>
                <w:lang w:val="en-US" w:eastAsia="zh-CN"/>
              </w:rPr>
              <w:t>公司新建仓储设施项目于2026年1月27日取得总量确认书，该项目建成后新增</w:t>
            </w:r>
            <w:r>
              <w:rPr>
                <w:rFonts w:hint="default" w:ascii="Times New Roman" w:hAnsi="Times New Roman" w:cs="Times New Roman"/>
                <w:color w:val="auto"/>
                <w:sz w:val="21"/>
                <w:szCs w:val="21"/>
                <w:highlight w:val="none"/>
                <w:lang w:val="en-US" w:eastAsia="zh-CN"/>
              </w:rPr>
              <w:t>COD：</w:t>
            </w:r>
            <w:r>
              <w:rPr>
                <w:rFonts w:hint="eastAsia" w:cs="Times New Roman"/>
                <w:color w:val="auto"/>
                <w:sz w:val="21"/>
                <w:szCs w:val="21"/>
                <w:highlight w:val="none"/>
                <w:lang w:val="en-US" w:eastAsia="zh-CN"/>
              </w:rPr>
              <w:t>0</w:t>
            </w:r>
            <w:r>
              <w:rPr>
                <w:rFonts w:hint="default" w:ascii="Times New Roman" w:hAnsi="Times New Roman" w:cs="Times New Roman"/>
                <w:color w:val="auto"/>
                <w:sz w:val="21"/>
                <w:szCs w:val="21"/>
                <w:highlight w:val="none"/>
                <w:lang w:val="en-US" w:eastAsia="zh-CN"/>
              </w:rPr>
              <w:t>t/a、氨氮：</w:t>
            </w:r>
            <w:r>
              <w:rPr>
                <w:rFonts w:hint="eastAsia" w:cs="Times New Roman"/>
                <w:color w:val="auto"/>
                <w:sz w:val="21"/>
                <w:szCs w:val="21"/>
                <w:highlight w:val="none"/>
                <w:lang w:val="en-US" w:eastAsia="zh-CN"/>
              </w:rPr>
              <w:t>0</w:t>
            </w:r>
            <w:r>
              <w:rPr>
                <w:rFonts w:hint="default" w:ascii="Times New Roman" w:hAnsi="Times New Roman" w:cs="Times New Roman"/>
                <w:color w:val="auto"/>
                <w:sz w:val="21"/>
                <w:szCs w:val="21"/>
                <w:highlight w:val="none"/>
                <w:lang w:val="en-US" w:eastAsia="zh-CN"/>
              </w:rPr>
              <w:t>t/a、SO</w:t>
            </w:r>
            <w:r>
              <w:rPr>
                <w:rFonts w:hint="default" w:ascii="Times New Roman" w:hAnsi="Times New Roman" w:cs="Times New Roman"/>
                <w:color w:val="auto"/>
                <w:sz w:val="21"/>
                <w:szCs w:val="21"/>
                <w:highlight w:val="none"/>
                <w:vertAlign w:val="subscript"/>
                <w:lang w:val="en-US" w:eastAsia="zh-CN"/>
              </w:rPr>
              <w:t>2</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0</w:t>
            </w:r>
            <w:r>
              <w:rPr>
                <w:rFonts w:hint="default" w:ascii="Times New Roman" w:hAnsi="Times New Roman" w:cs="Times New Roman"/>
                <w:color w:val="auto"/>
                <w:sz w:val="21"/>
                <w:szCs w:val="21"/>
                <w:highlight w:val="none"/>
                <w:lang w:val="en-US" w:eastAsia="zh-CN"/>
              </w:rPr>
              <w:t>t/a、NOx：0t/a</w:t>
            </w:r>
            <w:r>
              <w:rPr>
                <w:rFonts w:hint="eastAsia" w:cs="Times New Roman"/>
                <w:color w:val="auto"/>
                <w:sz w:val="21"/>
                <w:szCs w:val="21"/>
                <w:highlight w:val="none"/>
                <w:lang w:val="en-US" w:eastAsia="zh-CN"/>
              </w:rPr>
              <w:t>。</w:t>
            </w:r>
          </w:p>
          <w:p w14:paraId="0837B94D">
            <w:pPr>
              <w:spacing w:line="360" w:lineRule="auto"/>
              <w:ind w:firstLine="420" w:firstLineChars="200"/>
              <w:jc w:val="left"/>
              <w:rPr>
                <w:rFonts w:hint="eastAsia" w:ascii="Times New Roman" w:hAnsi="Times New Roman" w:eastAsia="宋体" w:cs="Times New Roman"/>
                <w:color w:val="auto"/>
                <w:spacing w:val="0"/>
                <w:w w:val="100"/>
                <w:kern w:val="2"/>
                <w:position w:val="0"/>
                <w:sz w:val="21"/>
                <w:szCs w:val="24"/>
                <w:highlight w:val="none"/>
                <w:lang w:val="en-US" w:eastAsia="zh-CN" w:bidi="ar-SA"/>
              </w:rPr>
            </w:pPr>
            <w:r>
              <w:rPr>
                <w:rFonts w:hint="eastAsia" w:cs="Times New Roman"/>
                <w:color w:val="auto"/>
                <w:sz w:val="21"/>
                <w:szCs w:val="20"/>
                <w:highlight w:val="none"/>
                <w:lang w:val="en-US" w:eastAsia="zh-CN"/>
              </w:rPr>
              <w:t>综上，依据排污权动态更新确认书、甘氨酸深加工项目及</w:t>
            </w:r>
            <w:r>
              <w:rPr>
                <w:rFonts w:hint="eastAsia" w:cs="Times New Roman"/>
                <w:color w:val="auto"/>
                <w:sz w:val="21"/>
                <w:szCs w:val="21"/>
                <w:highlight w:val="none"/>
                <w:lang w:val="en-US" w:eastAsia="zh-CN"/>
              </w:rPr>
              <w:t>新建仓储设施项目</w:t>
            </w:r>
            <w:r>
              <w:rPr>
                <w:rFonts w:hint="eastAsia" w:cs="Times New Roman"/>
                <w:color w:val="auto"/>
                <w:sz w:val="21"/>
                <w:szCs w:val="20"/>
                <w:highlight w:val="none"/>
                <w:lang w:val="en-US" w:eastAsia="zh-CN"/>
              </w:rPr>
              <w:t>总量确认书，全厂合计现有总量控制指标如下：</w:t>
            </w:r>
            <w:r>
              <w:rPr>
                <w:rFonts w:hint="default" w:ascii="Times New Roman" w:hAnsi="Times New Roman" w:cs="Times New Roman"/>
                <w:color w:val="auto"/>
                <w:sz w:val="21"/>
                <w:szCs w:val="20"/>
                <w:highlight w:val="none"/>
                <w:lang w:val="en-US" w:eastAsia="zh-CN"/>
              </w:rPr>
              <w:t>COD：</w:t>
            </w:r>
            <w:r>
              <w:rPr>
                <w:rFonts w:hint="eastAsia" w:cs="Times New Roman"/>
                <w:color w:val="auto"/>
                <w:sz w:val="21"/>
                <w:szCs w:val="20"/>
                <w:highlight w:val="none"/>
                <w:lang w:val="en-US" w:eastAsia="zh-CN"/>
              </w:rPr>
              <w:t>54.595</w:t>
            </w:r>
            <w:r>
              <w:rPr>
                <w:rFonts w:hint="default" w:ascii="Times New Roman" w:hAnsi="Times New Roman" w:cs="Times New Roman"/>
                <w:color w:val="auto"/>
                <w:sz w:val="21"/>
                <w:szCs w:val="20"/>
                <w:highlight w:val="none"/>
                <w:lang w:val="en-US" w:eastAsia="zh-CN"/>
              </w:rPr>
              <w:t>t/a、氨氮：</w:t>
            </w:r>
            <w:r>
              <w:rPr>
                <w:rFonts w:hint="eastAsia" w:cs="Times New Roman"/>
                <w:color w:val="auto"/>
                <w:sz w:val="21"/>
                <w:szCs w:val="20"/>
                <w:highlight w:val="none"/>
                <w:lang w:val="en-US" w:eastAsia="zh-CN"/>
              </w:rPr>
              <w:t>5.887</w:t>
            </w:r>
            <w:r>
              <w:rPr>
                <w:rFonts w:hint="default" w:ascii="Times New Roman" w:hAnsi="Times New Roman" w:cs="Times New Roman"/>
                <w:color w:val="auto"/>
                <w:sz w:val="21"/>
                <w:szCs w:val="20"/>
                <w:highlight w:val="none"/>
                <w:lang w:val="en-US" w:eastAsia="zh-CN"/>
              </w:rPr>
              <w:t>t/a、SO</w:t>
            </w:r>
            <w:r>
              <w:rPr>
                <w:rFonts w:hint="default" w:ascii="Times New Roman" w:hAnsi="Times New Roman" w:cs="Times New Roman"/>
                <w:color w:val="auto"/>
                <w:sz w:val="21"/>
                <w:szCs w:val="20"/>
                <w:highlight w:val="none"/>
                <w:vertAlign w:val="subscript"/>
                <w:lang w:val="en-US" w:eastAsia="zh-CN"/>
              </w:rPr>
              <w:t>2</w:t>
            </w:r>
            <w:r>
              <w:rPr>
                <w:rFonts w:hint="default" w:ascii="Times New Roman" w:hAnsi="Times New Roman" w:cs="Times New Roman"/>
                <w:color w:val="auto"/>
                <w:sz w:val="21"/>
                <w:szCs w:val="20"/>
                <w:highlight w:val="none"/>
                <w:lang w:val="en-US" w:eastAsia="zh-CN"/>
              </w:rPr>
              <w:t>：5.94t/a、NOx：0t/a</w:t>
            </w:r>
            <w:r>
              <w:rPr>
                <w:rFonts w:hint="eastAsia" w:cs="Times New Roman"/>
                <w:color w:val="auto"/>
                <w:sz w:val="21"/>
                <w:szCs w:val="20"/>
                <w:highlight w:val="none"/>
                <w:lang w:val="en-US" w:eastAsia="zh-CN"/>
              </w:rPr>
              <w:t>，</w:t>
            </w:r>
            <w:r>
              <w:rPr>
                <w:rFonts w:hint="default" w:ascii="Times New Roman" w:hAnsi="Times New Roman" w:eastAsia="宋体" w:cs="Times New Roman"/>
                <w:color w:val="auto"/>
                <w:spacing w:val="0"/>
                <w:w w:val="100"/>
                <w:kern w:val="2"/>
                <w:position w:val="0"/>
                <w:sz w:val="21"/>
                <w:szCs w:val="24"/>
                <w:highlight w:val="none"/>
                <w:lang w:val="en-US" w:eastAsia="zh-CN" w:bidi="ar-SA"/>
              </w:rPr>
              <w:t>挥发性有机物：</w:t>
            </w:r>
            <w:r>
              <w:rPr>
                <w:rFonts w:hint="eastAsia" w:ascii="Times New Roman" w:hAnsi="Times New Roman" w:eastAsia="宋体" w:cs="Times New Roman"/>
                <w:color w:val="auto"/>
                <w:spacing w:val="0"/>
                <w:w w:val="100"/>
                <w:kern w:val="2"/>
                <w:position w:val="0"/>
                <w:sz w:val="21"/>
                <w:szCs w:val="24"/>
                <w:highlight w:val="none"/>
                <w:lang w:val="en-US" w:eastAsia="zh-CN" w:bidi="ar-SA"/>
              </w:rPr>
              <w:t>122.950</w:t>
            </w:r>
            <w:r>
              <w:rPr>
                <w:rFonts w:hint="default" w:ascii="Times New Roman" w:hAnsi="Times New Roman" w:eastAsia="宋体" w:cs="Times New Roman"/>
                <w:color w:val="auto"/>
                <w:spacing w:val="0"/>
                <w:w w:val="100"/>
                <w:kern w:val="2"/>
                <w:position w:val="0"/>
                <w:sz w:val="21"/>
                <w:szCs w:val="24"/>
                <w:highlight w:val="none"/>
                <w:lang w:val="en-US" w:eastAsia="zh-CN" w:bidi="ar-SA"/>
              </w:rPr>
              <w:t>t/a</w:t>
            </w:r>
            <w:r>
              <w:rPr>
                <w:rFonts w:hint="eastAsia" w:ascii="Times New Roman" w:hAnsi="Times New Roman" w:eastAsia="宋体" w:cs="Times New Roman"/>
                <w:color w:val="auto"/>
                <w:spacing w:val="0"/>
                <w:w w:val="100"/>
                <w:kern w:val="2"/>
                <w:position w:val="0"/>
                <w:sz w:val="21"/>
                <w:szCs w:val="24"/>
                <w:highlight w:val="none"/>
                <w:lang w:val="en-US" w:eastAsia="zh-CN" w:bidi="ar-SA"/>
              </w:rPr>
              <w:t>、颗粒物81.435t/a。</w:t>
            </w:r>
          </w:p>
          <w:p w14:paraId="00CD593B">
            <w:pPr>
              <w:adjustRightInd/>
              <w:snapToGrid/>
              <w:spacing w:beforeLines="0" w:afterLines="0" w:line="360" w:lineRule="auto"/>
              <w:ind w:firstLine="422" w:firstLineChars="200"/>
              <w:jc w:val="both"/>
              <w:rPr>
                <w:rFonts w:hint="default"/>
                <w:b/>
                <w:bCs/>
                <w:color w:val="auto"/>
                <w:sz w:val="21"/>
                <w:szCs w:val="21"/>
                <w:highlight w:val="none"/>
                <w:lang w:val="en-US" w:eastAsia="zh-CN"/>
              </w:rPr>
            </w:pPr>
            <w:r>
              <w:rPr>
                <w:rFonts w:hint="eastAsia"/>
                <w:b/>
                <w:bCs/>
                <w:color w:val="auto"/>
                <w:sz w:val="21"/>
                <w:szCs w:val="21"/>
                <w:highlight w:val="none"/>
                <w:lang w:val="en-US" w:eastAsia="zh-CN"/>
              </w:rPr>
              <w:t>本项目污染物总量控制指标</w:t>
            </w:r>
          </w:p>
          <w:p w14:paraId="7D3B1F3B">
            <w:pPr>
              <w:adjustRightInd/>
              <w:snapToGrid/>
              <w:spacing w:beforeLines="0" w:afterLines="0" w:line="360" w:lineRule="auto"/>
              <w:ind w:firstLine="422" w:firstLineChars="200"/>
              <w:jc w:val="both"/>
              <w:rPr>
                <w:rFonts w:hint="default"/>
                <w:b/>
                <w:bCs/>
                <w:color w:val="auto"/>
                <w:sz w:val="21"/>
                <w:szCs w:val="21"/>
                <w:highlight w:val="none"/>
                <w:lang w:val="en-US" w:eastAsia="zh-CN"/>
              </w:rPr>
            </w:pPr>
            <w:r>
              <w:rPr>
                <w:rFonts w:hint="eastAsia"/>
                <w:b/>
                <w:bCs/>
                <w:color w:val="auto"/>
                <w:sz w:val="21"/>
                <w:szCs w:val="21"/>
                <w:highlight w:val="none"/>
                <w:lang w:val="en-US" w:eastAsia="zh-CN"/>
              </w:rPr>
              <w:t>1、</w:t>
            </w:r>
            <w:r>
              <w:rPr>
                <w:rFonts w:hint="default"/>
                <w:b/>
                <w:bCs/>
                <w:color w:val="auto"/>
                <w:sz w:val="21"/>
                <w:szCs w:val="21"/>
                <w:highlight w:val="none"/>
                <w:lang w:val="en-US" w:eastAsia="zh-CN"/>
              </w:rPr>
              <w:t>废水</w:t>
            </w:r>
          </w:p>
          <w:p w14:paraId="3BBF0001">
            <w:pPr>
              <w:keepNext w:val="0"/>
              <w:keepLines w:val="0"/>
              <w:pageBreakBefore w:val="0"/>
              <w:widowControl w:val="0"/>
              <w:kinsoku/>
              <w:wordWrap/>
              <w:overflowPunct/>
              <w:topLinePunct w:val="0"/>
              <w:autoSpaceDE/>
              <w:autoSpaceDN/>
              <w:bidi w:val="0"/>
              <w:adjustRightInd/>
              <w:snapToGrid/>
              <w:spacing w:afterLines="0" w:line="360" w:lineRule="auto"/>
              <w:ind w:firstLine="420" w:firstLineChars="200"/>
              <w:jc w:val="both"/>
              <w:textAlignment w:val="auto"/>
              <w:rPr>
                <w:rFonts w:hint="eastAsia" w:eastAsia="宋体"/>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本项目</w:t>
            </w:r>
            <w:r>
              <w:rPr>
                <w:rFonts w:hint="eastAsia" w:hAnsi="宋体"/>
                <w:color w:val="auto"/>
                <w:sz w:val="21"/>
                <w:szCs w:val="21"/>
                <w:highlight w:val="none"/>
                <w:lang w:val="en-US" w:eastAsia="zh-CN"/>
              </w:rPr>
              <w:t>为扩能改造项目</w:t>
            </w:r>
            <w:r>
              <w:rPr>
                <w:rFonts w:hint="eastAsia" w:eastAsia="宋体"/>
                <w:color w:val="auto"/>
                <w:sz w:val="21"/>
                <w:szCs w:val="21"/>
                <w:highlight w:val="none"/>
                <w:lang w:val="en-US" w:eastAsia="zh-CN"/>
              </w:rPr>
              <w:t>，改造完成后甘氨酸亚铁产能由原来50t/a增加至300t/a，废水排放量由原来4.01m</w:t>
            </w:r>
            <w:r>
              <w:rPr>
                <w:rFonts w:hint="eastAsia" w:eastAsia="宋体"/>
                <w:color w:val="auto"/>
                <w:sz w:val="21"/>
                <w:szCs w:val="21"/>
                <w:highlight w:val="none"/>
                <w:vertAlign w:val="superscript"/>
                <w:lang w:val="en-US" w:eastAsia="zh-CN"/>
              </w:rPr>
              <w:t>3</w:t>
            </w:r>
            <w:r>
              <w:rPr>
                <w:rFonts w:hint="eastAsia" w:eastAsia="宋体"/>
                <w:color w:val="auto"/>
                <w:sz w:val="21"/>
                <w:szCs w:val="21"/>
                <w:highlight w:val="none"/>
                <w:lang w:val="en-US" w:eastAsia="zh-CN"/>
              </w:rPr>
              <w:t>/d增加至9.5m</w:t>
            </w:r>
            <w:r>
              <w:rPr>
                <w:rFonts w:hint="eastAsia" w:eastAsia="宋体"/>
                <w:color w:val="auto"/>
                <w:sz w:val="21"/>
                <w:szCs w:val="21"/>
                <w:highlight w:val="none"/>
                <w:vertAlign w:val="superscript"/>
                <w:lang w:val="en-US" w:eastAsia="zh-CN"/>
              </w:rPr>
              <w:t>3</w:t>
            </w:r>
            <w:r>
              <w:rPr>
                <w:rFonts w:hint="eastAsia" w:eastAsia="宋体"/>
                <w:color w:val="auto"/>
                <w:sz w:val="21"/>
                <w:szCs w:val="21"/>
                <w:highlight w:val="none"/>
                <w:lang w:val="en-US" w:eastAsia="zh-CN"/>
              </w:rPr>
              <w:t>/d，新增废水排放量5.49m</w:t>
            </w:r>
            <w:r>
              <w:rPr>
                <w:rFonts w:hint="eastAsia" w:eastAsia="宋体"/>
                <w:color w:val="auto"/>
                <w:sz w:val="21"/>
                <w:szCs w:val="21"/>
                <w:highlight w:val="none"/>
                <w:vertAlign w:val="superscript"/>
                <w:lang w:val="en-US" w:eastAsia="zh-CN"/>
              </w:rPr>
              <w:t>3</w:t>
            </w:r>
            <w:r>
              <w:rPr>
                <w:rFonts w:hint="eastAsia" w:eastAsia="宋体"/>
                <w:color w:val="auto"/>
                <w:sz w:val="21"/>
                <w:szCs w:val="21"/>
                <w:highlight w:val="none"/>
                <w:lang w:val="en-US" w:eastAsia="zh-CN"/>
              </w:rPr>
              <w:t>/d</w:t>
            </w:r>
            <w:r>
              <w:rPr>
                <w:rFonts w:hint="eastAsia" w:hAnsi="宋体" w:eastAsia="宋体"/>
                <w:color w:val="auto"/>
                <w:sz w:val="21"/>
                <w:szCs w:val="21"/>
                <w:highlight w:val="none"/>
                <w:lang w:val="en-US" w:eastAsia="zh-CN"/>
              </w:rPr>
              <w:t>，根</w:t>
            </w:r>
            <w:r>
              <w:rPr>
                <w:rFonts w:hint="eastAsia" w:eastAsia="宋体"/>
                <w:color w:val="auto"/>
                <w:sz w:val="21"/>
                <w:szCs w:val="21"/>
                <w:highlight w:val="none"/>
                <w:lang w:val="en-US" w:eastAsia="zh-CN"/>
              </w:rPr>
              <w:t>据《河北省生态环境厅关于印发《河北省主要污染物排污权确权管理暂行办法》的通知》</w:t>
            </w:r>
            <w:r>
              <w:rPr>
                <w:rFonts w:hint="default" w:eastAsia="宋体"/>
                <w:color w:val="auto"/>
                <w:sz w:val="21"/>
                <w:szCs w:val="21"/>
                <w:highlight w:val="none"/>
                <w:lang w:val="en-US" w:eastAsia="zh-CN"/>
              </w:rPr>
              <w:t>(</w:t>
            </w:r>
            <w:r>
              <w:rPr>
                <w:rFonts w:hint="eastAsia" w:eastAsia="宋体"/>
                <w:color w:val="auto"/>
                <w:sz w:val="21"/>
                <w:szCs w:val="21"/>
                <w:highlight w:val="none"/>
                <w:lang w:val="en-US" w:eastAsia="zh-CN"/>
              </w:rPr>
              <w:t>冀环规范</w:t>
            </w:r>
            <w:r>
              <w:rPr>
                <w:rFonts w:hint="default" w:eastAsia="宋体"/>
                <w:color w:val="auto"/>
                <w:sz w:val="21"/>
                <w:szCs w:val="21"/>
                <w:highlight w:val="none"/>
                <w:lang w:val="en-US" w:eastAsia="zh-CN"/>
              </w:rPr>
              <w:t>[2022]3</w:t>
            </w:r>
            <w:r>
              <w:rPr>
                <w:rFonts w:hint="eastAsia" w:eastAsia="宋体"/>
                <w:color w:val="auto"/>
                <w:sz w:val="21"/>
                <w:szCs w:val="21"/>
                <w:highlight w:val="none"/>
                <w:lang w:val="en-US" w:eastAsia="zh-CN"/>
              </w:rPr>
              <w:t>号</w:t>
            </w:r>
            <w:r>
              <w:rPr>
                <w:rFonts w:hint="default" w:eastAsia="宋体"/>
                <w:color w:val="auto"/>
                <w:sz w:val="21"/>
                <w:szCs w:val="21"/>
                <w:highlight w:val="none"/>
                <w:lang w:val="en-US" w:eastAsia="zh-CN"/>
              </w:rPr>
              <w:t>)</w:t>
            </w:r>
            <w:r>
              <w:rPr>
                <w:rFonts w:hint="eastAsia" w:eastAsia="宋体"/>
                <w:color w:val="auto"/>
                <w:sz w:val="21"/>
                <w:szCs w:val="21"/>
                <w:highlight w:val="none"/>
                <w:lang w:val="en-US" w:eastAsia="zh-CN"/>
              </w:rPr>
              <w:t>，排污单位废水排入污水集中处理设施的，总量指标按照污水集中处理设施执行的排放标准核定。</w:t>
            </w:r>
          </w:p>
          <w:p w14:paraId="00A3E1EA">
            <w:pPr>
              <w:adjustRightInd/>
              <w:snapToGrid/>
              <w:spacing w:beforeLines="0" w:afterLines="0" w:line="360" w:lineRule="auto"/>
              <w:ind w:firstLine="420" w:firstLineChars="200"/>
              <w:jc w:val="both"/>
              <w:rPr>
                <w:rFonts w:hint="default"/>
                <w:color w:val="auto"/>
                <w:sz w:val="21"/>
                <w:szCs w:val="21"/>
                <w:highlight w:val="none"/>
                <w:lang w:val="en-US" w:eastAsia="zh-CN"/>
              </w:rPr>
            </w:pPr>
            <w:r>
              <w:rPr>
                <w:rFonts w:hint="eastAsia" w:ascii="Times New Roman" w:hAnsi="Times New Roman" w:eastAsia="宋体" w:cs="Times New Roman"/>
                <w:b w:val="0"/>
                <w:bCs w:val="0"/>
                <w:color w:val="auto"/>
                <w:sz w:val="21"/>
                <w:szCs w:val="21"/>
                <w:highlight w:val="none"/>
                <w:lang w:val="en-US" w:eastAsia="zh-CN"/>
              </w:rPr>
              <w:t>本</w:t>
            </w:r>
            <w:r>
              <w:rPr>
                <w:rFonts w:hint="default" w:ascii="Times New Roman" w:hAnsi="Times New Roman" w:eastAsia="宋体" w:cs="Times New Roman"/>
                <w:b w:val="0"/>
                <w:bCs w:val="0"/>
                <w:color w:val="auto"/>
                <w:sz w:val="21"/>
                <w:szCs w:val="21"/>
                <w:highlight w:val="none"/>
                <w:lang w:val="en-US" w:eastAsia="zh-CN"/>
              </w:rPr>
              <w:t>项目</w:t>
            </w:r>
            <w:r>
              <w:rPr>
                <w:rFonts w:hint="default" w:ascii="Times New Roman" w:hAnsi="Times New Roman" w:eastAsia="宋体" w:cs="Times New Roman"/>
                <w:b w:val="0"/>
                <w:bCs w:val="0"/>
                <w:color w:val="auto"/>
                <w:kern w:val="2"/>
                <w:sz w:val="21"/>
                <w:szCs w:val="21"/>
                <w:highlight w:val="none"/>
                <w:lang w:val="en-US" w:eastAsia="zh-CN" w:bidi="ar-SA"/>
              </w:rPr>
              <w:t>废水经厂</w:t>
            </w:r>
            <w:r>
              <w:rPr>
                <w:rFonts w:hint="eastAsia" w:cs="Times New Roman"/>
                <w:b w:val="0"/>
                <w:bCs w:val="0"/>
                <w:color w:val="auto"/>
                <w:kern w:val="2"/>
                <w:sz w:val="21"/>
                <w:szCs w:val="21"/>
                <w:highlight w:val="none"/>
                <w:lang w:val="en-US" w:eastAsia="zh-CN" w:bidi="ar-SA"/>
              </w:rPr>
              <w:t>综合</w:t>
            </w:r>
            <w:r>
              <w:rPr>
                <w:rFonts w:hint="default" w:ascii="Times New Roman" w:hAnsi="Times New Roman" w:eastAsia="宋体" w:cs="Times New Roman"/>
                <w:b w:val="0"/>
                <w:bCs w:val="0"/>
                <w:color w:val="auto"/>
                <w:kern w:val="2"/>
                <w:sz w:val="21"/>
                <w:szCs w:val="21"/>
                <w:highlight w:val="none"/>
                <w:lang w:val="en-US" w:eastAsia="zh-CN" w:bidi="ar-SA"/>
              </w:rPr>
              <w:t>污水处理站处理后通过园区污水管网最终排入</w:t>
            </w:r>
            <w:r>
              <w:rPr>
                <w:rFonts w:hint="eastAsia" w:cs="Times New Roman"/>
                <w:b w:val="0"/>
                <w:bCs w:val="0"/>
                <w:color w:val="auto"/>
                <w:kern w:val="2"/>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val="0"/>
                <w:bCs w:val="0"/>
                <w:color w:val="auto"/>
                <w:kern w:val="2"/>
                <w:sz w:val="21"/>
                <w:szCs w:val="21"/>
                <w:highlight w:val="none"/>
                <w:lang w:val="en-US" w:eastAsia="zh-CN" w:bidi="ar-SA"/>
              </w:rPr>
              <w:t>进一步处理</w:t>
            </w:r>
            <w:r>
              <w:rPr>
                <w:rFonts w:hint="eastAsia" w:ascii="Times New Roman" w:hAnsi="Times New Roman" w:eastAsia="宋体"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本项目运营期废水排放执行《污水综合排放标准》</w:t>
            </w:r>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GB8978-1996</w:t>
            </w:r>
            <w:r>
              <w:rPr>
                <w:rFonts w:hint="eastAsia" w:cs="Times New Roman"/>
                <w:b w:val="0"/>
                <w:bCs w:val="0"/>
                <w:color w:val="auto"/>
                <w:kern w:val="2"/>
                <w:sz w:val="21"/>
                <w:szCs w:val="21"/>
                <w:highlight w:val="none"/>
                <w:lang w:val="en-US" w:eastAsia="zh-CN" w:bidi="ar-SA"/>
              </w:rPr>
              <w:t>）</w:t>
            </w:r>
            <w:r>
              <w:rPr>
                <w:rFonts w:hint="default" w:ascii="Times New Roman" w:hAnsi="Times New Roman" w:eastAsia="宋体" w:cs="Times New Roman"/>
                <w:b w:val="0"/>
                <w:bCs w:val="0"/>
                <w:color w:val="auto"/>
                <w:kern w:val="2"/>
                <w:sz w:val="21"/>
                <w:szCs w:val="21"/>
                <w:highlight w:val="none"/>
                <w:lang w:val="en-US" w:eastAsia="zh-CN" w:bidi="ar-SA"/>
              </w:rPr>
              <w:t>表4三级标准，同时满足</w:t>
            </w:r>
            <w:r>
              <w:rPr>
                <w:rFonts w:hint="eastAsia" w:cs="Times New Roman"/>
                <w:b w:val="0"/>
                <w:bCs w:val="0"/>
                <w:color w:val="auto"/>
                <w:kern w:val="2"/>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val="0"/>
                <w:bCs w:val="0"/>
                <w:color w:val="auto"/>
                <w:kern w:val="2"/>
                <w:sz w:val="21"/>
                <w:szCs w:val="21"/>
                <w:highlight w:val="none"/>
                <w:lang w:val="en-US" w:eastAsia="zh-CN" w:bidi="ar-SA"/>
              </w:rPr>
              <w:t>进水水质要求</w:t>
            </w:r>
            <w:r>
              <w:rPr>
                <w:rFonts w:hint="default"/>
                <w:color w:val="auto"/>
                <w:sz w:val="21"/>
                <w:szCs w:val="21"/>
                <w:highlight w:val="none"/>
                <w:lang w:val="en-US" w:eastAsia="zh-CN"/>
              </w:rPr>
              <w:t>，即COD≤</w:t>
            </w:r>
            <w:r>
              <w:rPr>
                <w:rFonts w:hint="eastAsia"/>
                <w:color w:val="auto"/>
                <w:sz w:val="21"/>
                <w:szCs w:val="21"/>
                <w:highlight w:val="none"/>
                <w:lang w:val="en-US" w:eastAsia="zh-CN"/>
              </w:rPr>
              <w:t>500</w:t>
            </w:r>
            <w:r>
              <w:rPr>
                <w:rFonts w:hint="default"/>
                <w:color w:val="auto"/>
                <w:sz w:val="21"/>
                <w:szCs w:val="21"/>
                <w:highlight w:val="none"/>
                <w:lang w:val="en-US" w:eastAsia="zh-CN"/>
              </w:rPr>
              <w:t>mg/L、氨氮≤</w:t>
            </w:r>
            <w:r>
              <w:rPr>
                <w:rFonts w:hint="eastAsia"/>
                <w:color w:val="auto"/>
                <w:sz w:val="21"/>
                <w:szCs w:val="21"/>
                <w:highlight w:val="none"/>
                <w:lang w:val="en-US" w:eastAsia="zh-CN"/>
              </w:rPr>
              <w:t>48</w:t>
            </w:r>
            <w:r>
              <w:rPr>
                <w:rFonts w:hint="default"/>
                <w:color w:val="auto"/>
                <w:sz w:val="21"/>
                <w:szCs w:val="21"/>
                <w:highlight w:val="none"/>
                <w:lang w:val="en-US" w:eastAsia="zh-CN"/>
              </w:rPr>
              <w:t>mg/L，</w:t>
            </w:r>
            <w:r>
              <w:rPr>
                <w:rFonts w:hint="eastAsia" w:ascii="Times New Roman" w:eastAsia="宋体"/>
                <w:color w:val="auto"/>
                <w:sz w:val="21"/>
                <w:szCs w:val="21"/>
                <w:highlight w:val="none"/>
                <w:lang w:val="en-US" w:eastAsia="zh-CN"/>
              </w:rPr>
              <w:t>本项目总量控制指标为</w:t>
            </w:r>
            <w:r>
              <w:rPr>
                <w:rFonts w:hint="default"/>
                <w:color w:val="auto"/>
                <w:sz w:val="21"/>
                <w:szCs w:val="21"/>
                <w:highlight w:val="none"/>
                <w:lang w:val="en-US" w:eastAsia="zh-CN"/>
              </w:rPr>
              <w:t>：</w:t>
            </w:r>
          </w:p>
          <w:p w14:paraId="0B5E3403">
            <w:pPr>
              <w:keepNext w:val="0"/>
              <w:keepLines w:val="0"/>
              <w:widowControl w:val="0"/>
              <w:kinsoku/>
              <w:autoSpaceDE/>
              <w:autoSpaceDN/>
              <w:adjustRightInd/>
              <w:snapToGrid/>
              <w:spacing w:beforeLines="0" w:beforeAutospacing="0" w:afterLines="0" w:afterAutospacing="0" w:line="360" w:lineRule="auto"/>
              <w:ind w:firstLine="0" w:firstLineChars="0"/>
              <w:jc w:val="center"/>
              <w:textAlignment w:val="baseline"/>
              <w:outlineLvl w:val="1"/>
              <w:rPr>
                <w:rFonts w:hint="default" w:ascii="Times New Roman" w:hAnsi="Times New Roman" w:eastAsia="宋体" w:cs="Times New Roman"/>
                <w:b/>
                <w:bCs/>
                <w:color w:val="auto"/>
                <w:kern w:val="2"/>
                <w:sz w:val="21"/>
                <w:szCs w:val="21"/>
                <w:highlight w:val="none"/>
                <w:lang w:val="en-US" w:eastAsia="zh-CN" w:bidi="ar-SA"/>
              </w:rPr>
            </w:pPr>
            <w:r>
              <w:rPr>
                <w:rFonts w:ascii="Times New Roman" w:hAnsi="Times New Roman" w:eastAsia="宋体" w:cs="Times New Roman"/>
                <w:b/>
                <w:bCs/>
                <w:color w:val="auto"/>
                <w:kern w:val="2"/>
                <w:sz w:val="21"/>
                <w:szCs w:val="21"/>
                <w:highlight w:val="none"/>
                <w:lang w:val="en-US" w:eastAsia="zh-CN" w:bidi="ar-SA"/>
              </w:rPr>
              <w:t>表</w:t>
            </w:r>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3-</w:t>
            </w:r>
            <w:r>
              <w:rPr>
                <w:rFonts w:hint="eastAsia" w:ascii="Times New Roman" w:hAnsi="Times New Roman" w:eastAsia="宋体" w:cs="Times New Roman"/>
                <w:b/>
                <w:bCs/>
                <w:color w:val="auto"/>
                <w:kern w:val="2"/>
                <w:sz w:val="21"/>
                <w:szCs w:val="21"/>
                <w:highlight w:val="none"/>
                <w:lang w:val="en-US" w:eastAsia="zh-CN" w:bidi="ar-SA"/>
              </w:rPr>
              <w:t xml:space="preserve">9 </w:t>
            </w:r>
            <w:r>
              <w:rPr>
                <w:rFonts w:hint="eastAsia" w:cs="Times New Roman"/>
                <w:b/>
                <w:bCs/>
                <w:color w:val="auto"/>
                <w:kern w:val="2"/>
                <w:sz w:val="21"/>
                <w:szCs w:val="21"/>
                <w:highlight w:val="none"/>
                <w:lang w:val="en-US" w:eastAsia="zh-CN" w:bidi="ar-SA"/>
              </w:rPr>
              <w:t>本</w:t>
            </w:r>
            <w:r>
              <w:rPr>
                <w:rFonts w:hint="eastAsia" w:ascii="Times New Roman" w:hAnsi="Times New Roman" w:eastAsia="宋体" w:cs="Times New Roman"/>
                <w:b/>
                <w:bCs/>
                <w:color w:val="auto"/>
                <w:kern w:val="2"/>
                <w:sz w:val="21"/>
                <w:szCs w:val="21"/>
                <w:highlight w:val="none"/>
                <w:lang w:val="en-US" w:eastAsia="zh-CN" w:bidi="ar-SA"/>
              </w:rPr>
              <w:t>项目</w:t>
            </w:r>
            <w:r>
              <w:rPr>
                <w:rFonts w:hint="eastAsia" w:ascii="Times New Roman" w:hAnsi="Times New Roman" w:cs="Times New Roman"/>
                <w:b/>
                <w:bCs/>
                <w:color w:val="auto"/>
                <w:kern w:val="2"/>
                <w:sz w:val="21"/>
                <w:szCs w:val="21"/>
                <w:highlight w:val="none"/>
                <w:lang w:val="en-US" w:eastAsia="zh-CN" w:bidi="ar-SA"/>
              </w:rPr>
              <w:t>扩能改造后</w:t>
            </w:r>
            <w:r>
              <w:rPr>
                <w:rFonts w:hint="eastAsia" w:cs="Times New Roman"/>
                <w:b/>
                <w:bCs/>
                <w:color w:val="auto"/>
                <w:kern w:val="2"/>
                <w:sz w:val="21"/>
                <w:szCs w:val="21"/>
                <w:highlight w:val="none"/>
                <w:lang w:val="en-US" w:eastAsia="zh-CN" w:bidi="ar-SA"/>
              </w:rPr>
              <w:t>废水总量控制指标核算一览表</w:t>
            </w:r>
          </w:p>
          <w:tbl>
            <w:tblPr>
              <w:tblStyle w:val="25"/>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71"/>
              <w:gridCol w:w="1180"/>
              <w:gridCol w:w="5"/>
              <w:gridCol w:w="1175"/>
              <w:gridCol w:w="1180"/>
              <w:gridCol w:w="2365"/>
              <w:gridCol w:w="1193"/>
            </w:tblGrid>
            <w:tr w14:paraId="7C54E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602" w:type="pct"/>
                  <w:noWrap w:val="0"/>
                  <w:vAlign w:val="center"/>
                </w:tcPr>
                <w:p w14:paraId="7BF71D94">
                  <w:pPr>
                    <w:snapToGrid/>
                    <w:spacing w:line="240" w:lineRule="auto"/>
                    <w:jc w:val="center"/>
                    <w:rPr>
                      <w:rFonts w:hint="eastAsia" w:eastAsia="宋体"/>
                      <w:color w:val="auto"/>
                      <w:sz w:val="21"/>
                      <w:szCs w:val="21"/>
                      <w:highlight w:val="none"/>
                      <w:lang w:val="en-US" w:eastAsia="zh-CN"/>
                    </w:rPr>
                  </w:pPr>
                  <w:r>
                    <w:rPr>
                      <w:rFonts w:hint="eastAsia" w:eastAsia="宋体"/>
                      <w:color w:val="auto"/>
                      <w:sz w:val="21"/>
                      <w:szCs w:val="21"/>
                      <w:highlight w:val="none"/>
                      <w:lang w:val="en-US" w:eastAsia="zh-CN"/>
                    </w:rPr>
                    <w:t>项目</w:t>
                  </w:r>
                </w:p>
              </w:tc>
              <w:tc>
                <w:tcPr>
                  <w:tcW w:w="731" w:type="pct"/>
                  <w:noWrap w:val="0"/>
                  <w:vAlign w:val="center"/>
                </w:tcPr>
                <w:p w14:paraId="38B62145">
                  <w:pPr>
                    <w:snapToGrid/>
                    <w:spacing w:line="240" w:lineRule="auto"/>
                    <w:jc w:val="center"/>
                    <w:rPr>
                      <w:rFonts w:hint="default" w:hAnsi="宋体" w:eastAsia="宋体"/>
                      <w:color w:val="auto"/>
                      <w:sz w:val="21"/>
                      <w:szCs w:val="21"/>
                      <w:highlight w:val="none"/>
                      <w:lang w:val="en-US" w:eastAsia="zh-CN"/>
                    </w:rPr>
                  </w:pPr>
                  <w:r>
                    <w:rPr>
                      <w:rFonts w:hint="eastAsia" w:hAnsi="宋体" w:eastAsia="宋体"/>
                      <w:color w:val="auto"/>
                      <w:sz w:val="21"/>
                      <w:szCs w:val="21"/>
                      <w:highlight w:val="none"/>
                      <w:lang w:val="en-US" w:eastAsia="zh-CN"/>
                    </w:rPr>
                    <w:t>污染物实际排放浓度（mg/L）</w:t>
                  </w:r>
                </w:p>
              </w:tc>
              <w:tc>
                <w:tcPr>
                  <w:tcW w:w="731" w:type="pct"/>
                  <w:gridSpan w:val="2"/>
                  <w:noWrap w:val="0"/>
                  <w:tcMar>
                    <w:left w:w="0" w:type="dxa"/>
                    <w:right w:w="0" w:type="dxa"/>
                  </w:tcMar>
                  <w:vAlign w:val="center"/>
                </w:tcPr>
                <w:p w14:paraId="0F286AEA">
                  <w:pPr>
                    <w:snapToGrid/>
                    <w:spacing w:line="240" w:lineRule="auto"/>
                    <w:jc w:val="center"/>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污染物达标排放浓度（mg/L）</w:t>
                  </w:r>
                </w:p>
              </w:tc>
              <w:tc>
                <w:tcPr>
                  <w:tcW w:w="731" w:type="pct"/>
                  <w:noWrap w:val="0"/>
                  <w:vAlign w:val="center"/>
                </w:tcPr>
                <w:p w14:paraId="0C9D68D2">
                  <w:pPr>
                    <w:snapToGrid/>
                    <w:spacing w:line="240" w:lineRule="auto"/>
                    <w:jc w:val="center"/>
                    <w:rPr>
                      <w:rFonts w:hint="default" w:ascii="Times New Roman" w:hAnsi="宋体" w:eastAsia="宋体" w:cs="Times New Roman"/>
                      <w:color w:val="auto"/>
                      <w:kern w:val="2"/>
                      <w:sz w:val="21"/>
                      <w:szCs w:val="21"/>
                      <w:highlight w:val="none"/>
                      <w:lang w:val="en-US" w:eastAsia="zh-CN" w:bidi="ar-SA"/>
                    </w:rPr>
                  </w:pPr>
                  <w:r>
                    <w:rPr>
                      <w:rFonts w:hint="eastAsia" w:ascii="Times New Roman" w:hAnsi="宋体" w:eastAsia="宋体" w:cs="Times New Roman"/>
                      <w:color w:val="auto"/>
                      <w:kern w:val="2"/>
                      <w:sz w:val="21"/>
                      <w:szCs w:val="21"/>
                      <w:highlight w:val="none"/>
                      <w:lang w:val="en-US" w:eastAsia="zh-CN" w:bidi="ar-SA"/>
                    </w:rPr>
                    <w:t>污水处理厂出水水质</w:t>
                  </w:r>
                  <w:r>
                    <w:rPr>
                      <w:rFonts w:hint="eastAsia" w:eastAsia="宋体"/>
                      <w:color w:val="auto"/>
                      <w:sz w:val="21"/>
                      <w:szCs w:val="21"/>
                      <w:highlight w:val="none"/>
                      <w:lang w:val="en-US" w:eastAsia="zh-CN"/>
                    </w:rPr>
                    <w:t>（mg/L）</w:t>
                  </w:r>
                </w:p>
              </w:tc>
              <w:tc>
                <w:tcPr>
                  <w:tcW w:w="1465" w:type="pct"/>
                  <w:noWrap w:val="0"/>
                  <w:vAlign w:val="center"/>
                </w:tcPr>
                <w:p w14:paraId="17E511A0">
                  <w:pPr>
                    <w:snapToGrid/>
                    <w:spacing w:line="240" w:lineRule="auto"/>
                    <w:jc w:val="center"/>
                    <w:rPr>
                      <w:rFonts w:hint="default" w:hAnsi="宋体" w:eastAsia="宋体"/>
                      <w:color w:val="auto"/>
                      <w:sz w:val="21"/>
                      <w:szCs w:val="21"/>
                      <w:highlight w:val="none"/>
                      <w:lang w:val="en-US" w:eastAsia="zh-CN"/>
                    </w:rPr>
                  </w:pPr>
                  <w:r>
                    <w:rPr>
                      <w:rFonts w:hint="eastAsia" w:hAnsi="宋体" w:eastAsia="宋体"/>
                      <w:color w:val="auto"/>
                      <w:sz w:val="21"/>
                      <w:szCs w:val="21"/>
                      <w:highlight w:val="none"/>
                      <w:lang w:val="en-US" w:eastAsia="zh-CN"/>
                    </w:rPr>
                    <w:t>废水量（m</w:t>
                  </w:r>
                  <w:r>
                    <w:rPr>
                      <w:rFonts w:hint="eastAsia" w:hAnsi="宋体" w:eastAsia="宋体"/>
                      <w:color w:val="auto"/>
                      <w:sz w:val="21"/>
                      <w:szCs w:val="21"/>
                      <w:highlight w:val="none"/>
                      <w:vertAlign w:val="superscript"/>
                      <w:lang w:val="en-US" w:eastAsia="zh-CN"/>
                    </w:rPr>
                    <w:t>3</w:t>
                  </w:r>
                  <w:r>
                    <w:rPr>
                      <w:rFonts w:hint="eastAsia" w:hAnsi="宋体" w:eastAsia="宋体"/>
                      <w:color w:val="auto"/>
                      <w:sz w:val="21"/>
                      <w:szCs w:val="21"/>
                      <w:highlight w:val="none"/>
                      <w:lang w:val="en-US" w:eastAsia="zh-CN"/>
                    </w:rPr>
                    <w:t>/d）</w:t>
                  </w:r>
                </w:p>
              </w:tc>
              <w:tc>
                <w:tcPr>
                  <w:tcW w:w="739" w:type="pct"/>
                  <w:noWrap w:val="0"/>
                  <w:vAlign w:val="center"/>
                </w:tcPr>
                <w:p w14:paraId="5B941C4A">
                  <w:pPr>
                    <w:snapToGrid/>
                    <w:spacing w:line="240" w:lineRule="auto"/>
                    <w:jc w:val="center"/>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达标排放总量（t/a）</w:t>
                  </w:r>
                </w:p>
              </w:tc>
            </w:tr>
            <w:tr w14:paraId="787C7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602" w:type="pct"/>
                  <w:noWrap w:val="0"/>
                  <w:vAlign w:val="center"/>
                </w:tcPr>
                <w:p w14:paraId="4C5657B6">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COD</w:t>
                  </w:r>
                </w:p>
              </w:tc>
              <w:tc>
                <w:tcPr>
                  <w:tcW w:w="731" w:type="pct"/>
                  <w:noWrap w:val="0"/>
                  <w:vAlign w:val="center"/>
                </w:tcPr>
                <w:p w14:paraId="2C8C39EC">
                  <w:pPr>
                    <w:snapToGrid/>
                    <w:spacing w:line="240" w:lineRule="auto"/>
                    <w:jc w:val="center"/>
                    <w:rPr>
                      <w:rFonts w:hint="default" w:ascii="Times New Roman" w:hAnsi="Times New Roman" w:eastAsia="宋体"/>
                      <w:color w:val="auto"/>
                      <w:kern w:val="2"/>
                      <w:sz w:val="21"/>
                      <w:szCs w:val="21"/>
                      <w:highlight w:val="none"/>
                      <w:lang w:val="en-US" w:eastAsia="zh-CN" w:bidi="ar-SA"/>
                    </w:rPr>
                  </w:pPr>
                  <w:r>
                    <w:rPr>
                      <w:rFonts w:hint="eastAsia"/>
                      <w:color w:val="auto"/>
                      <w:kern w:val="2"/>
                      <w:sz w:val="21"/>
                      <w:szCs w:val="21"/>
                      <w:highlight w:val="none"/>
                      <w:lang w:val="en-US" w:eastAsia="zh-CN" w:bidi="ar-SA"/>
                    </w:rPr>
                    <w:t>77.3</w:t>
                  </w:r>
                </w:p>
              </w:tc>
              <w:tc>
                <w:tcPr>
                  <w:tcW w:w="731" w:type="pct"/>
                  <w:gridSpan w:val="2"/>
                  <w:noWrap w:val="0"/>
                  <w:tcMar>
                    <w:left w:w="0" w:type="dxa"/>
                    <w:right w:w="0" w:type="dxa"/>
                  </w:tcMar>
                  <w:vAlign w:val="center"/>
                </w:tcPr>
                <w:p w14:paraId="7A2438BD">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500</w:t>
                  </w:r>
                </w:p>
              </w:tc>
              <w:tc>
                <w:tcPr>
                  <w:tcW w:w="731" w:type="pct"/>
                  <w:noWrap w:val="0"/>
                  <w:vAlign w:val="center"/>
                </w:tcPr>
                <w:p w14:paraId="1B68C654">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40</w:t>
                  </w:r>
                </w:p>
              </w:tc>
              <w:tc>
                <w:tcPr>
                  <w:tcW w:w="1465" w:type="pct"/>
                  <w:vMerge w:val="restart"/>
                  <w:noWrap w:val="0"/>
                  <w:vAlign w:val="center"/>
                </w:tcPr>
                <w:p w14:paraId="63577425">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9.5</w:t>
                  </w:r>
                </w:p>
              </w:tc>
              <w:tc>
                <w:tcPr>
                  <w:tcW w:w="1193" w:type="dxa"/>
                  <w:noWrap w:val="0"/>
                  <w:vAlign w:val="bottom"/>
                </w:tcPr>
                <w:p w14:paraId="70048A83">
                  <w:pPr>
                    <w:keepNext w:val="0"/>
                    <w:keepLines w:val="0"/>
                    <w:widowControl/>
                    <w:suppressLineNumbers w:val="0"/>
                    <w:jc w:val="center"/>
                    <w:textAlignment w:val="bottom"/>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1.14</w:t>
                  </w:r>
                </w:p>
              </w:tc>
            </w:tr>
            <w:tr w14:paraId="2A425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602" w:type="pct"/>
                  <w:noWrap w:val="0"/>
                  <w:vAlign w:val="center"/>
                </w:tcPr>
                <w:p w14:paraId="228AF5B6">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氨氮</w:t>
                  </w:r>
                </w:p>
              </w:tc>
              <w:tc>
                <w:tcPr>
                  <w:tcW w:w="731" w:type="pct"/>
                  <w:noWrap w:val="0"/>
                  <w:vAlign w:val="center"/>
                </w:tcPr>
                <w:p w14:paraId="1FFD7805">
                  <w:pPr>
                    <w:snapToGrid/>
                    <w:spacing w:line="240" w:lineRule="auto"/>
                    <w:jc w:val="center"/>
                    <w:rPr>
                      <w:rFonts w:hint="default" w:ascii="Times New Roman" w:hAnsi="宋体" w:eastAsia="宋体"/>
                      <w:color w:val="auto"/>
                      <w:kern w:val="2"/>
                      <w:sz w:val="21"/>
                      <w:szCs w:val="21"/>
                      <w:highlight w:val="none"/>
                      <w:lang w:val="en-US" w:eastAsia="zh-CN" w:bidi="ar-SA"/>
                    </w:rPr>
                  </w:pPr>
                  <w:r>
                    <w:rPr>
                      <w:rFonts w:hint="eastAsia" w:hAnsi="宋体"/>
                      <w:color w:val="auto"/>
                      <w:kern w:val="2"/>
                      <w:sz w:val="21"/>
                      <w:szCs w:val="21"/>
                      <w:highlight w:val="none"/>
                      <w:lang w:val="en-US" w:eastAsia="zh-CN" w:bidi="ar-SA"/>
                    </w:rPr>
                    <w:t>2.11</w:t>
                  </w:r>
                </w:p>
              </w:tc>
              <w:tc>
                <w:tcPr>
                  <w:tcW w:w="731" w:type="pct"/>
                  <w:gridSpan w:val="2"/>
                  <w:noWrap w:val="0"/>
                  <w:tcMar>
                    <w:left w:w="0" w:type="dxa"/>
                    <w:right w:w="0" w:type="dxa"/>
                  </w:tcMar>
                  <w:vAlign w:val="center"/>
                </w:tcPr>
                <w:p w14:paraId="664FE1EB">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48</w:t>
                  </w:r>
                </w:p>
              </w:tc>
              <w:tc>
                <w:tcPr>
                  <w:tcW w:w="731" w:type="pct"/>
                  <w:noWrap w:val="0"/>
                  <w:vAlign w:val="center"/>
                </w:tcPr>
                <w:p w14:paraId="1D75F5CF">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2.0</w:t>
                  </w:r>
                </w:p>
              </w:tc>
              <w:tc>
                <w:tcPr>
                  <w:tcW w:w="1465" w:type="pct"/>
                  <w:vMerge w:val="continue"/>
                  <w:noWrap w:val="0"/>
                  <w:vAlign w:val="center"/>
                </w:tcPr>
                <w:p w14:paraId="12625F88">
                  <w:pPr>
                    <w:spacing w:line="240" w:lineRule="auto"/>
                    <w:jc w:val="center"/>
                    <w:rPr>
                      <w:rFonts w:hint="eastAsia" w:ascii="Times New Roman" w:hAnsi="Times New Roman" w:eastAsia="宋体" w:cs="Times New Roman"/>
                      <w:color w:val="auto"/>
                      <w:kern w:val="2"/>
                      <w:sz w:val="21"/>
                      <w:szCs w:val="21"/>
                      <w:highlight w:val="none"/>
                      <w:lang w:val="en-US" w:eastAsia="zh-CN" w:bidi="ar-SA"/>
                    </w:rPr>
                  </w:pPr>
                </w:p>
              </w:tc>
              <w:tc>
                <w:tcPr>
                  <w:tcW w:w="1193" w:type="dxa"/>
                  <w:noWrap w:val="0"/>
                  <w:vAlign w:val="bottom"/>
                </w:tcPr>
                <w:p w14:paraId="641BE357">
                  <w:pPr>
                    <w:keepNext w:val="0"/>
                    <w:keepLines w:val="0"/>
                    <w:widowControl/>
                    <w:suppressLineNumbers w:val="0"/>
                    <w:jc w:val="center"/>
                    <w:textAlignment w:val="bottom"/>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u w:val="none"/>
                      <w:lang w:val="en-US" w:eastAsia="zh-CN" w:bidi="ar"/>
                    </w:rPr>
                    <w:t xml:space="preserve">0.137 </w:t>
                  </w:r>
                </w:p>
              </w:tc>
            </w:tr>
            <w:tr w14:paraId="4072D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602" w:type="pct"/>
                  <w:noWrap w:val="0"/>
                  <w:vAlign w:val="center"/>
                </w:tcPr>
                <w:p w14:paraId="0A4A03D4">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核算公式</w:t>
                  </w:r>
                </w:p>
              </w:tc>
              <w:tc>
                <w:tcPr>
                  <w:tcW w:w="4397" w:type="pct"/>
                  <w:gridSpan w:val="6"/>
                  <w:noWrap w:val="0"/>
                  <w:vAlign w:val="center"/>
                </w:tcPr>
                <w:p w14:paraId="0E793E25">
                  <w:pPr>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污染物排放总量</w:t>
                  </w:r>
                  <w:r>
                    <w:rPr>
                      <w:rFonts w:hint="eastAsia" w:hAnsi="宋体" w:eastAsia="宋体"/>
                      <w:color w:val="auto"/>
                      <w:sz w:val="21"/>
                      <w:szCs w:val="21"/>
                      <w:highlight w:val="none"/>
                      <w:lang w:val="en-US" w:eastAsia="zh-CN"/>
                    </w:rPr>
                    <w:t>（t/a）</w:t>
                  </w:r>
                  <w:r>
                    <w:rPr>
                      <w:rFonts w:hint="eastAsia" w:ascii="Times New Roman" w:hAnsi="Times New Roman" w:eastAsia="宋体" w:cs="Times New Roman"/>
                      <w:color w:val="auto"/>
                      <w:kern w:val="2"/>
                      <w:sz w:val="21"/>
                      <w:szCs w:val="21"/>
                      <w:highlight w:val="none"/>
                      <w:lang w:val="en-US" w:eastAsia="zh-CN" w:bidi="ar-SA"/>
                    </w:rPr>
                    <w:t>=污染物浓度</w:t>
                  </w:r>
                  <w:r>
                    <w:rPr>
                      <w:rFonts w:hint="eastAsia" w:eastAsia="宋体"/>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ascii="Times New Roman" w:hAnsi="Times New Roman" w:eastAsia="宋体" w:cs="Times New Roman"/>
                      <w:color w:val="auto"/>
                      <w:kern w:val="2"/>
                      <w:sz w:val="21"/>
                      <w:szCs w:val="21"/>
                      <w:highlight w:val="none"/>
                      <w:lang w:val="en-US" w:eastAsia="zh-CN" w:bidi="ar-SA"/>
                    </w:rPr>
                    <w:t>废水量</w:t>
                  </w:r>
                  <w:r>
                    <w:rPr>
                      <w:rFonts w:hint="eastAsia" w:hAnsi="宋体" w:eastAsia="宋体"/>
                      <w:color w:val="auto"/>
                      <w:sz w:val="21"/>
                      <w:szCs w:val="21"/>
                      <w:highlight w:val="none"/>
                      <w:lang w:val="en-US" w:eastAsia="zh-CN"/>
                    </w:rPr>
                    <w:t>（m</w:t>
                  </w:r>
                  <w:r>
                    <w:rPr>
                      <w:rFonts w:hint="eastAsia" w:hAnsi="宋体" w:eastAsia="宋体"/>
                      <w:color w:val="auto"/>
                      <w:sz w:val="21"/>
                      <w:szCs w:val="21"/>
                      <w:highlight w:val="none"/>
                      <w:vertAlign w:val="superscript"/>
                      <w:lang w:val="en-US" w:eastAsia="zh-CN"/>
                    </w:rPr>
                    <w:t>3</w:t>
                  </w:r>
                  <w:r>
                    <w:rPr>
                      <w:rFonts w:hint="eastAsia" w:hAnsi="宋体" w:eastAsia="宋体"/>
                      <w:color w:val="auto"/>
                      <w:sz w:val="21"/>
                      <w:szCs w:val="21"/>
                      <w:highlight w:val="none"/>
                      <w:lang w:val="en-US" w:eastAsia="zh-CN"/>
                    </w:rPr>
                    <w:t>/a）</w:t>
                  </w:r>
                  <w:r>
                    <w:rPr>
                      <w:rFonts w:hint="default" w:ascii="Times New Roman" w:hAnsi="Times New Roman" w:cs="Times New Roman"/>
                      <w:color w:val="auto"/>
                      <w:sz w:val="21"/>
                      <w:szCs w:val="21"/>
                      <w:highlight w:val="none"/>
                      <w:lang w:val="en-US" w:eastAsia="zh-CN"/>
                    </w:rPr>
                    <w:t>×</w:t>
                  </w:r>
                  <w:r>
                    <w:rPr>
                      <w:rFonts w:hint="eastAsia" w:ascii="Times New Roman" w:hAnsi="Times New Roman" w:eastAsia="宋体" w:cs="Times New Roman"/>
                      <w:color w:val="auto"/>
                      <w:kern w:val="2"/>
                      <w:sz w:val="21"/>
                      <w:szCs w:val="21"/>
                      <w:highlight w:val="none"/>
                      <w:lang w:val="en-US" w:eastAsia="zh-CN" w:bidi="ar-SA"/>
                    </w:rPr>
                    <w:t>10</w:t>
                  </w:r>
                  <w:r>
                    <w:rPr>
                      <w:rFonts w:hint="eastAsia" w:ascii="Times New Roman" w:hAnsi="Times New Roman" w:eastAsia="宋体" w:cs="Times New Roman"/>
                      <w:color w:val="auto"/>
                      <w:kern w:val="2"/>
                      <w:sz w:val="21"/>
                      <w:szCs w:val="21"/>
                      <w:highlight w:val="none"/>
                      <w:vertAlign w:val="superscript"/>
                      <w:lang w:val="en-US" w:eastAsia="zh-CN" w:bidi="ar-SA"/>
                    </w:rPr>
                    <w:t>-6</w:t>
                  </w:r>
                </w:p>
              </w:tc>
            </w:tr>
            <w:tr w14:paraId="31289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602" w:type="pct"/>
                  <w:vMerge w:val="restart"/>
                  <w:noWrap w:val="0"/>
                  <w:vAlign w:val="center"/>
                </w:tcPr>
                <w:p w14:paraId="4BDA501F">
                  <w:pPr>
                    <w:snapToGrid/>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核算过程</w:t>
                  </w:r>
                </w:p>
              </w:tc>
              <w:tc>
                <w:tcPr>
                  <w:tcW w:w="734" w:type="pct"/>
                  <w:gridSpan w:val="2"/>
                  <w:noWrap w:val="0"/>
                  <w:vAlign w:val="center"/>
                </w:tcPr>
                <w:p w14:paraId="7DCFBE8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实际排放</w:t>
                  </w:r>
                </w:p>
              </w:tc>
              <w:tc>
                <w:tcPr>
                  <w:tcW w:w="3663" w:type="pct"/>
                  <w:gridSpan w:val="4"/>
                  <w:noWrap w:val="0"/>
                  <w:vAlign w:val="center"/>
                </w:tcPr>
                <w:p w14:paraId="357D2ED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color w:val="auto"/>
                      <w:kern w:val="2"/>
                      <w:sz w:val="21"/>
                      <w:szCs w:val="21"/>
                      <w:highlight w:val="none"/>
                      <w:lang w:val="en-US" w:eastAsia="zh-CN" w:bidi="ar-SA"/>
                    </w:rPr>
                    <w:t>77.3</w:t>
                  </w:r>
                  <w:r>
                    <w:rPr>
                      <w:rFonts w:hint="default" w:ascii="Times New Roman" w:hAnsi="Times New Roman" w:eastAsia="宋体" w:cs="Times New Roman"/>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cs="Times New Roman"/>
                      <w:b w:val="0"/>
                      <w:bCs/>
                      <w:color w:val="auto"/>
                      <w:sz w:val="21"/>
                      <w:szCs w:val="21"/>
                      <w:highlight w:val="none"/>
                      <w:lang w:val="en-US" w:eastAsia="zh-CN"/>
                    </w:rPr>
                    <w:t>9.5m</w:t>
                  </w:r>
                  <w:r>
                    <w:rPr>
                      <w:rFonts w:hint="eastAsia" w:cs="Times New Roman"/>
                      <w:b w:val="0"/>
                      <w:bCs/>
                      <w:color w:val="auto"/>
                      <w:sz w:val="21"/>
                      <w:szCs w:val="21"/>
                      <w:highlight w:val="none"/>
                      <w:vertAlign w:val="superscript"/>
                      <w:lang w:val="en-US" w:eastAsia="zh-CN"/>
                    </w:rPr>
                    <w:t>3</w:t>
                  </w:r>
                  <w:r>
                    <w:rPr>
                      <w:rFonts w:hint="eastAsia" w:cs="Times New Roman"/>
                      <w:b w:val="0"/>
                      <w:bCs/>
                      <w:color w:val="auto"/>
                      <w:sz w:val="21"/>
                      <w:szCs w:val="21"/>
                      <w:highlight w:val="none"/>
                      <w:lang w:val="en-US" w:eastAsia="zh-CN"/>
                    </w:rPr>
                    <w:t>/d</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300d</w:t>
                  </w:r>
                  <w:r>
                    <w:rPr>
                      <w:rFonts w:hint="default" w:ascii="Times New Roman" w:hAnsi="Times New Roman"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vertAlign w:val="superscript"/>
                      <w:lang w:val="en-US" w:eastAsia="zh-CN"/>
                    </w:rPr>
                    <w:t>-6</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0.220</w:t>
                  </w:r>
                  <w:r>
                    <w:rPr>
                      <w:rFonts w:hint="default" w:ascii="Times New Roman" w:hAnsi="Times New Roman" w:cs="Times New Roman"/>
                      <w:color w:val="auto"/>
                      <w:sz w:val="21"/>
                      <w:szCs w:val="21"/>
                      <w:highlight w:val="none"/>
                      <w:lang w:val="en-US" w:eastAsia="zh-CN"/>
                    </w:rPr>
                    <w:t>t/a</w:t>
                  </w:r>
                </w:p>
                <w:p w14:paraId="47F3868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氨氮=</w:t>
                  </w:r>
                  <w:r>
                    <w:rPr>
                      <w:rFonts w:hint="eastAsia" w:cs="Times New Roman"/>
                      <w:color w:val="auto"/>
                      <w:sz w:val="21"/>
                      <w:szCs w:val="21"/>
                      <w:highlight w:val="none"/>
                      <w:lang w:val="en-US" w:eastAsia="zh-CN"/>
                    </w:rPr>
                    <w:t>2.11</w:t>
                  </w:r>
                  <w:r>
                    <w:rPr>
                      <w:rFonts w:hint="default" w:ascii="Times New Roman" w:hAnsi="Times New Roman" w:eastAsia="宋体" w:cs="Times New Roman"/>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cs="Times New Roman"/>
                      <w:b w:val="0"/>
                      <w:bCs/>
                      <w:color w:val="auto"/>
                      <w:sz w:val="21"/>
                      <w:szCs w:val="21"/>
                      <w:highlight w:val="none"/>
                      <w:lang w:val="en-US" w:eastAsia="zh-CN"/>
                    </w:rPr>
                    <w:t>9.5m</w:t>
                  </w:r>
                  <w:r>
                    <w:rPr>
                      <w:rFonts w:hint="eastAsia" w:cs="Times New Roman"/>
                      <w:b w:val="0"/>
                      <w:bCs/>
                      <w:color w:val="auto"/>
                      <w:sz w:val="21"/>
                      <w:szCs w:val="21"/>
                      <w:highlight w:val="none"/>
                      <w:vertAlign w:val="superscript"/>
                      <w:lang w:val="en-US" w:eastAsia="zh-CN"/>
                    </w:rPr>
                    <w:t>3</w:t>
                  </w:r>
                  <w:r>
                    <w:rPr>
                      <w:rFonts w:hint="eastAsia" w:cs="Times New Roman"/>
                      <w:color w:val="auto"/>
                      <w:sz w:val="21"/>
                      <w:szCs w:val="21"/>
                      <w:highlight w:val="none"/>
                      <w:lang w:val="en-US" w:eastAsia="zh-CN"/>
                    </w:rPr>
                    <w:t>/d</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300d</w:t>
                  </w:r>
                  <w:r>
                    <w:rPr>
                      <w:rFonts w:hint="default" w:ascii="Times New Roman" w:hAnsi="Times New Roman"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vertAlign w:val="superscript"/>
                      <w:lang w:val="en-US" w:eastAsia="zh-CN"/>
                    </w:rPr>
                    <w:t>-6</w:t>
                  </w: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w:t>
                  </w:r>
                  <w:r>
                    <w:rPr>
                      <w:rFonts w:hint="eastAsia" w:cs="Times New Roman"/>
                      <w:color w:val="auto"/>
                      <w:sz w:val="21"/>
                      <w:szCs w:val="21"/>
                      <w:highlight w:val="none"/>
                      <w:lang w:val="en-US" w:eastAsia="zh-CN"/>
                    </w:rPr>
                    <w:t>06</w:t>
                  </w:r>
                  <w:r>
                    <w:rPr>
                      <w:rFonts w:hint="default" w:ascii="Times New Roman" w:hAnsi="Times New Roman" w:cs="Times New Roman"/>
                      <w:color w:val="auto"/>
                      <w:sz w:val="21"/>
                      <w:szCs w:val="21"/>
                      <w:highlight w:val="none"/>
                      <w:lang w:val="en-US" w:eastAsia="zh-CN"/>
                    </w:rPr>
                    <w:t>t/a</w:t>
                  </w:r>
                </w:p>
              </w:tc>
            </w:tr>
            <w:tr w14:paraId="2FC05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602" w:type="pct"/>
                  <w:vMerge w:val="continue"/>
                  <w:noWrap w:val="0"/>
                  <w:vAlign w:val="center"/>
                </w:tcPr>
                <w:p w14:paraId="0C6598DE">
                  <w:pPr>
                    <w:snapToGrid/>
                    <w:spacing w:line="240" w:lineRule="auto"/>
                    <w:jc w:val="center"/>
                    <w:rPr>
                      <w:rFonts w:hint="eastAsia" w:ascii="Times New Roman" w:hAnsi="Times New Roman" w:eastAsia="宋体" w:cs="Times New Roman"/>
                      <w:color w:val="auto"/>
                      <w:kern w:val="2"/>
                      <w:sz w:val="21"/>
                      <w:szCs w:val="21"/>
                      <w:highlight w:val="none"/>
                      <w:lang w:val="en-US" w:eastAsia="zh-CN" w:bidi="ar-SA"/>
                    </w:rPr>
                  </w:pPr>
                </w:p>
              </w:tc>
              <w:tc>
                <w:tcPr>
                  <w:tcW w:w="734" w:type="pct"/>
                  <w:gridSpan w:val="2"/>
                  <w:noWrap w:val="0"/>
                  <w:vAlign w:val="center"/>
                </w:tcPr>
                <w:p w14:paraId="4C51DFC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2"/>
                      <w:sz w:val="21"/>
                      <w:szCs w:val="21"/>
                      <w:highlight w:val="none"/>
                      <w:lang w:val="en-US" w:eastAsia="zh-CN" w:bidi="ar-SA"/>
                    </w:rPr>
                    <w:t>达标排放</w:t>
                  </w:r>
                </w:p>
              </w:tc>
              <w:tc>
                <w:tcPr>
                  <w:tcW w:w="3663" w:type="pct"/>
                  <w:gridSpan w:val="4"/>
                  <w:noWrap w:val="0"/>
                  <w:vAlign w:val="center"/>
                </w:tcPr>
                <w:p w14:paraId="6360F61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default" w:ascii="Times New Roman" w:hAnsi="Times New Roman" w:cs="Times New Roman"/>
                      <w:color w:val="auto"/>
                      <w:sz w:val="21"/>
                      <w:szCs w:val="21"/>
                      <w:highlight w:val="none"/>
                      <w:lang w:val="en-US" w:eastAsia="zh-CN"/>
                    </w:rPr>
                    <w:t>50</w:t>
                  </w:r>
                  <w:r>
                    <w:rPr>
                      <w:rFonts w:hint="default" w:ascii="Times New Roman" w:hAnsi="Times New Roman" w:eastAsia="宋体" w:cs="Times New Roman"/>
                      <w:color w:val="auto"/>
                      <w:sz w:val="21"/>
                      <w:szCs w:val="21"/>
                      <w:highlight w:val="none"/>
                    </w:rPr>
                    <w:t>0</w:t>
                  </w:r>
                  <w:r>
                    <w:rPr>
                      <w:rFonts w:hint="default" w:ascii="Times New Roman" w:hAnsi="Times New Roman" w:eastAsia="宋体" w:cs="Times New Roman"/>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cs="Times New Roman"/>
                      <w:b w:val="0"/>
                      <w:bCs/>
                      <w:color w:val="auto"/>
                      <w:sz w:val="21"/>
                      <w:szCs w:val="21"/>
                      <w:highlight w:val="none"/>
                      <w:lang w:val="en-US" w:eastAsia="zh-CN"/>
                    </w:rPr>
                    <w:t>9.5m</w:t>
                  </w:r>
                  <w:r>
                    <w:rPr>
                      <w:rFonts w:hint="eastAsia" w:cs="Times New Roman"/>
                      <w:b w:val="0"/>
                      <w:bCs/>
                      <w:color w:val="auto"/>
                      <w:sz w:val="21"/>
                      <w:szCs w:val="21"/>
                      <w:highlight w:val="none"/>
                      <w:vertAlign w:val="superscript"/>
                      <w:lang w:val="en-US" w:eastAsia="zh-CN"/>
                    </w:rPr>
                    <w:t>3</w:t>
                  </w:r>
                  <w:r>
                    <w:rPr>
                      <w:rFonts w:hint="eastAsia" w:cs="Times New Roman"/>
                      <w:color w:val="auto"/>
                      <w:sz w:val="21"/>
                      <w:szCs w:val="21"/>
                      <w:highlight w:val="none"/>
                      <w:lang w:val="en-US" w:eastAsia="zh-CN"/>
                    </w:rPr>
                    <w:t>/d</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300d</w:t>
                  </w:r>
                  <w:r>
                    <w:rPr>
                      <w:rFonts w:hint="default" w:ascii="Times New Roman" w:hAnsi="Times New Roman"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vertAlign w:val="superscript"/>
                      <w:lang w:val="en-US" w:eastAsia="zh-CN"/>
                    </w:rPr>
                    <w:t>-6</w:t>
                  </w:r>
                  <w:r>
                    <w:rPr>
                      <w:rFonts w:hint="default" w:ascii="Times New Roman" w:hAnsi="Times New Roman" w:eastAsia="微软雅黑" w:cs="Times New Roman"/>
                      <w:color w:val="auto"/>
                      <w:sz w:val="21"/>
                      <w:szCs w:val="21"/>
                      <w:highlight w:val="none"/>
                      <w:lang w:val="en-US" w:eastAsia="zh-CN"/>
                    </w:rPr>
                    <w:t>≈</w:t>
                  </w:r>
                  <w:r>
                    <w:rPr>
                      <w:rFonts w:hint="eastAsia" w:cs="Times New Roman"/>
                      <w:color w:val="auto"/>
                      <w:sz w:val="21"/>
                      <w:szCs w:val="21"/>
                      <w:highlight w:val="none"/>
                      <w:lang w:val="en-US" w:eastAsia="zh-CN"/>
                    </w:rPr>
                    <w:t>1.425</w:t>
                  </w:r>
                  <w:r>
                    <w:rPr>
                      <w:rFonts w:hint="default" w:ascii="Times New Roman" w:hAnsi="Times New Roman" w:cs="Times New Roman"/>
                      <w:color w:val="auto"/>
                      <w:sz w:val="21"/>
                      <w:szCs w:val="21"/>
                      <w:highlight w:val="none"/>
                      <w:lang w:val="en-US" w:eastAsia="zh-CN"/>
                    </w:rPr>
                    <w:t>/a</w:t>
                  </w:r>
                </w:p>
                <w:p w14:paraId="28653E9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氨氮=</w:t>
                  </w:r>
                  <w:r>
                    <w:rPr>
                      <w:rFonts w:hint="default" w:ascii="Times New Roman" w:hAnsi="Times New Roman" w:eastAsia="宋体" w:cs="Times New Roman"/>
                      <w:color w:val="auto"/>
                      <w:sz w:val="21"/>
                      <w:szCs w:val="21"/>
                      <w:highlight w:val="none"/>
                    </w:rPr>
                    <w:t>4</w:t>
                  </w:r>
                  <w:r>
                    <w:rPr>
                      <w:rFonts w:hint="default" w:ascii="Times New Roman" w:hAnsi="Times New Roman" w:cs="Times New Roman"/>
                      <w:color w:val="auto"/>
                      <w:sz w:val="21"/>
                      <w:szCs w:val="21"/>
                      <w:highlight w:val="none"/>
                      <w:lang w:val="en-US" w:eastAsia="zh-CN"/>
                    </w:rPr>
                    <w:t>8</w:t>
                  </w:r>
                  <w:r>
                    <w:rPr>
                      <w:rFonts w:hint="default" w:ascii="Times New Roman" w:hAnsi="Times New Roman" w:eastAsia="宋体" w:cs="Times New Roman"/>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cs="Times New Roman"/>
                      <w:b w:val="0"/>
                      <w:bCs/>
                      <w:color w:val="auto"/>
                      <w:sz w:val="21"/>
                      <w:szCs w:val="21"/>
                      <w:highlight w:val="none"/>
                      <w:lang w:val="en-US" w:eastAsia="zh-CN"/>
                    </w:rPr>
                    <w:t>9.5m</w:t>
                  </w:r>
                  <w:r>
                    <w:rPr>
                      <w:rFonts w:hint="eastAsia" w:cs="Times New Roman"/>
                      <w:b w:val="0"/>
                      <w:bCs/>
                      <w:color w:val="auto"/>
                      <w:sz w:val="21"/>
                      <w:szCs w:val="21"/>
                      <w:highlight w:val="none"/>
                      <w:vertAlign w:val="superscript"/>
                      <w:lang w:val="en-US" w:eastAsia="zh-CN"/>
                    </w:rPr>
                    <w:t>3</w:t>
                  </w:r>
                  <w:r>
                    <w:rPr>
                      <w:rFonts w:hint="eastAsia" w:cs="Times New Roman"/>
                      <w:color w:val="auto"/>
                      <w:sz w:val="21"/>
                      <w:szCs w:val="21"/>
                      <w:highlight w:val="none"/>
                      <w:lang w:val="en-US" w:eastAsia="zh-CN"/>
                    </w:rPr>
                    <w:t>/d</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300d</w:t>
                  </w:r>
                  <w:r>
                    <w:rPr>
                      <w:rFonts w:hint="default" w:ascii="Times New Roman" w:hAnsi="Times New Roman"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vertAlign w:val="superscript"/>
                      <w:lang w:val="en-US" w:eastAsia="zh-CN"/>
                    </w:rPr>
                    <w:t>-6</w:t>
                  </w:r>
                  <w:r>
                    <w:rPr>
                      <w:rFonts w:hint="default" w:ascii="Times New Roman" w:hAnsi="Times New Roman" w:eastAsia="微软雅黑" w:cs="Times New Roman"/>
                      <w:color w:val="auto"/>
                      <w:sz w:val="21"/>
                      <w:szCs w:val="21"/>
                      <w:highlight w:val="none"/>
                      <w:lang w:val="en-US" w:eastAsia="zh-CN"/>
                    </w:rPr>
                    <w:t>≈</w:t>
                  </w:r>
                  <w:r>
                    <w:rPr>
                      <w:rFonts w:hint="eastAsia" w:cs="Times New Roman"/>
                      <w:color w:val="auto"/>
                      <w:sz w:val="21"/>
                      <w:szCs w:val="21"/>
                      <w:highlight w:val="none"/>
                      <w:lang w:val="en-US" w:eastAsia="zh-CN"/>
                    </w:rPr>
                    <w:t>0.137</w:t>
                  </w:r>
                  <w:r>
                    <w:rPr>
                      <w:rFonts w:hint="default" w:ascii="Times New Roman" w:hAnsi="Times New Roman" w:cs="Times New Roman"/>
                      <w:color w:val="auto"/>
                      <w:sz w:val="21"/>
                      <w:szCs w:val="21"/>
                      <w:highlight w:val="none"/>
                      <w:lang w:val="en-US" w:eastAsia="zh-CN"/>
                    </w:rPr>
                    <w:t>t/a</w:t>
                  </w:r>
                </w:p>
              </w:tc>
            </w:tr>
            <w:tr w14:paraId="3A4A9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97" w:hRule="atLeast"/>
                <w:jc w:val="center"/>
              </w:trPr>
              <w:tc>
                <w:tcPr>
                  <w:tcW w:w="602" w:type="pct"/>
                  <w:vMerge w:val="continue"/>
                  <w:noWrap w:val="0"/>
                  <w:vAlign w:val="center"/>
                </w:tcPr>
                <w:p w14:paraId="260A57A8">
                  <w:pPr>
                    <w:snapToGrid/>
                    <w:spacing w:line="240" w:lineRule="auto"/>
                    <w:jc w:val="center"/>
                    <w:rPr>
                      <w:rFonts w:hint="eastAsia" w:ascii="Times New Roman" w:hAnsi="Times New Roman" w:eastAsia="宋体" w:cs="Times New Roman"/>
                      <w:color w:val="auto"/>
                      <w:kern w:val="2"/>
                      <w:sz w:val="21"/>
                      <w:szCs w:val="21"/>
                      <w:highlight w:val="none"/>
                      <w:lang w:val="en-US" w:eastAsia="zh-CN" w:bidi="ar-SA"/>
                    </w:rPr>
                  </w:pPr>
                </w:p>
              </w:tc>
              <w:tc>
                <w:tcPr>
                  <w:tcW w:w="734" w:type="pct"/>
                  <w:gridSpan w:val="2"/>
                  <w:noWrap w:val="0"/>
                  <w:vAlign w:val="center"/>
                </w:tcPr>
                <w:p w14:paraId="663214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2"/>
                      <w:sz w:val="21"/>
                      <w:szCs w:val="21"/>
                      <w:highlight w:val="none"/>
                      <w:lang w:val="en-US" w:eastAsia="zh-CN" w:bidi="ar-SA"/>
                    </w:rPr>
                    <w:t>污水处理厂出水排放</w:t>
                  </w:r>
                </w:p>
              </w:tc>
              <w:tc>
                <w:tcPr>
                  <w:tcW w:w="3663" w:type="pct"/>
                  <w:gridSpan w:val="4"/>
                  <w:noWrap w:val="0"/>
                  <w:vAlign w:val="center"/>
                </w:tcPr>
                <w:p w14:paraId="41D405C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COD=</w:t>
                  </w:r>
                  <w:r>
                    <w:rPr>
                      <w:rFonts w:hint="eastAsia" w:ascii="Times New Roman" w:hAnsi="Times New Roman" w:cs="Times New Roman"/>
                      <w:color w:val="auto"/>
                      <w:sz w:val="21"/>
                      <w:szCs w:val="21"/>
                      <w:highlight w:val="none"/>
                      <w:lang w:val="en-US" w:eastAsia="zh-CN"/>
                    </w:rPr>
                    <w:t>40</w:t>
                  </w:r>
                  <w:r>
                    <w:rPr>
                      <w:rFonts w:hint="default" w:ascii="Times New Roman" w:hAnsi="Times New Roman" w:eastAsia="宋体" w:cs="Times New Roman"/>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cs="Times New Roman"/>
                      <w:b w:val="0"/>
                      <w:bCs/>
                      <w:color w:val="auto"/>
                      <w:sz w:val="21"/>
                      <w:szCs w:val="21"/>
                      <w:highlight w:val="none"/>
                      <w:lang w:val="en-US" w:eastAsia="zh-CN"/>
                    </w:rPr>
                    <w:t>9.5m</w:t>
                  </w:r>
                  <w:r>
                    <w:rPr>
                      <w:rFonts w:hint="eastAsia" w:cs="Times New Roman"/>
                      <w:b w:val="0"/>
                      <w:bCs/>
                      <w:color w:val="auto"/>
                      <w:sz w:val="21"/>
                      <w:szCs w:val="21"/>
                      <w:highlight w:val="none"/>
                      <w:vertAlign w:val="superscript"/>
                      <w:lang w:val="en-US" w:eastAsia="zh-CN"/>
                    </w:rPr>
                    <w:t>3</w:t>
                  </w:r>
                  <w:r>
                    <w:rPr>
                      <w:rFonts w:hint="eastAsia" w:cs="Times New Roman"/>
                      <w:color w:val="auto"/>
                      <w:sz w:val="21"/>
                      <w:szCs w:val="21"/>
                      <w:highlight w:val="none"/>
                      <w:lang w:val="en-US" w:eastAsia="zh-CN"/>
                    </w:rPr>
                    <w:t>/d</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300d</w:t>
                  </w:r>
                  <w:r>
                    <w:rPr>
                      <w:rFonts w:hint="default" w:ascii="Times New Roman" w:hAnsi="Times New Roman"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vertAlign w:val="superscript"/>
                      <w:lang w:val="en-US" w:eastAsia="zh-CN"/>
                    </w:rPr>
                    <w:t>-6</w:t>
                  </w:r>
                  <w:r>
                    <w:rPr>
                      <w:rFonts w:hint="default" w:ascii="Times New Roman" w:hAnsi="Times New Roman" w:eastAsia="微软雅黑" w:cs="Times New Roman"/>
                      <w:color w:val="auto"/>
                      <w:sz w:val="21"/>
                      <w:szCs w:val="21"/>
                      <w:highlight w:val="none"/>
                      <w:lang w:val="en-US" w:eastAsia="zh-CN"/>
                    </w:rPr>
                    <w:t>≈</w:t>
                  </w:r>
                  <w:r>
                    <w:rPr>
                      <w:rFonts w:hint="eastAsia" w:cs="Times New Roman"/>
                      <w:color w:val="auto"/>
                      <w:sz w:val="21"/>
                      <w:szCs w:val="21"/>
                      <w:highlight w:val="none"/>
                      <w:lang w:val="en-US" w:eastAsia="zh-CN"/>
                    </w:rPr>
                    <w:t>0.114</w:t>
                  </w:r>
                  <w:r>
                    <w:rPr>
                      <w:rFonts w:hint="default" w:ascii="Times New Roman" w:hAnsi="Times New Roman" w:cs="Times New Roman"/>
                      <w:color w:val="auto"/>
                      <w:sz w:val="21"/>
                      <w:szCs w:val="21"/>
                      <w:highlight w:val="none"/>
                      <w:lang w:val="en-US" w:eastAsia="zh-CN"/>
                    </w:rPr>
                    <w:t>t/a</w:t>
                  </w:r>
                </w:p>
                <w:p w14:paraId="0B711AE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氨氮=</w:t>
                  </w:r>
                  <w:r>
                    <w:rPr>
                      <w:rFonts w:hint="eastAsia" w:ascii="Times New Roman" w:hAnsi="Times New Roman" w:eastAsia="宋体" w:cs="Times New Roman"/>
                      <w:color w:val="auto"/>
                      <w:sz w:val="21"/>
                      <w:szCs w:val="21"/>
                      <w:highlight w:val="none"/>
                      <w:lang w:val="en-US" w:eastAsia="zh-CN"/>
                    </w:rPr>
                    <w:t>2.0</w:t>
                  </w:r>
                  <w:r>
                    <w:rPr>
                      <w:rFonts w:hint="default" w:ascii="Times New Roman" w:hAnsi="Times New Roman" w:eastAsia="宋体" w:cs="Times New Roman"/>
                      <w:color w:val="auto"/>
                      <w:sz w:val="21"/>
                      <w:szCs w:val="21"/>
                      <w:highlight w:val="none"/>
                      <w:lang w:val="en-US" w:eastAsia="zh-CN"/>
                    </w:rPr>
                    <w:t>mg/L</w:t>
                  </w:r>
                  <w:r>
                    <w:rPr>
                      <w:rFonts w:hint="default" w:ascii="Times New Roman" w:hAnsi="Times New Roman" w:cs="Times New Roman"/>
                      <w:color w:val="auto"/>
                      <w:sz w:val="21"/>
                      <w:szCs w:val="21"/>
                      <w:highlight w:val="none"/>
                      <w:lang w:val="en-US" w:eastAsia="zh-CN"/>
                    </w:rPr>
                    <w:t>×</w:t>
                  </w:r>
                  <w:r>
                    <w:rPr>
                      <w:rFonts w:hint="eastAsia" w:cs="Times New Roman"/>
                      <w:b w:val="0"/>
                      <w:bCs/>
                      <w:color w:val="auto"/>
                      <w:sz w:val="21"/>
                      <w:szCs w:val="21"/>
                      <w:highlight w:val="none"/>
                      <w:lang w:val="en-US" w:eastAsia="zh-CN"/>
                    </w:rPr>
                    <w:t>9.5m</w:t>
                  </w:r>
                  <w:r>
                    <w:rPr>
                      <w:rFonts w:hint="eastAsia" w:cs="Times New Roman"/>
                      <w:b w:val="0"/>
                      <w:bCs/>
                      <w:color w:val="auto"/>
                      <w:sz w:val="21"/>
                      <w:szCs w:val="21"/>
                      <w:highlight w:val="none"/>
                      <w:vertAlign w:val="superscript"/>
                      <w:lang w:val="en-US" w:eastAsia="zh-CN"/>
                    </w:rPr>
                    <w:t>3</w:t>
                  </w:r>
                  <w:r>
                    <w:rPr>
                      <w:rFonts w:hint="eastAsia" w:cs="Times New Roman"/>
                      <w:color w:val="auto"/>
                      <w:sz w:val="21"/>
                      <w:szCs w:val="21"/>
                      <w:highlight w:val="none"/>
                      <w:lang w:val="en-US" w:eastAsia="zh-CN"/>
                    </w:rPr>
                    <w:t>/d</w:t>
                  </w:r>
                  <w:r>
                    <w:rPr>
                      <w:rFonts w:hint="default" w:ascii="Times New Roman" w:hAnsi="Times New Roman" w:cs="Times New Roman"/>
                      <w:color w:val="auto"/>
                      <w:sz w:val="21"/>
                      <w:szCs w:val="21"/>
                      <w:highlight w:val="none"/>
                      <w:lang w:val="en-US" w:eastAsia="zh-CN"/>
                    </w:rPr>
                    <w:t>×</w:t>
                  </w:r>
                  <w:r>
                    <w:rPr>
                      <w:rFonts w:hint="eastAsia" w:cs="Times New Roman"/>
                      <w:color w:val="auto"/>
                      <w:sz w:val="21"/>
                      <w:szCs w:val="21"/>
                      <w:highlight w:val="none"/>
                      <w:lang w:val="en-US" w:eastAsia="zh-CN"/>
                    </w:rPr>
                    <w:t>300d</w:t>
                  </w:r>
                  <w:r>
                    <w:rPr>
                      <w:rFonts w:hint="default" w:ascii="Times New Roman" w:hAnsi="Times New Roman" w:cs="Times New Roman"/>
                      <w:color w:val="auto"/>
                      <w:sz w:val="21"/>
                      <w:szCs w:val="21"/>
                      <w:highlight w:val="none"/>
                      <w:lang w:val="en-US" w:eastAsia="zh-CN"/>
                    </w:rPr>
                    <w:t>×10</w:t>
                  </w:r>
                  <w:r>
                    <w:rPr>
                      <w:rFonts w:hint="default" w:ascii="Times New Roman" w:hAnsi="Times New Roman" w:eastAsia="宋体" w:cs="Times New Roman"/>
                      <w:color w:val="auto"/>
                      <w:sz w:val="21"/>
                      <w:szCs w:val="21"/>
                      <w:highlight w:val="none"/>
                      <w:vertAlign w:val="superscript"/>
                      <w:lang w:val="en-US" w:eastAsia="zh-CN"/>
                    </w:rPr>
                    <w:t>-6</w:t>
                  </w:r>
                  <w:r>
                    <w:rPr>
                      <w:rFonts w:hint="default" w:ascii="Times New Roman" w:hAnsi="Times New Roman" w:eastAsia="微软雅黑" w:cs="Times New Roman"/>
                      <w:color w:val="auto"/>
                      <w:sz w:val="21"/>
                      <w:szCs w:val="21"/>
                      <w:highlight w:val="none"/>
                      <w:lang w:val="en-US" w:eastAsia="zh-CN"/>
                    </w:rPr>
                    <w:t>≈</w:t>
                  </w:r>
                  <w:r>
                    <w:rPr>
                      <w:rFonts w:hint="default" w:ascii="Times New Roman" w:hAnsi="Times New Roman" w:cs="Times New Roman"/>
                      <w:color w:val="auto"/>
                      <w:sz w:val="21"/>
                      <w:szCs w:val="21"/>
                      <w:highlight w:val="none"/>
                      <w:lang w:val="en-US" w:eastAsia="zh-CN"/>
                    </w:rPr>
                    <w:t>0.</w:t>
                  </w:r>
                  <w:r>
                    <w:rPr>
                      <w:rFonts w:hint="eastAsia" w:ascii="Times New Roman" w:hAnsi="Times New Roman" w:cs="Times New Roman"/>
                      <w:color w:val="auto"/>
                      <w:sz w:val="21"/>
                      <w:szCs w:val="21"/>
                      <w:highlight w:val="none"/>
                      <w:lang w:val="en-US" w:eastAsia="zh-CN"/>
                    </w:rPr>
                    <w:t>00</w:t>
                  </w:r>
                  <w:r>
                    <w:rPr>
                      <w:rFonts w:hint="eastAsia" w:cs="Times New Roman"/>
                      <w:color w:val="auto"/>
                      <w:sz w:val="21"/>
                      <w:szCs w:val="21"/>
                      <w:highlight w:val="none"/>
                      <w:lang w:val="en-US" w:eastAsia="zh-CN"/>
                    </w:rPr>
                    <w:t>6</w:t>
                  </w:r>
                  <w:r>
                    <w:rPr>
                      <w:rFonts w:hint="default" w:ascii="Times New Roman" w:hAnsi="Times New Roman" w:cs="Times New Roman"/>
                      <w:color w:val="auto"/>
                      <w:sz w:val="21"/>
                      <w:szCs w:val="21"/>
                      <w:highlight w:val="none"/>
                      <w:lang w:val="en-US" w:eastAsia="zh-CN"/>
                    </w:rPr>
                    <w:t>t/a</w:t>
                  </w:r>
                </w:p>
              </w:tc>
            </w:tr>
          </w:tbl>
          <w:p w14:paraId="4AEF5CDE">
            <w:pPr>
              <w:keepNext w:val="0"/>
              <w:keepLines w:val="0"/>
              <w:pageBreakBefore w:val="0"/>
              <w:widowControl w:val="0"/>
              <w:kinsoku/>
              <w:wordWrap/>
              <w:overflowPunct/>
              <w:topLinePunct w:val="0"/>
              <w:autoSpaceDE/>
              <w:autoSpaceDN/>
              <w:bidi w:val="0"/>
              <w:adjustRightInd/>
              <w:snapToGrid/>
              <w:spacing w:afterLines="0" w:line="360" w:lineRule="auto"/>
              <w:ind w:firstLine="420" w:firstLineChars="200"/>
              <w:jc w:val="both"/>
              <w:textAlignment w:val="auto"/>
              <w:rPr>
                <w:rFonts w:hint="default" w:ascii="Times New Roman" w:hAnsi="Times New Roman" w:cs="Times New Roman"/>
                <w:color w:val="0000FF"/>
                <w:sz w:val="21"/>
                <w:szCs w:val="21"/>
                <w:highlight w:val="none"/>
                <w:lang w:val="en-US" w:eastAsia="zh-CN"/>
              </w:rPr>
            </w:pPr>
            <w:r>
              <w:rPr>
                <w:rFonts w:hint="eastAsia" w:hAnsi="宋体" w:eastAsia="宋体"/>
                <w:color w:val="0000FF"/>
                <w:sz w:val="21"/>
                <w:szCs w:val="21"/>
                <w:highlight w:val="none"/>
                <w:lang w:val="en-US" w:eastAsia="zh-CN"/>
              </w:rPr>
              <w:t>本项目利用现有甘氨酸螯合物一车间进行扩能改造，现有</w:t>
            </w:r>
            <w:r>
              <w:rPr>
                <w:rFonts w:hint="eastAsia" w:hAnsi="宋体"/>
                <w:color w:val="0000FF"/>
                <w:sz w:val="21"/>
                <w:szCs w:val="21"/>
                <w:highlight w:val="none"/>
                <w:lang w:val="en-US" w:eastAsia="zh-CN"/>
              </w:rPr>
              <w:t>50t/a</w:t>
            </w:r>
            <w:r>
              <w:rPr>
                <w:rFonts w:hint="eastAsia" w:hAnsi="宋体" w:eastAsia="宋体"/>
                <w:color w:val="0000FF"/>
                <w:sz w:val="21"/>
                <w:szCs w:val="21"/>
                <w:highlight w:val="none"/>
                <w:lang w:val="en-US" w:eastAsia="zh-CN"/>
              </w:rPr>
              <w:t>产能甘氨酸亚铁项目废水排放量为</w:t>
            </w:r>
            <w:r>
              <w:rPr>
                <w:rFonts w:hint="eastAsia" w:hAnsi="宋体"/>
                <w:color w:val="0000FF"/>
                <w:sz w:val="21"/>
                <w:szCs w:val="21"/>
                <w:highlight w:val="none"/>
                <w:lang w:val="en-US" w:eastAsia="zh-CN"/>
              </w:rPr>
              <w:t>4.01</w:t>
            </w:r>
            <w:r>
              <w:rPr>
                <w:rFonts w:hint="eastAsia" w:hAnsi="宋体" w:eastAsia="宋体"/>
                <w:color w:val="0000FF"/>
                <w:sz w:val="21"/>
                <w:szCs w:val="21"/>
                <w:highlight w:val="none"/>
                <w:lang w:val="en-US" w:eastAsia="zh-CN"/>
              </w:rPr>
              <w:t>m</w:t>
            </w:r>
            <w:r>
              <w:rPr>
                <w:rFonts w:hint="eastAsia" w:hAnsi="宋体" w:eastAsia="宋体"/>
                <w:color w:val="0000FF"/>
                <w:sz w:val="21"/>
                <w:szCs w:val="21"/>
                <w:highlight w:val="none"/>
                <w:vertAlign w:val="superscript"/>
                <w:lang w:val="en-US" w:eastAsia="zh-CN"/>
              </w:rPr>
              <w:t>3</w:t>
            </w:r>
            <w:r>
              <w:rPr>
                <w:rFonts w:hint="eastAsia" w:hAnsi="宋体" w:eastAsia="宋体"/>
                <w:color w:val="0000FF"/>
                <w:sz w:val="21"/>
                <w:szCs w:val="21"/>
                <w:highlight w:val="none"/>
                <w:lang w:val="en-US" w:eastAsia="zh-CN"/>
              </w:rPr>
              <w:t>/d，废水总量为：</w:t>
            </w:r>
            <w:r>
              <w:rPr>
                <w:rFonts w:hint="default" w:ascii="Times New Roman" w:hAnsi="Times New Roman" w:eastAsia="宋体" w:cs="Times New Roman"/>
                <w:color w:val="0000FF"/>
                <w:sz w:val="21"/>
                <w:szCs w:val="21"/>
                <w:highlight w:val="none"/>
                <w:lang w:val="en-US" w:eastAsia="zh-CN"/>
              </w:rPr>
              <w:t>COD=</w:t>
            </w:r>
            <w:r>
              <w:rPr>
                <w:rFonts w:hint="eastAsia" w:ascii="Times New Roman" w:hAnsi="Times New Roman" w:eastAsia="宋体" w:cs="Times New Roman"/>
                <w:color w:val="0000FF"/>
                <w:sz w:val="21"/>
                <w:szCs w:val="21"/>
                <w:highlight w:val="none"/>
                <w:lang w:val="en-US" w:eastAsia="zh-CN"/>
              </w:rPr>
              <w:t>4</w:t>
            </w:r>
            <w:r>
              <w:rPr>
                <w:rFonts w:hint="default" w:ascii="Times New Roman" w:hAnsi="Times New Roman" w:eastAsia="宋体" w:cs="Times New Roman"/>
                <w:color w:val="0000FF"/>
                <w:sz w:val="21"/>
                <w:szCs w:val="21"/>
                <w:highlight w:val="none"/>
              </w:rPr>
              <w:t>0</w:t>
            </w:r>
            <w:r>
              <w:rPr>
                <w:rFonts w:hint="default" w:ascii="Times New Roman" w:hAnsi="Times New Roman" w:eastAsia="宋体" w:cs="Times New Roman"/>
                <w:color w:val="0000FF"/>
                <w:sz w:val="21"/>
                <w:szCs w:val="21"/>
                <w:highlight w:val="none"/>
                <w:lang w:val="en-US" w:eastAsia="zh-CN"/>
              </w:rPr>
              <w:t>mg/L</w:t>
            </w:r>
            <w:r>
              <w:rPr>
                <w:rFonts w:hint="default" w:ascii="Times New Roman" w:hAnsi="Times New Roman" w:cs="Times New Roman"/>
                <w:color w:val="0000FF"/>
                <w:sz w:val="21"/>
                <w:szCs w:val="21"/>
                <w:highlight w:val="none"/>
                <w:lang w:val="en-US" w:eastAsia="zh-CN"/>
              </w:rPr>
              <w:t>×</w:t>
            </w:r>
            <w:r>
              <w:rPr>
                <w:rFonts w:hint="eastAsia" w:cs="Times New Roman"/>
                <w:color w:val="0000FF"/>
                <w:sz w:val="21"/>
                <w:szCs w:val="21"/>
                <w:highlight w:val="none"/>
                <w:lang w:val="en-US" w:eastAsia="zh-CN"/>
              </w:rPr>
              <w:t>4.01</w:t>
            </w:r>
            <w:r>
              <w:rPr>
                <w:rFonts w:hint="default" w:ascii="Times New Roman" w:hAnsi="Times New Roman" w:eastAsia="宋体" w:cs="Times New Roman"/>
                <w:color w:val="0000FF"/>
                <w:sz w:val="21"/>
                <w:szCs w:val="21"/>
                <w:highlight w:val="none"/>
                <w:lang w:val="en-US" w:eastAsia="zh-CN"/>
              </w:rPr>
              <w:t>m</w:t>
            </w:r>
            <w:r>
              <w:rPr>
                <w:rFonts w:hint="default" w:ascii="Times New Roman" w:hAnsi="Times New Roman" w:eastAsia="宋体" w:cs="Times New Roman"/>
                <w:color w:val="0000FF"/>
                <w:sz w:val="21"/>
                <w:szCs w:val="21"/>
                <w:highlight w:val="none"/>
                <w:vertAlign w:val="superscript"/>
                <w:lang w:val="en-US" w:eastAsia="zh-CN"/>
              </w:rPr>
              <w:t>3</w:t>
            </w:r>
            <w:r>
              <w:rPr>
                <w:rFonts w:hint="default" w:ascii="Times New Roman" w:hAnsi="Times New Roman" w:eastAsia="宋体" w:cs="Times New Roman"/>
                <w:color w:val="0000FF"/>
                <w:sz w:val="21"/>
                <w:szCs w:val="21"/>
                <w:highlight w:val="none"/>
                <w:lang w:val="en-US" w:eastAsia="zh-CN"/>
              </w:rPr>
              <w:t>/</w:t>
            </w:r>
            <w:r>
              <w:rPr>
                <w:rFonts w:hint="eastAsia" w:cs="Times New Roman"/>
                <w:color w:val="0000FF"/>
                <w:sz w:val="21"/>
                <w:szCs w:val="21"/>
                <w:highlight w:val="none"/>
                <w:lang w:val="en-US" w:eastAsia="zh-CN"/>
              </w:rPr>
              <w:t>d</w:t>
            </w:r>
            <w:r>
              <w:rPr>
                <w:rFonts w:hint="default" w:ascii="Times New Roman" w:hAnsi="Times New Roman" w:cs="Times New Roman"/>
                <w:color w:val="0000FF"/>
                <w:sz w:val="21"/>
                <w:szCs w:val="21"/>
                <w:highlight w:val="none"/>
                <w:lang w:val="en-US" w:eastAsia="zh-CN"/>
              </w:rPr>
              <w:t>×</w:t>
            </w:r>
            <w:r>
              <w:rPr>
                <w:rFonts w:hint="eastAsia" w:cs="Times New Roman"/>
                <w:color w:val="0000FF"/>
                <w:sz w:val="21"/>
                <w:szCs w:val="21"/>
                <w:highlight w:val="none"/>
                <w:lang w:val="en-US" w:eastAsia="zh-CN"/>
              </w:rPr>
              <w:t>300d</w:t>
            </w:r>
            <w:r>
              <w:rPr>
                <w:rFonts w:hint="default" w:ascii="Times New Roman" w:hAnsi="Times New Roman" w:cs="Times New Roman"/>
                <w:color w:val="0000FF"/>
                <w:sz w:val="21"/>
                <w:szCs w:val="21"/>
                <w:highlight w:val="none"/>
                <w:lang w:val="en-US" w:eastAsia="zh-CN"/>
              </w:rPr>
              <w:t>×10</w:t>
            </w:r>
            <w:r>
              <w:rPr>
                <w:rFonts w:hint="default" w:ascii="Times New Roman" w:hAnsi="Times New Roman" w:eastAsia="宋体" w:cs="Times New Roman"/>
                <w:color w:val="0000FF"/>
                <w:sz w:val="21"/>
                <w:szCs w:val="21"/>
                <w:highlight w:val="none"/>
                <w:vertAlign w:val="superscript"/>
                <w:lang w:val="en-US" w:eastAsia="zh-CN"/>
              </w:rPr>
              <w:t>-6</w:t>
            </w:r>
            <w:r>
              <w:rPr>
                <w:rFonts w:hint="default" w:ascii="Times New Roman" w:hAnsi="Times New Roman" w:eastAsia="微软雅黑" w:cs="Times New Roman"/>
                <w:color w:val="0000FF"/>
                <w:sz w:val="21"/>
                <w:szCs w:val="21"/>
                <w:highlight w:val="none"/>
                <w:lang w:val="en-US" w:eastAsia="zh-CN"/>
              </w:rPr>
              <w:t>≈</w:t>
            </w:r>
            <w:r>
              <w:rPr>
                <w:rFonts w:hint="eastAsia" w:ascii="Times New Roman" w:hAnsi="Times New Roman" w:eastAsia="微软雅黑" w:cs="Times New Roman"/>
                <w:color w:val="0000FF"/>
                <w:sz w:val="21"/>
                <w:szCs w:val="21"/>
                <w:highlight w:val="none"/>
                <w:lang w:val="en-US" w:eastAsia="zh-CN"/>
              </w:rPr>
              <w:t>0.</w:t>
            </w:r>
            <w:r>
              <w:rPr>
                <w:rFonts w:hint="eastAsia" w:eastAsia="微软雅黑" w:cs="Times New Roman"/>
                <w:color w:val="0000FF"/>
                <w:sz w:val="21"/>
                <w:szCs w:val="21"/>
                <w:highlight w:val="none"/>
                <w:lang w:val="en-US" w:eastAsia="zh-CN"/>
              </w:rPr>
              <w:t>048</w:t>
            </w:r>
            <w:r>
              <w:rPr>
                <w:rFonts w:hint="default" w:ascii="Times New Roman" w:hAnsi="Times New Roman" w:cs="Times New Roman"/>
                <w:color w:val="0000FF"/>
                <w:sz w:val="21"/>
                <w:szCs w:val="21"/>
                <w:highlight w:val="none"/>
                <w:lang w:val="en-US" w:eastAsia="zh-CN"/>
              </w:rPr>
              <w:t>t/a</w:t>
            </w:r>
            <w:r>
              <w:rPr>
                <w:rFonts w:hint="eastAsia" w:ascii="Times New Roman" w:hAnsi="Times New Roman" w:cs="Times New Roman"/>
                <w:color w:val="0000FF"/>
                <w:sz w:val="21"/>
                <w:szCs w:val="21"/>
                <w:highlight w:val="none"/>
                <w:lang w:val="en-US" w:eastAsia="zh-CN"/>
              </w:rPr>
              <w:t>，</w:t>
            </w:r>
            <w:r>
              <w:rPr>
                <w:rFonts w:hint="default" w:ascii="Times New Roman" w:hAnsi="Times New Roman" w:eastAsia="宋体" w:cs="Times New Roman"/>
                <w:color w:val="0000FF"/>
                <w:sz w:val="21"/>
                <w:szCs w:val="21"/>
                <w:highlight w:val="none"/>
                <w:lang w:val="en-US" w:eastAsia="zh-CN"/>
              </w:rPr>
              <w:t>氨氮=</w:t>
            </w:r>
            <w:r>
              <w:rPr>
                <w:rFonts w:hint="eastAsia" w:cs="Times New Roman"/>
                <w:color w:val="0000FF"/>
                <w:sz w:val="21"/>
                <w:szCs w:val="21"/>
                <w:highlight w:val="none"/>
                <w:lang w:val="en-US" w:eastAsia="zh-CN"/>
              </w:rPr>
              <w:t>2.0</w:t>
            </w:r>
            <w:r>
              <w:rPr>
                <w:rFonts w:hint="default" w:ascii="Times New Roman" w:hAnsi="Times New Roman" w:eastAsia="宋体" w:cs="Times New Roman"/>
                <w:color w:val="0000FF"/>
                <w:sz w:val="21"/>
                <w:szCs w:val="21"/>
                <w:highlight w:val="none"/>
                <w:lang w:val="en-US" w:eastAsia="zh-CN"/>
              </w:rPr>
              <w:t>mg/L</w:t>
            </w:r>
            <w:r>
              <w:rPr>
                <w:rFonts w:hint="default" w:ascii="Times New Roman" w:hAnsi="Times New Roman" w:cs="Times New Roman"/>
                <w:color w:val="0000FF"/>
                <w:sz w:val="21"/>
                <w:szCs w:val="21"/>
                <w:highlight w:val="none"/>
                <w:lang w:val="en-US" w:eastAsia="zh-CN"/>
              </w:rPr>
              <w:t>×</w:t>
            </w:r>
            <w:r>
              <w:rPr>
                <w:rFonts w:hint="eastAsia" w:cs="Times New Roman"/>
                <w:color w:val="0000FF"/>
                <w:sz w:val="21"/>
                <w:szCs w:val="21"/>
                <w:highlight w:val="none"/>
                <w:lang w:val="en-US" w:eastAsia="zh-CN"/>
              </w:rPr>
              <w:t>4.01</w:t>
            </w:r>
            <w:r>
              <w:rPr>
                <w:rFonts w:hint="default" w:ascii="Times New Roman" w:hAnsi="Times New Roman" w:eastAsia="宋体" w:cs="Times New Roman"/>
                <w:color w:val="0000FF"/>
                <w:sz w:val="21"/>
                <w:szCs w:val="21"/>
                <w:highlight w:val="none"/>
                <w:lang w:val="en-US" w:eastAsia="zh-CN"/>
              </w:rPr>
              <w:t>m</w:t>
            </w:r>
            <w:r>
              <w:rPr>
                <w:rFonts w:hint="default" w:ascii="Times New Roman" w:hAnsi="Times New Roman" w:eastAsia="宋体" w:cs="Times New Roman"/>
                <w:color w:val="0000FF"/>
                <w:sz w:val="21"/>
                <w:szCs w:val="21"/>
                <w:highlight w:val="none"/>
                <w:vertAlign w:val="superscript"/>
                <w:lang w:val="en-US" w:eastAsia="zh-CN"/>
              </w:rPr>
              <w:t>3</w:t>
            </w:r>
            <w:r>
              <w:rPr>
                <w:rFonts w:hint="default" w:ascii="Times New Roman" w:hAnsi="Times New Roman" w:eastAsia="宋体" w:cs="Times New Roman"/>
                <w:color w:val="0000FF"/>
                <w:sz w:val="21"/>
                <w:szCs w:val="21"/>
                <w:highlight w:val="none"/>
                <w:lang w:val="en-US" w:eastAsia="zh-CN"/>
              </w:rPr>
              <w:t>/</w:t>
            </w:r>
            <w:r>
              <w:rPr>
                <w:rFonts w:hint="eastAsia" w:cs="Times New Roman"/>
                <w:color w:val="0000FF"/>
                <w:sz w:val="21"/>
                <w:szCs w:val="21"/>
                <w:highlight w:val="none"/>
                <w:lang w:val="en-US" w:eastAsia="zh-CN"/>
              </w:rPr>
              <w:t>d</w:t>
            </w:r>
            <w:r>
              <w:rPr>
                <w:rFonts w:hint="default" w:ascii="Times New Roman" w:hAnsi="Times New Roman" w:cs="Times New Roman"/>
                <w:color w:val="0000FF"/>
                <w:sz w:val="21"/>
                <w:szCs w:val="21"/>
                <w:highlight w:val="none"/>
                <w:lang w:val="en-US" w:eastAsia="zh-CN"/>
              </w:rPr>
              <w:t>×</w:t>
            </w:r>
            <w:r>
              <w:rPr>
                <w:rFonts w:hint="eastAsia" w:cs="Times New Roman"/>
                <w:color w:val="0000FF"/>
                <w:sz w:val="21"/>
                <w:szCs w:val="21"/>
                <w:highlight w:val="none"/>
                <w:lang w:val="en-US" w:eastAsia="zh-CN"/>
              </w:rPr>
              <w:t>300d</w:t>
            </w:r>
            <w:r>
              <w:rPr>
                <w:rFonts w:hint="default" w:ascii="Times New Roman" w:hAnsi="Times New Roman" w:cs="Times New Roman"/>
                <w:color w:val="0000FF"/>
                <w:sz w:val="21"/>
                <w:szCs w:val="21"/>
                <w:highlight w:val="none"/>
                <w:lang w:val="en-US" w:eastAsia="zh-CN"/>
              </w:rPr>
              <w:t>×10</w:t>
            </w:r>
            <w:r>
              <w:rPr>
                <w:rFonts w:hint="default" w:ascii="Times New Roman" w:hAnsi="Times New Roman" w:eastAsia="宋体" w:cs="Times New Roman"/>
                <w:color w:val="0000FF"/>
                <w:sz w:val="21"/>
                <w:szCs w:val="21"/>
                <w:highlight w:val="none"/>
                <w:vertAlign w:val="superscript"/>
                <w:lang w:val="en-US" w:eastAsia="zh-CN"/>
              </w:rPr>
              <w:t>-6</w:t>
            </w:r>
            <w:r>
              <w:rPr>
                <w:rFonts w:hint="default" w:ascii="Times New Roman" w:hAnsi="Times New Roman" w:eastAsia="微软雅黑" w:cs="Times New Roman"/>
                <w:color w:val="0000FF"/>
                <w:sz w:val="21"/>
                <w:szCs w:val="21"/>
                <w:highlight w:val="none"/>
                <w:lang w:val="en-US" w:eastAsia="zh-CN"/>
              </w:rPr>
              <w:t>≈</w:t>
            </w:r>
            <w:r>
              <w:rPr>
                <w:rFonts w:hint="eastAsia" w:cs="Times New Roman"/>
                <w:color w:val="0000FF"/>
                <w:sz w:val="21"/>
                <w:szCs w:val="21"/>
                <w:highlight w:val="none"/>
                <w:lang w:val="en-US" w:eastAsia="zh-CN"/>
              </w:rPr>
              <w:t>0.002t</w:t>
            </w:r>
            <w:r>
              <w:rPr>
                <w:rFonts w:hint="default" w:ascii="Times New Roman" w:hAnsi="Times New Roman" w:cs="Times New Roman"/>
                <w:color w:val="0000FF"/>
                <w:sz w:val="21"/>
                <w:szCs w:val="21"/>
                <w:highlight w:val="none"/>
                <w:lang w:val="en-US" w:eastAsia="zh-CN"/>
              </w:rPr>
              <w:t>/a</w:t>
            </w:r>
            <w:r>
              <w:rPr>
                <w:rFonts w:hint="eastAsia" w:eastAsia="宋体"/>
                <w:color w:val="0000FF"/>
                <w:sz w:val="21"/>
                <w:szCs w:val="21"/>
                <w:highlight w:val="none"/>
                <w:lang w:val="en-US" w:eastAsia="zh-CN"/>
              </w:rPr>
              <w:t>。</w:t>
            </w:r>
          </w:p>
          <w:p w14:paraId="005D66E2">
            <w:pPr>
              <w:keepNext w:val="0"/>
              <w:keepLines w:val="0"/>
              <w:pageBreakBefore w:val="0"/>
              <w:widowControl w:val="0"/>
              <w:kinsoku/>
              <w:wordWrap/>
              <w:overflowPunct/>
              <w:topLinePunct w:val="0"/>
              <w:autoSpaceDE/>
              <w:autoSpaceDN/>
              <w:bidi w:val="0"/>
              <w:adjustRightInd/>
              <w:snapToGrid/>
              <w:spacing w:afterLines="0" w:line="360" w:lineRule="auto"/>
              <w:ind w:firstLine="420" w:firstLineChars="200"/>
              <w:jc w:val="both"/>
              <w:textAlignment w:val="auto"/>
              <w:rPr>
                <w:rFonts w:hint="eastAsia" w:eastAsia="宋体"/>
                <w:color w:val="0000FF"/>
                <w:sz w:val="21"/>
                <w:szCs w:val="21"/>
                <w:highlight w:val="none"/>
                <w:lang w:val="en-US" w:eastAsia="zh-CN"/>
              </w:rPr>
            </w:pPr>
            <w:r>
              <w:rPr>
                <w:rFonts w:hint="eastAsia" w:eastAsia="宋体"/>
                <w:color w:val="0000FF"/>
                <w:sz w:val="21"/>
                <w:szCs w:val="21"/>
                <w:highlight w:val="none"/>
                <w:lang w:val="en-US" w:eastAsia="zh-CN"/>
              </w:rPr>
              <w:t xml:space="preserve">经计算，本项目扩能改造完成后废水污染物总量控制指标为 </w:t>
            </w:r>
            <w:r>
              <w:rPr>
                <w:rFonts w:hint="default" w:eastAsia="宋体"/>
                <w:color w:val="0000FF"/>
                <w:sz w:val="21"/>
                <w:szCs w:val="21"/>
                <w:highlight w:val="none"/>
                <w:lang w:val="en-US" w:eastAsia="zh-CN"/>
              </w:rPr>
              <w:t>COD</w:t>
            </w:r>
            <w:r>
              <w:rPr>
                <w:rFonts w:hint="eastAsia" w:eastAsia="宋体"/>
                <w:color w:val="0000FF"/>
                <w:sz w:val="21"/>
                <w:szCs w:val="21"/>
                <w:highlight w:val="none"/>
                <w:lang w:val="en-US" w:eastAsia="zh-CN"/>
              </w:rPr>
              <w:t>：</w:t>
            </w:r>
            <w:r>
              <w:rPr>
                <w:rFonts w:hint="default" w:eastAsia="宋体"/>
                <w:color w:val="0000FF"/>
                <w:sz w:val="21"/>
                <w:szCs w:val="21"/>
                <w:highlight w:val="none"/>
                <w:lang w:val="en-US" w:eastAsia="zh-CN"/>
              </w:rPr>
              <w:t>0.</w:t>
            </w:r>
            <w:r>
              <w:rPr>
                <w:rFonts w:hint="eastAsia"/>
                <w:color w:val="0000FF"/>
                <w:sz w:val="21"/>
                <w:szCs w:val="21"/>
                <w:highlight w:val="none"/>
                <w:lang w:val="en-US" w:eastAsia="zh-CN"/>
              </w:rPr>
              <w:t>114</w:t>
            </w:r>
            <w:r>
              <w:rPr>
                <w:rFonts w:hint="default" w:eastAsia="宋体"/>
                <w:color w:val="0000FF"/>
                <w:sz w:val="21"/>
                <w:szCs w:val="21"/>
                <w:highlight w:val="none"/>
                <w:lang w:val="en-US" w:eastAsia="zh-CN"/>
              </w:rPr>
              <w:t>t/a</w:t>
            </w:r>
            <w:r>
              <w:rPr>
                <w:rFonts w:hint="eastAsia" w:eastAsia="宋体"/>
                <w:color w:val="0000FF"/>
                <w:sz w:val="21"/>
                <w:szCs w:val="21"/>
                <w:highlight w:val="none"/>
                <w:lang w:val="en-US" w:eastAsia="zh-CN"/>
              </w:rPr>
              <w:t>、氨氮：</w:t>
            </w:r>
            <w:r>
              <w:rPr>
                <w:rFonts w:hint="default" w:eastAsia="宋体"/>
                <w:color w:val="0000FF"/>
                <w:sz w:val="21"/>
                <w:szCs w:val="21"/>
                <w:highlight w:val="none"/>
                <w:lang w:val="en-US" w:eastAsia="zh-CN"/>
              </w:rPr>
              <w:t>0.00</w:t>
            </w:r>
            <w:r>
              <w:rPr>
                <w:rFonts w:hint="eastAsia"/>
                <w:color w:val="0000FF"/>
                <w:sz w:val="21"/>
                <w:szCs w:val="21"/>
                <w:highlight w:val="none"/>
                <w:lang w:val="en-US" w:eastAsia="zh-CN"/>
              </w:rPr>
              <w:t>6</w:t>
            </w:r>
            <w:r>
              <w:rPr>
                <w:rFonts w:hint="default" w:eastAsia="宋体"/>
                <w:color w:val="0000FF"/>
                <w:sz w:val="21"/>
                <w:szCs w:val="21"/>
                <w:highlight w:val="none"/>
                <w:lang w:val="en-US" w:eastAsia="zh-CN"/>
              </w:rPr>
              <w:t>t/a</w:t>
            </w:r>
            <w:r>
              <w:rPr>
                <w:rFonts w:hint="eastAsia"/>
                <w:color w:val="0000FF"/>
                <w:sz w:val="21"/>
                <w:szCs w:val="21"/>
                <w:highlight w:val="none"/>
                <w:lang w:val="en-US" w:eastAsia="zh-CN"/>
              </w:rPr>
              <w:t>；</w:t>
            </w:r>
            <w:r>
              <w:rPr>
                <w:rFonts w:hint="eastAsia" w:eastAsia="宋体"/>
                <w:color w:val="0000FF"/>
                <w:sz w:val="21"/>
                <w:szCs w:val="21"/>
                <w:highlight w:val="none"/>
                <w:lang w:val="en-US" w:eastAsia="zh-CN"/>
              </w:rPr>
              <w:t>本项目</w:t>
            </w:r>
            <w:r>
              <w:rPr>
                <w:rFonts w:hint="eastAsia"/>
                <w:color w:val="0000FF"/>
                <w:sz w:val="21"/>
                <w:szCs w:val="21"/>
                <w:highlight w:val="none"/>
                <w:lang w:val="en-US" w:eastAsia="zh-CN"/>
              </w:rPr>
              <w:t>新增</w:t>
            </w:r>
            <w:r>
              <w:rPr>
                <w:rFonts w:hint="eastAsia" w:eastAsia="宋体"/>
                <w:color w:val="0000FF"/>
                <w:sz w:val="21"/>
                <w:szCs w:val="21"/>
                <w:highlight w:val="none"/>
                <w:lang w:val="en-US" w:eastAsia="zh-CN"/>
              </w:rPr>
              <w:t>废水污染物总量控制指标</w:t>
            </w:r>
            <w:r>
              <w:rPr>
                <w:rFonts w:hint="default" w:eastAsia="宋体"/>
                <w:color w:val="0000FF"/>
                <w:sz w:val="21"/>
                <w:szCs w:val="21"/>
                <w:highlight w:val="none"/>
                <w:lang w:val="en-US" w:eastAsia="zh-CN"/>
              </w:rPr>
              <w:t>COD</w:t>
            </w:r>
            <w:r>
              <w:rPr>
                <w:rFonts w:hint="eastAsia" w:eastAsia="宋体"/>
                <w:color w:val="0000FF"/>
                <w:sz w:val="21"/>
                <w:szCs w:val="21"/>
                <w:highlight w:val="none"/>
                <w:lang w:val="en-US" w:eastAsia="zh-CN"/>
              </w:rPr>
              <w:t>：</w:t>
            </w:r>
            <w:r>
              <w:rPr>
                <w:rFonts w:hint="eastAsia"/>
                <w:color w:val="0000FF"/>
                <w:sz w:val="21"/>
                <w:szCs w:val="21"/>
                <w:highlight w:val="none"/>
                <w:lang w:val="en-US" w:eastAsia="zh-CN"/>
              </w:rPr>
              <w:t>0.066</w:t>
            </w:r>
            <w:r>
              <w:rPr>
                <w:rFonts w:hint="default" w:eastAsia="宋体"/>
                <w:color w:val="0000FF"/>
                <w:sz w:val="21"/>
                <w:szCs w:val="21"/>
                <w:highlight w:val="none"/>
                <w:lang w:val="en-US" w:eastAsia="zh-CN"/>
              </w:rPr>
              <w:t>t/a</w:t>
            </w:r>
            <w:r>
              <w:rPr>
                <w:rFonts w:hint="eastAsia" w:eastAsia="宋体"/>
                <w:color w:val="0000FF"/>
                <w:sz w:val="21"/>
                <w:szCs w:val="21"/>
                <w:highlight w:val="none"/>
                <w:lang w:val="en-US" w:eastAsia="zh-CN"/>
              </w:rPr>
              <w:t>、氨氮：</w:t>
            </w:r>
            <w:r>
              <w:rPr>
                <w:rFonts w:hint="default" w:eastAsia="宋体"/>
                <w:color w:val="0000FF"/>
                <w:sz w:val="21"/>
                <w:szCs w:val="21"/>
                <w:highlight w:val="none"/>
                <w:lang w:val="en-US" w:eastAsia="zh-CN"/>
              </w:rPr>
              <w:t>0.00</w:t>
            </w:r>
            <w:r>
              <w:rPr>
                <w:rFonts w:hint="eastAsia"/>
                <w:color w:val="0000FF"/>
                <w:sz w:val="21"/>
                <w:szCs w:val="21"/>
                <w:highlight w:val="none"/>
                <w:lang w:val="en-US" w:eastAsia="zh-CN"/>
              </w:rPr>
              <w:t>4</w:t>
            </w:r>
            <w:r>
              <w:rPr>
                <w:rFonts w:hint="default" w:eastAsia="宋体"/>
                <w:color w:val="0000FF"/>
                <w:sz w:val="21"/>
                <w:szCs w:val="21"/>
                <w:highlight w:val="none"/>
                <w:lang w:val="en-US" w:eastAsia="zh-CN"/>
              </w:rPr>
              <w:t>t/a</w:t>
            </w:r>
            <w:r>
              <w:rPr>
                <w:rFonts w:hint="eastAsia" w:eastAsia="宋体"/>
                <w:color w:val="0000FF"/>
                <w:sz w:val="21"/>
                <w:szCs w:val="21"/>
                <w:highlight w:val="none"/>
                <w:lang w:val="en-US" w:eastAsia="zh-CN"/>
              </w:rPr>
              <w:t>。</w:t>
            </w:r>
          </w:p>
          <w:p w14:paraId="70152A8D">
            <w:pPr>
              <w:keepNext w:val="0"/>
              <w:keepLines w:val="0"/>
              <w:pageBreakBefore w:val="0"/>
              <w:widowControl w:val="0"/>
              <w:kinsoku/>
              <w:wordWrap/>
              <w:overflowPunct/>
              <w:topLinePunct w:val="0"/>
              <w:autoSpaceDE/>
              <w:autoSpaceDN/>
              <w:bidi w:val="0"/>
              <w:adjustRightInd/>
              <w:snapToGrid/>
              <w:spacing w:line="360" w:lineRule="auto"/>
              <w:ind w:firstLine="422" w:firstLineChars="200"/>
              <w:jc w:val="both"/>
              <w:textAlignment w:val="auto"/>
              <w:rPr>
                <w:rFonts w:hint="default"/>
                <w:b/>
                <w:bCs/>
                <w:color w:val="auto"/>
                <w:sz w:val="21"/>
                <w:szCs w:val="21"/>
                <w:highlight w:val="none"/>
                <w:lang w:val="en-US" w:eastAsia="zh-CN"/>
              </w:rPr>
            </w:pPr>
            <w:r>
              <w:rPr>
                <w:rFonts w:hint="eastAsia"/>
                <w:b/>
                <w:bCs/>
                <w:color w:val="auto"/>
                <w:sz w:val="21"/>
                <w:szCs w:val="21"/>
                <w:highlight w:val="none"/>
                <w:lang w:val="en-US" w:eastAsia="zh-CN"/>
              </w:rPr>
              <w:t>2、</w:t>
            </w:r>
            <w:r>
              <w:rPr>
                <w:rFonts w:hint="default"/>
                <w:b/>
                <w:bCs/>
                <w:color w:val="auto"/>
                <w:sz w:val="21"/>
                <w:szCs w:val="21"/>
                <w:highlight w:val="none"/>
                <w:lang w:val="en-US" w:eastAsia="zh-CN"/>
              </w:rPr>
              <w:t>废气</w:t>
            </w:r>
          </w:p>
          <w:p w14:paraId="482E316E">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本项目</w:t>
            </w:r>
            <w:r>
              <w:rPr>
                <w:rFonts w:hint="eastAsia" w:cs="Times New Roman"/>
                <w:color w:val="auto"/>
                <w:sz w:val="21"/>
                <w:szCs w:val="21"/>
                <w:highlight w:val="none"/>
                <w:lang w:val="en-US" w:eastAsia="zh-CN"/>
              </w:rPr>
              <w:t>不涉及</w:t>
            </w:r>
            <w:r>
              <w:rPr>
                <w:rFonts w:hint="default" w:ascii="Times New Roman" w:hAnsi="Times New Roman" w:eastAsia="宋体" w:cs="Times New Roman"/>
                <w:color w:val="auto"/>
                <w:sz w:val="21"/>
                <w:szCs w:val="21"/>
                <w:highlight w:val="none"/>
                <w:lang w:val="en-US" w:eastAsia="zh-CN"/>
              </w:rPr>
              <w:t>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val="en-US" w:eastAsia="zh-CN"/>
              </w:rPr>
              <w:t>、NOx</w:t>
            </w:r>
            <w:r>
              <w:rPr>
                <w:rFonts w:hint="eastAsia" w:cs="Times New Roman"/>
                <w:color w:val="auto"/>
                <w:sz w:val="21"/>
                <w:szCs w:val="21"/>
                <w:highlight w:val="none"/>
                <w:lang w:val="en-US" w:eastAsia="zh-CN"/>
              </w:rPr>
              <w:t>的排放，特征因子为颗粒物。</w:t>
            </w:r>
          </w:p>
          <w:p w14:paraId="469E5FC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颗粒物总量</w:t>
            </w:r>
            <w:r>
              <w:rPr>
                <w:rFonts w:hint="eastAsia" w:ascii="Times New Roman" w:hAnsi="Times New Roman" w:eastAsia="宋体" w:cs="Times New Roman"/>
                <w:color w:val="auto"/>
                <w:sz w:val="21"/>
                <w:szCs w:val="21"/>
                <w:highlight w:val="none"/>
                <w:lang w:val="en-US" w:eastAsia="zh-CN"/>
              </w:rPr>
              <w:t>计算过程如下：</w:t>
            </w:r>
          </w:p>
          <w:p w14:paraId="612B5D3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center"/>
              <w:textAlignment w:val="auto"/>
              <w:rPr>
                <w:rFonts w:hint="default" w:ascii="Times New Roman" w:hAnsi="Times New Roman" w:eastAsia="宋体" w:cs="Times New Roman"/>
                <w:b/>
                <w:bCs/>
                <w:color w:val="auto"/>
                <w:sz w:val="21"/>
                <w:szCs w:val="21"/>
                <w:highlight w:val="none"/>
                <w:lang w:val="en-US" w:eastAsia="zh-CN"/>
              </w:rPr>
            </w:pPr>
            <w:r>
              <w:rPr>
                <w:rFonts w:ascii="Times New Roman" w:hAnsi="Times New Roman" w:eastAsia="宋体" w:cs="Times New Roman"/>
                <w:b/>
                <w:bCs/>
                <w:color w:val="auto"/>
                <w:kern w:val="2"/>
                <w:sz w:val="21"/>
                <w:szCs w:val="21"/>
                <w:highlight w:val="none"/>
                <w:lang w:val="en-US" w:eastAsia="zh-CN" w:bidi="ar-SA"/>
              </w:rPr>
              <w:t>表</w:t>
            </w:r>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3-</w:t>
            </w:r>
            <w:r>
              <w:rPr>
                <w:rFonts w:hint="eastAsia" w:ascii="Times New Roman" w:hAnsi="Times New Roman" w:eastAsia="宋体" w:cs="Times New Roman"/>
                <w:b/>
                <w:bCs/>
                <w:color w:val="auto"/>
                <w:kern w:val="2"/>
                <w:sz w:val="21"/>
                <w:szCs w:val="21"/>
                <w:highlight w:val="none"/>
                <w:lang w:val="en-US" w:eastAsia="zh-CN" w:bidi="ar-SA"/>
              </w:rPr>
              <w:t xml:space="preserve">10 </w:t>
            </w:r>
            <w:r>
              <w:rPr>
                <w:rFonts w:hint="eastAsia" w:ascii="Times New Roman" w:hAnsi="Times New Roman" w:eastAsia="宋体" w:cs="Times New Roman"/>
                <w:b/>
                <w:bCs/>
                <w:color w:val="auto"/>
                <w:sz w:val="21"/>
                <w:szCs w:val="21"/>
                <w:highlight w:val="none"/>
                <w:lang w:val="en-US" w:eastAsia="zh-CN"/>
              </w:rPr>
              <w:t>本</w:t>
            </w:r>
            <w:r>
              <w:rPr>
                <w:rFonts w:hint="default" w:ascii="Times New Roman" w:hAnsi="Times New Roman" w:eastAsia="宋体" w:cs="Times New Roman"/>
                <w:b/>
                <w:bCs/>
                <w:color w:val="auto"/>
                <w:sz w:val="21"/>
                <w:szCs w:val="21"/>
                <w:highlight w:val="none"/>
                <w:lang w:val="en-US" w:eastAsia="zh-CN"/>
              </w:rPr>
              <w:t>项目</w:t>
            </w:r>
            <w:r>
              <w:rPr>
                <w:rFonts w:hint="eastAsia" w:ascii="Times New Roman" w:hAnsi="Times New Roman" w:eastAsia="宋体" w:cs="Times New Roman"/>
                <w:b/>
                <w:bCs/>
                <w:color w:val="auto"/>
                <w:sz w:val="21"/>
                <w:szCs w:val="21"/>
                <w:highlight w:val="none"/>
                <w:lang w:val="en-US" w:eastAsia="zh-CN"/>
              </w:rPr>
              <w:t>废气</w:t>
            </w:r>
            <w:r>
              <w:rPr>
                <w:rFonts w:hint="default" w:ascii="Times New Roman" w:hAnsi="Times New Roman" w:eastAsia="宋体" w:cs="Times New Roman"/>
                <w:b/>
                <w:bCs/>
                <w:color w:val="auto"/>
                <w:sz w:val="21"/>
                <w:szCs w:val="21"/>
                <w:highlight w:val="none"/>
                <w:lang w:val="en-US" w:eastAsia="zh-CN"/>
              </w:rPr>
              <w:t>污染物</w:t>
            </w:r>
            <w:r>
              <w:rPr>
                <w:rFonts w:hint="eastAsia" w:ascii="Times New Roman" w:hAnsi="Times New Roman" w:eastAsia="宋体" w:cs="Times New Roman"/>
                <w:b/>
                <w:bCs/>
                <w:color w:val="auto"/>
                <w:sz w:val="21"/>
                <w:szCs w:val="21"/>
                <w:highlight w:val="none"/>
                <w:lang w:val="en-US" w:eastAsia="zh-CN"/>
              </w:rPr>
              <w:t>达标排放</w:t>
            </w:r>
            <w:r>
              <w:rPr>
                <w:rFonts w:hint="default" w:ascii="Times New Roman" w:hAnsi="Times New Roman" w:eastAsia="宋体" w:cs="Times New Roman"/>
                <w:b/>
                <w:bCs/>
                <w:color w:val="auto"/>
                <w:sz w:val="21"/>
                <w:szCs w:val="21"/>
                <w:highlight w:val="none"/>
                <w:lang w:val="en-US" w:eastAsia="zh-CN"/>
              </w:rPr>
              <w:t>总量核算</w:t>
            </w:r>
            <w:r>
              <w:rPr>
                <w:rFonts w:hint="eastAsia" w:ascii="Times New Roman" w:hAnsi="Times New Roman" w:eastAsia="宋体" w:cs="Times New Roman"/>
                <w:b/>
                <w:bCs/>
                <w:color w:val="auto"/>
                <w:sz w:val="21"/>
                <w:szCs w:val="21"/>
                <w:highlight w:val="none"/>
                <w:lang w:val="en-US" w:eastAsia="zh-CN"/>
              </w:rPr>
              <w:t>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201"/>
              <w:gridCol w:w="929"/>
              <w:gridCol w:w="1353"/>
              <w:gridCol w:w="878"/>
              <w:gridCol w:w="1082"/>
              <w:gridCol w:w="963"/>
              <w:gridCol w:w="750"/>
            </w:tblGrid>
            <w:tr w14:paraId="7ED27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91" w:type="dxa"/>
                  <w:gridSpan w:val="2"/>
                  <w:noWrap w:val="0"/>
                  <w:vAlign w:val="center"/>
                </w:tcPr>
                <w:p w14:paraId="0B9732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排放口</w:t>
                  </w:r>
                </w:p>
              </w:tc>
              <w:tc>
                <w:tcPr>
                  <w:tcW w:w="916" w:type="dxa"/>
                  <w:noWrap w:val="0"/>
                  <w:vAlign w:val="center"/>
                </w:tcPr>
                <w:p w14:paraId="0DAC92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项目</w:t>
                  </w:r>
                </w:p>
              </w:tc>
              <w:tc>
                <w:tcPr>
                  <w:tcW w:w="1334" w:type="dxa"/>
                  <w:noWrap w:val="0"/>
                  <w:vAlign w:val="center"/>
                </w:tcPr>
                <w:p w14:paraId="6BB9DA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污染物</w:t>
                  </w:r>
                  <w:r>
                    <w:rPr>
                      <w:rFonts w:hint="eastAsia" w:ascii="Times New Roman" w:hAnsi="Times New Roman" w:eastAsia="宋体" w:cs="Times New Roman"/>
                      <w:color w:val="auto"/>
                      <w:sz w:val="21"/>
                      <w:szCs w:val="21"/>
                      <w:highlight w:val="none"/>
                      <w:lang w:val="en-US" w:eastAsia="zh-CN"/>
                    </w:rPr>
                    <w:t>排放</w:t>
                  </w:r>
                  <w:r>
                    <w:rPr>
                      <w:rFonts w:hint="default" w:ascii="Times New Roman" w:hAnsi="Times New Roman" w:eastAsia="宋体" w:cs="Times New Roman"/>
                      <w:color w:val="auto"/>
                      <w:sz w:val="21"/>
                      <w:szCs w:val="21"/>
                      <w:highlight w:val="none"/>
                    </w:rPr>
                    <w:t>浓度mg/m</w:t>
                  </w:r>
                  <w:r>
                    <w:rPr>
                      <w:rFonts w:hint="default" w:ascii="Times New Roman" w:hAnsi="Times New Roman" w:eastAsia="宋体" w:cs="Times New Roman"/>
                      <w:color w:val="auto"/>
                      <w:sz w:val="21"/>
                      <w:szCs w:val="21"/>
                      <w:highlight w:val="none"/>
                      <w:vertAlign w:val="superscript"/>
                    </w:rPr>
                    <w:t>3</w:t>
                  </w:r>
                </w:p>
              </w:tc>
              <w:tc>
                <w:tcPr>
                  <w:tcW w:w="866" w:type="dxa"/>
                  <w:noWrap w:val="0"/>
                  <w:vAlign w:val="center"/>
                </w:tcPr>
                <w:p w14:paraId="487B1FF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zh-CN"/>
                    </w:rPr>
                    <w:t>废气量</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/h</w:t>
                  </w:r>
                </w:p>
              </w:tc>
              <w:tc>
                <w:tcPr>
                  <w:tcW w:w="1067" w:type="dxa"/>
                  <w:noWrap w:val="0"/>
                  <w:vAlign w:val="center"/>
                </w:tcPr>
                <w:p w14:paraId="1E4A5F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运行时间h/a</w:t>
                  </w:r>
                </w:p>
              </w:tc>
              <w:tc>
                <w:tcPr>
                  <w:tcW w:w="1690" w:type="dxa"/>
                  <w:gridSpan w:val="2"/>
                  <w:noWrap w:val="0"/>
                  <w:vAlign w:val="center"/>
                </w:tcPr>
                <w:p w14:paraId="1848C5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污染物年排放量</w:t>
                  </w:r>
                  <w:r>
                    <w:rPr>
                      <w:rFonts w:hint="default" w:ascii="Times New Roman" w:hAnsi="Times New Roman" w:eastAsia="宋体" w:cs="Times New Roman"/>
                      <w:color w:val="auto"/>
                      <w:sz w:val="21"/>
                      <w:szCs w:val="21"/>
                      <w:highlight w:val="none"/>
                      <w:lang w:eastAsia="zh-CN"/>
                    </w:rPr>
                    <w:t>t/a</w:t>
                  </w:r>
                </w:p>
              </w:tc>
            </w:tr>
            <w:tr w14:paraId="716C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vMerge w:val="restart"/>
                  <w:noWrap w:val="0"/>
                  <w:vAlign w:val="center"/>
                </w:tcPr>
                <w:p w14:paraId="76E713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DA0</w:t>
                  </w:r>
                  <w:r>
                    <w:rPr>
                      <w:rFonts w:hint="eastAsia" w:cs="Times New Roman"/>
                      <w:color w:val="auto"/>
                      <w:sz w:val="21"/>
                      <w:szCs w:val="21"/>
                      <w:highlight w:val="none"/>
                      <w:lang w:val="en-US" w:eastAsia="zh-CN"/>
                    </w:rPr>
                    <w:t>28</w:t>
                  </w:r>
                </w:p>
              </w:tc>
              <w:tc>
                <w:tcPr>
                  <w:tcW w:w="1184" w:type="dxa"/>
                  <w:noWrap w:val="0"/>
                  <w:vAlign w:val="center"/>
                </w:tcPr>
                <w:p w14:paraId="36BAAAA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投料、粉碎包装废气</w:t>
                  </w:r>
                </w:p>
              </w:tc>
              <w:tc>
                <w:tcPr>
                  <w:tcW w:w="916" w:type="dxa"/>
                  <w:noWrap w:val="0"/>
                  <w:vAlign w:val="center"/>
                </w:tcPr>
                <w:p w14:paraId="674CD8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颗粒物</w:t>
                  </w:r>
                </w:p>
              </w:tc>
              <w:tc>
                <w:tcPr>
                  <w:tcW w:w="1334" w:type="dxa"/>
                  <w:noWrap w:val="0"/>
                  <w:vAlign w:val="center"/>
                </w:tcPr>
                <w:p w14:paraId="28F825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120</w:t>
                  </w:r>
                </w:p>
              </w:tc>
              <w:tc>
                <w:tcPr>
                  <w:tcW w:w="866" w:type="dxa"/>
                  <w:noWrap w:val="0"/>
                  <w:vAlign w:val="center"/>
                </w:tcPr>
                <w:p w14:paraId="68F233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2000</w:t>
                  </w:r>
                </w:p>
              </w:tc>
              <w:tc>
                <w:tcPr>
                  <w:tcW w:w="1067" w:type="dxa"/>
                  <w:noWrap w:val="0"/>
                  <w:vAlign w:val="center"/>
                </w:tcPr>
                <w:p w14:paraId="142531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7200</w:t>
                  </w:r>
                </w:p>
              </w:tc>
              <w:tc>
                <w:tcPr>
                  <w:tcW w:w="950" w:type="dxa"/>
                  <w:noWrap w:val="0"/>
                  <w:vAlign w:val="center"/>
                </w:tcPr>
                <w:p w14:paraId="6946D21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1.728</w:t>
                  </w:r>
                </w:p>
              </w:tc>
              <w:tc>
                <w:tcPr>
                  <w:tcW w:w="740" w:type="dxa"/>
                  <w:vMerge w:val="restart"/>
                  <w:noWrap w:val="0"/>
                  <w:vAlign w:val="center"/>
                </w:tcPr>
                <w:p w14:paraId="1AB94685">
                  <w:pPr>
                    <w:keepNext w:val="0"/>
                    <w:keepLines w:val="0"/>
                    <w:widowControl/>
                    <w:suppressLineNumbers w:val="0"/>
                    <w:jc w:val="center"/>
                    <w:textAlignment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9.504</w:t>
                  </w:r>
                </w:p>
              </w:tc>
            </w:tr>
            <w:tr w14:paraId="0063E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vMerge w:val="continue"/>
                  <w:noWrap w:val="0"/>
                  <w:vAlign w:val="center"/>
                </w:tcPr>
                <w:p w14:paraId="0185C7C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1184" w:type="dxa"/>
                  <w:noWrap w:val="0"/>
                  <w:vAlign w:val="center"/>
                </w:tcPr>
                <w:p w14:paraId="6162472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喷雾干燥废气</w:t>
                  </w:r>
                </w:p>
              </w:tc>
              <w:tc>
                <w:tcPr>
                  <w:tcW w:w="916" w:type="dxa"/>
                  <w:noWrap w:val="0"/>
                  <w:vAlign w:val="center"/>
                </w:tcPr>
                <w:p w14:paraId="014CE3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w:t>
                  </w:r>
                </w:p>
              </w:tc>
              <w:tc>
                <w:tcPr>
                  <w:tcW w:w="1334" w:type="dxa"/>
                  <w:noWrap w:val="0"/>
                  <w:vAlign w:val="center"/>
                </w:tcPr>
                <w:p w14:paraId="06D7FB0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120</w:t>
                  </w:r>
                </w:p>
              </w:tc>
              <w:tc>
                <w:tcPr>
                  <w:tcW w:w="866" w:type="dxa"/>
                  <w:noWrap w:val="0"/>
                  <w:vAlign w:val="center"/>
                </w:tcPr>
                <w:p w14:paraId="16B884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9000</w:t>
                  </w:r>
                </w:p>
              </w:tc>
              <w:tc>
                <w:tcPr>
                  <w:tcW w:w="1067" w:type="dxa"/>
                  <w:noWrap w:val="0"/>
                  <w:vAlign w:val="center"/>
                </w:tcPr>
                <w:p w14:paraId="46A792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7200</w:t>
                  </w:r>
                </w:p>
              </w:tc>
              <w:tc>
                <w:tcPr>
                  <w:tcW w:w="950" w:type="dxa"/>
                  <w:noWrap w:val="0"/>
                  <w:vAlign w:val="center"/>
                </w:tcPr>
                <w:p w14:paraId="0B69E36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7.776</w:t>
                  </w:r>
                </w:p>
              </w:tc>
              <w:tc>
                <w:tcPr>
                  <w:tcW w:w="740" w:type="dxa"/>
                  <w:vMerge w:val="continue"/>
                  <w:noWrap w:val="0"/>
                  <w:vAlign w:val="center"/>
                </w:tcPr>
                <w:p w14:paraId="14C07D42">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p>
              </w:tc>
            </w:tr>
            <w:tr w14:paraId="36B72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91" w:type="dxa"/>
                  <w:gridSpan w:val="2"/>
                  <w:noWrap w:val="0"/>
                  <w:vAlign w:val="center"/>
                </w:tcPr>
                <w:p w14:paraId="050EC3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核算公式</w:t>
                  </w:r>
                </w:p>
              </w:tc>
              <w:tc>
                <w:tcPr>
                  <w:tcW w:w="5873" w:type="dxa"/>
                  <w:gridSpan w:val="6"/>
                  <w:noWrap w:val="0"/>
                  <w:vAlign w:val="center"/>
                </w:tcPr>
                <w:p w14:paraId="6599440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污染物排放量（t/a）=污染物</w:t>
                  </w:r>
                  <w:r>
                    <w:rPr>
                      <w:rFonts w:hint="eastAsia" w:ascii="Times New Roman" w:hAnsi="Times New Roman" w:eastAsia="宋体" w:cs="Times New Roman"/>
                      <w:color w:val="auto"/>
                      <w:sz w:val="21"/>
                      <w:szCs w:val="21"/>
                      <w:highlight w:val="none"/>
                      <w:lang w:val="en-US" w:eastAsia="zh-CN"/>
                    </w:rPr>
                    <w:t>排放</w:t>
                  </w:r>
                  <w:r>
                    <w:rPr>
                      <w:rFonts w:hint="default" w:ascii="Times New Roman" w:hAnsi="Times New Roman" w:eastAsia="宋体" w:cs="Times New Roman"/>
                      <w:color w:val="auto"/>
                      <w:sz w:val="21"/>
                      <w:szCs w:val="21"/>
                      <w:highlight w:val="none"/>
                    </w:rPr>
                    <w:t>浓度（mg/m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zh-CN"/>
                    </w:rPr>
                    <w:t>废气量</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/h）×生产时间（h/a）/10</w:t>
                  </w:r>
                  <w:r>
                    <w:rPr>
                      <w:rFonts w:hint="default" w:ascii="Times New Roman" w:hAnsi="Times New Roman" w:eastAsia="宋体" w:cs="Times New Roman"/>
                      <w:color w:val="auto"/>
                      <w:sz w:val="21"/>
                      <w:szCs w:val="21"/>
                      <w:highlight w:val="none"/>
                      <w:vertAlign w:val="superscript"/>
                    </w:rPr>
                    <w:t>9</w:t>
                  </w:r>
                </w:p>
              </w:tc>
            </w:tr>
            <w:tr w14:paraId="43FCF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91" w:type="dxa"/>
                  <w:gridSpan w:val="2"/>
                  <w:noWrap w:val="0"/>
                  <w:vAlign w:val="center"/>
                </w:tcPr>
                <w:p w14:paraId="5B2E3B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核算结果</w:t>
                  </w:r>
                </w:p>
              </w:tc>
              <w:tc>
                <w:tcPr>
                  <w:tcW w:w="5873" w:type="dxa"/>
                  <w:gridSpan w:val="6"/>
                  <w:noWrap w:val="0"/>
                  <w:vAlign w:val="center"/>
                </w:tcPr>
                <w:p w14:paraId="42A509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由公式核算可知，</w:t>
                  </w:r>
                  <w:r>
                    <w:rPr>
                      <w:rFonts w:hint="eastAsia" w:ascii="Times New Roman" w:hAnsi="Times New Roman" w:eastAsia="宋体" w:cs="Times New Roman"/>
                      <w:color w:val="auto"/>
                      <w:sz w:val="21"/>
                      <w:szCs w:val="21"/>
                      <w:highlight w:val="none"/>
                      <w:lang w:val="en-US" w:eastAsia="zh-CN"/>
                    </w:rPr>
                    <w:t>本</w:t>
                  </w:r>
                  <w:r>
                    <w:rPr>
                      <w:rFonts w:hint="default" w:ascii="Times New Roman" w:hAnsi="Times New Roman" w:eastAsia="宋体" w:cs="Times New Roman"/>
                      <w:color w:val="auto"/>
                      <w:sz w:val="21"/>
                      <w:szCs w:val="21"/>
                      <w:highlight w:val="none"/>
                    </w:rPr>
                    <w:t>项目特征污染物年排放量为：</w:t>
                  </w:r>
                  <w:r>
                    <w:rPr>
                      <w:rFonts w:hint="eastAsia" w:ascii="Times New Roman" w:hAnsi="Times New Roman" w:eastAsia="宋体" w:cs="Times New Roman"/>
                      <w:color w:val="auto"/>
                      <w:sz w:val="21"/>
                      <w:szCs w:val="21"/>
                      <w:highlight w:val="none"/>
                      <w:lang w:val="en-US" w:eastAsia="zh-CN"/>
                    </w:rPr>
                    <w:t>颗粒物：</w:t>
                  </w:r>
                  <w:r>
                    <w:rPr>
                      <w:rFonts w:hint="eastAsia" w:cs="Times New Roman"/>
                      <w:color w:val="auto"/>
                      <w:sz w:val="21"/>
                      <w:szCs w:val="21"/>
                      <w:highlight w:val="none"/>
                      <w:lang w:val="en-US" w:eastAsia="zh-CN"/>
                    </w:rPr>
                    <w:t>9.504</w:t>
                  </w:r>
                  <w:r>
                    <w:rPr>
                      <w:rFonts w:hint="default" w:ascii="Times New Roman" w:hAnsi="Times New Roman" w:eastAsia="宋体" w:cs="Times New Roman"/>
                      <w:color w:val="auto"/>
                      <w:sz w:val="21"/>
                      <w:szCs w:val="21"/>
                      <w:highlight w:val="none"/>
                    </w:rPr>
                    <w:t>t/a</w:t>
                  </w:r>
                  <w:r>
                    <w:rPr>
                      <w:rFonts w:hint="eastAsia" w:ascii="Times New Roman" w:hAnsi="Times New Roman" w:eastAsia="宋体" w:cs="Times New Roman"/>
                      <w:color w:val="auto"/>
                      <w:sz w:val="21"/>
                      <w:szCs w:val="21"/>
                      <w:highlight w:val="none"/>
                      <w:lang w:eastAsia="zh-CN"/>
                    </w:rPr>
                    <w:t>。</w:t>
                  </w:r>
                </w:p>
              </w:tc>
            </w:tr>
          </w:tbl>
          <w:p w14:paraId="4230426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center"/>
              <w:textAlignment w:val="auto"/>
              <w:rPr>
                <w:rFonts w:hint="eastAsia" w:ascii="Times New Roman" w:hAnsi="Times New Roman" w:eastAsia="宋体" w:cs="Times New Roman"/>
                <w:b/>
                <w:bCs/>
                <w:color w:val="auto"/>
                <w:sz w:val="21"/>
                <w:szCs w:val="21"/>
                <w:highlight w:val="none"/>
                <w:lang w:val="en-US" w:eastAsia="zh-CN"/>
              </w:rPr>
            </w:pPr>
            <w:r>
              <w:rPr>
                <w:rFonts w:ascii="Times New Roman" w:hAnsi="Times New Roman" w:eastAsia="宋体" w:cs="Times New Roman"/>
                <w:b/>
                <w:bCs/>
                <w:color w:val="auto"/>
                <w:kern w:val="2"/>
                <w:sz w:val="21"/>
                <w:szCs w:val="21"/>
                <w:highlight w:val="none"/>
                <w:lang w:val="en-US" w:eastAsia="zh-CN" w:bidi="ar-SA"/>
              </w:rPr>
              <w:t>表</w:t>
            </w:r>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3-</w:t>
            </w:r>
            <w:r>
              <w:rPr>
                <w:rFonts w:hint="eastAsia" w:ascii="Times New Roman" w:hAnsi="Times New Roman" w:eastAsia="宋体" w:cs="Times New Roman"/>
                <w:b/>
                <w:bCs/>
                <w:color w:val="auto"/>
                <w:kern w:val="2"/>
                <w:sz w:val="21"/>
                <w:szCs w:val="21"/>
                <w:highlight w:val="none"/>
                <w:lang w:val="en-US" w:eastAsia="zh-CN" w:bidi="ar-SA"/>
              </w:rPr>
              <w:t xml:space="preserve">11 </w:t>
            </w:r>
            <w:r>
              <w:rPr>
                <w:rFonts w:hint="eastAsia" w:ascii="Times New Roman" w:hAnsi="Times New Roman" w:eastAsia="宋体" w:cs="Times New Roman"/>
                <w:b/>
                <w:bCs/>
                <w:color w:val="auto"/>
                <w:sz w:val="21"/>
                <w:szCs w:val="21"/>
                <w:highlight w:val="none"/>
                <w:lang w:val="en-US" w:eastAsia="zh-CN"/>
              </w:rPr>
              <w:t>本</w:t>
            </w:r>
            <w:r>
              <w:rPr>
                <w:rFonts w:hint="default" w:ascii="Times New Roman" w:hAnsi="Times New Roman" w:eastAsia="宋体" w:cs="Times New Roman"/>
                <w:b/>
                <w:bCs/>
                <w:color w:val="auto"/>
                <w:sz w:val="21"/>
                <w:szCs w:val="21"/>
                <w:highlight w:val="none"/>
                <w:lang w:val="en-US" w:eastAsia="zh-CN"/>
              </w:rPr>
              <w:t>项目</w:t>
            </w:r>
            <w:r>
              <w:rPr>
                <w:rFonts w:hint="eastAsia" w:ascii="Times New Roman" w:hAnsi="Times New Roman" w:eastAsia="宋体" w:cs="Times New Roman"/>
                <w:b/>
                <w:bCs/>
                <w:color w:val="auto"/>
                <w:sz w:val="21"/>
                <w:szCs w:val="21"/>
                <w:highlight w:val="none"/>
                <w:lang w:val="en-US" w:eastAsia="zh-CN"/>
              </w:rPr>
              <w:t>废气</w:t>
            </w:r>
            <w:r>
              <w:rPr>
                <w:rFonts w:hint="default" w:ascii="Times New Roman" w:hAnsi="Times New Roman" w:eastAsia="宋体" w:cs="Times New Roman"/>
                <w:b/>
                <w:bCs/>
                <w:color w:val="auto"/>
                <w:sz w:val="21"/>
                <w:szCs w:val="21"/>
                <w:highlight w:val="none"/>
                <w:lang w:val="en-US" w:eastAsia="zh-CN"/>
              </w:rPr>
              <w:t>污染物</w:t>
            </w:r>
            <w:r>
              <w:rPr>
                <w:rFonts w:hint="eastAsia" w:ascii="Times New Roman" w:hAnsi="Times New Roman" w:eastAsia="宋体" w:cs="Times New Roman"/>
                <w:b/>
                <w:bCs/>
                <w:color w:val="auto"/>
                <w:sz w:val="21"/>
                <w:szCs w:val="21"/>
                <w:highlight w:val="none"/>
                <w:lang w:val="en-US" w:eastAsia="zh-CN"/>
              </w:rPr>
              <w:t>预测排放</w:t>
            </w:r>
            <w:r>
              <w:rPr>
                <w:rFonts w:hint="default" w:ascii="Times New Roman" w:hAnsi="Times New Roman" w:eastAsia="宋体" w:cs="Times New Roman"/>
                <w:b/>
                <w:bCs/>
                <w:color w:val="auto"/>
                <w:sz w:val="21"/>
                <w:szCs w:val="21"/>
                <w:highlight w:val="none"/>
                <w:lang w:val="en-US" w:eastAsia="zh-CN"/>
              </w:rPr>
              <w:t>总量核算</w:t>
            </w:r>
            <w:r>
              <w:rPr>
                <w:rFonts w:hint="eastAsia" w:ascii="Times New Roman" w:hAnsi="Times New Roman" w:eastAsia="宋体" w:cs="Times New Roman"/>
                <w:b/>
                <w:bCs/>
                <w:color w:val="auto"/>
                <w:sz w:val="21"/>
                <w:szCs w:val="21"/>
                <w:highlight w:val="none"/>
                <w:lang w:val="en-US" w:eastAsia="zh-CN"/>
              </w:rPr>
              <w:t>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9"/>
              <w:gridCol w:w="1201"/>
              <w:gridCol w:w="929"/>
              <w:gridCol w:w="1353"/>
              <w:gridCol w:w="878"/>
              <w:gridCol w:w="1082"/>
              <w:gridCol w:w="963"/>
              <w:gridCol w:w="750"/>
            </w:tblGrid>
            <w:tr w14:paraId="6ED4D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91" w:type="dxa"/>
                  <w:gridSpan w:val="2"/>
                  <w:noWrap w:val="0"/>
                  <w:vAlign w:val="center"/>
                </w:tcPr>
                <w:p w14:paraId="7D37A7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排放口</w:t>
                  </w:r>
                </w:p>
              </w:tc>
              <w:tc>
                <w:tcPr>
                  <w:tcW w:w="916" w:type="dxa"/>
                  <w:noWrap w:val="0"/>
                  <w:vAlign w:val="center"/>
                </w:tcPr>
                <w:p w14:paraId="350651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项目</w:t>
                  </w:r>
                </w:p>
              </w:tc>
              <w:tc>
                <w:tcPr>
                  <w:tcW w:w="1334" w:type="dxa"/>
                  <w:noWrap w:val="0"/>
                  <w:vAlign w:val="center"/>
                </w:tcPr>
                <w:p w14:paraId="1612F44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污染物</w:t>
                  </w:r>
                  <w:r>
                    <w:rPr>
                      <w:rFonts w:hint="eastAsia" w:ascii="Times New Roman" w:hAnsi="Times New Roman" w:eastAsia="宋体" w:cs="Times New Roman"/>
                      <w:color w:val="auto"/>
                      <w:sz w:val="21"/>
                      <w:szCs w:val="21"/>
                      <w:highlight w:val="none"/>
                      <w:lang w:val="en-US" w:eastAsia="zh-CN"/>
                    </w:rPr>
                    <w:t>排放</w:t>
                  </w:r>
                  <w:r>
                    <w:rPr>
                      <w:rFonts w:hint="default" w:ascii="Times New Roman" w:hAnsi="Times New Roman" w:eastAsia="宋体" w:cs="Times New Roman"/>
                      <w:color w:val="auto"/>
                      <w:sz w:val="21"/>
                      <w:szCs w:val="21"/>
                      <w:highlight w:val="none"/>
                    </w:rPr>
                    <w:t>浓度mg/m</w:t>
                  </w:r>
                  <w:r>
                    <w:rPr>
                      <w:rFonts w:hint="default" w:ascii="Times New Roman" w:hAnsi="Times New Roman" w:eastAsia="宋体" w:cs="Times New Roman"/>
                      <w:color w:val="auto"/>
                      <w:sz w:val="21"/>
                      <w:szCs w:val="21"/>
                      <w:highlight w:val="none"/>
                      <w:vertAlign w:val="superscript"/>
                    </w:rPr>
                    <w:t>3</w:t>
                  </w:r>
                </w:p>
              </w:tc>
              <w:tc>
                <w:tcPr>
                  <w:tcW w:w="866" w:type="dxa"/>
                  <w:noWrap w:val="0"/>
                  <w:vAlign w:val="center"/>
                </w:tcPr>
                <w:p w14:paraId="6517B87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zh-CN"/>
                    </w:rPr>
                    <w:t>废气量</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/h</w:t>
                  </w:r>
                </w:p>
              </w:tc>
              <w:tc>
                <w:tcPr>
                  <w:tcW w:w="1067" w:type="dxa"/>
                  <w:noWrap w:val="0"/>
                  <w:vAlign w:val="center"/>
                </w:tcPr>
                <w:p w14:paraId="5F234D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运行时间h/a</w:t>
                  </w:r>
                </w:p>
              </w:tc>
              <w:tc>
                <w:tcPr>
                  <w:tcW w:w="1690" w:type="dxa"/>
                  <w:gridSpan w:val="2"/>
                  <w:noWrap w:val="0"/>
                  <w:vAlign w:val="center"/>
                </w:tcPr>
                <w:p w14:paraId="2474362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污染物年排放量</w:t>
                  </w:r>
                  <w:r>
                    <w:rPr>
                      <w:rFonts w:hint="default" w:ascii="Times New Roman" w:hAnsi="Times New Roman" w:eastAsia="宋体" w:cs="Times New Roman"/>
                      <w:color w:val="auto"/>
                      <w:sz w:val="21"/>
                      <w:szCs w:val="21"/>
                      <w:highlight w:val="none"/>
                      <w:lang w:eastAsia="zh-CN"/>
                    </w:rPr>
                    <w:t>t/a</w:t>
                  </w:r>
                </w:p>
              </w:tc>
            </w:tr>
            <w:tr w14:paraId="40091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vMerge w:val="restart"/>
                  <w:noWrap w:val="0"/>
                  <w:vAlign w:val="center"/>
                </w:tcPr>
                <w:p w14:paraId="6D576A5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DA0</w:t>
                  </w:r>
                  <w:r>
                    <w:rPr>
                      <w:rFonts w:hint="eastAsia" w:cs="Times New Roman"/>
                      <w:color w:val="auto"/>
                      <w:sz w:val="21"/>
                      <w:szCs w:val="21"/>
                      <w:highlight w:val="none"/>
                      <w:lang w:val="en-US" w:eastAsia="zh-CN"/>
                    </w:rPr>
                    <w:t>28</w:t>
                  </w:r>
                </w:p>
              </w:tc>
              <w:tc>
                <w:tcPr>
                  <w:tcW w:w="1184" w:type="dxa"/>
                  <w:noWrap w:val="0"/>
                  <w:vAlign w:val="center"/>
                </w:tcPr>
                <w:p w14:paraId="476108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投料、粉碎包装废气</w:t>
                  </w:r>
                </w:p>
              </w:tc>
              <w:tc>
                <w:tcPr>
                  <w:tcW w:w="916" w:type="dxa"/>
                  <w:noWrap w:val="0"/>
                  <w:vAlign w:val="center"/>
                </w:tcPr>
                <w:p w14:paraId="24A150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颗粒物</w:t>
                  </w:r>
                </w:p>
              </w:tc>
              <w:tc>
                <w:tcPr>
                  <w:tcW w:w="1334" w:type="dxa"/>
                  <w:noWrap w:val="0"/>
                  <w:vAlign w:val="center"/>
                </w:tcPr>
                <w:p w14:paraId="37F3403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w:t>
                  </w:r>
                </w:p>
              </w:tc>
              <w:tc>
                <w:tcPr>
                  <w:tcW w:w="866" w:type="dxa"/>
                  <w:noWrap w:val="0"/>
                  <w:vAlign w:val="center"/>
                </w:tcPr>
                <w:p w14:paraId="042080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2000</w:t>
                  </w:r>
                </w:p>
              </w:tc>
              <w:tc>
                <w:tcPr>
                  <w:tcW w:w="1067" w:type="dxa"/>
                  <w:noWrap w:val="0"/>
                  <w:vAlign w:val="center"/>
                </w:tcPr>
                <w:p w14:paraId="256E70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7200</w:t>
                  </w:r>
                </w:p>
              </w:tc>
              <w:tc>
                <w:tcPr>
                  <w:tcW w:w="950" w:type="dxa"/>
                  <w:noWrap w:val="0"/>
                  <w:vAlign w:val="center"/>
                </w:tcPr>
                <w:p w14:paraId="23AD089B">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0.144</w:t>
                  </w:r>
                </w:p>
              </w:tc>
              <w:tc>
                <w:tcPr>
                  <w:tcW w:w="740" w:type="dxa"/>
                  <w:vMerge w:val="restart"/>
                  <w:noWrap w:val="0"/>
                  <w:vAlign w:val="center"/>
                </w:tcPr>
                <w:p w14:paraId="157D2791">
                  <w:pPr>
                    <w:keepNext w:val="0"/>
                    <w:keepLines w:val="0"/>
                    <w:widowControl/>
                    <w:suppressLineNumbers w:val="0"/>
                    <w:jc w:val="center"/>
                    <w:textAlignment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1.388</w:t>
                  </w:r>
                </w:p>
              </w:tc>
            </w:tr>
            <w:tr w14:paraId="00267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7" w:type="dxa"/>
                  <w:vMerge w:val="continue"/>
                  <w:noWrap w:val="0"/>
                  <w:vAlign w:val="center"/>
                </w:tcPr>
                <w:p w14:paraId="034F56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p>
              </w:tc>
              <w:tc>
                <w:tcPr>
                  <w:tcW w:w="1184" w:type="dxa"/>
                  <w:noWrap w:val="0"/>
                  <w:vAlign w:val="center"/>
                </w:tcPr>
                <w:p w14:paraId="376D39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喷雾干燥废气</w:t>
                  </w:r>
                </w:p>
              </w:tc>
              <w:tc>
                <w:tcPr>
                  <w:tcW w:w="916" w:type="dxa"/>
                  <w:noWrap w:val="0"/>
                  <w:vAlign w:val="center"/>
                </w:tcPr>
                <w:p w14:paraId="1F59A7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颗粒物</w:t>
                  </w:r>
                </w:p>
              </w:tc>
              <w:tc>
                <w:tcPr>
                  <w:tcW w:w="1334" w:type="dxa"/>
                  <w:noWrap w:val="0"/>
                  <w:vAlign w:val="center"/>
                </w:tcPr>
                <w:p w14:paraId="5322C90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19.2</w:t>
                  </w:r>
                </w:p>
              </w:tc>
              <w:tc>
                <w:tcPr>
                  <w:tcW w:w="866" w:type="dxa"/>
                  <w:noWrap w:val="0"/>
                  <w:vAlign w:val="center"/>
                </w:tcPr>
                <w:p w14:paraId="2F045B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9000</w:t>
                  </w:r>
                </w:p>
              </w:tc>
              <w:tc>
                <w:tcPr>
                  <w:tcW w:w="1067" w:type="dxa"/>
                  <w:noWrap w:val="0"/>
                  <w:vAlign w:val="center"/>
                </w:tcPr>
                <w:p w14:paraId="0DB7988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7200</w:t>
                  </w:r>
                </w:p>
              </w:tc>
              <w:tc>
                <w:tcPr>
                  <w:tcW w:w="950" w:type="dxa"/>
                  <w:noWrap w:val="0"/>
                  <w:vAlign w:val="center"/>
                </w:tcPr>
                <w:p w14:paraId="3B898448">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1.244</w:t>
                  </w:r>
                </w:p>
              </w:tc>
              <w:tc>
                <w:tcPr>
                  <w:tcW w:w="740" w:type="dxa"/>
                  <w:vMerge w:val="continue"/>
                  <w:noWrap w:val="0"/>
                  <w:vAlign w:val="center"/>
                </w:tcPr>
                <w:p w14:paraId="372F4721">
                  <w:pPr>
                    <w:keepNext w:val="0"/>
                    <w:keepLines w:val="0"/>
                    <w:widowControl/>
                    <w:suppressLineNumbers w:val="0"/>
                    <w:jc w:val="center"/>
                    <w:textAlignment w:val="center"/>
                    <w:rPr>
                      <w:rFonts w:hint="default" w:ascii="Times New Roman" w:hAnsi="Times New Roman" w:eastAsia="宋体" w:cs="Times New Roman"/>
                      <w:color w:val="auto"/>
                      <w:kern w:val="2"/>
                      <w:sz w:val="21"/>
                      <w:szCs w:val="21"/>
                      <w:highlight w:val="none"/>
                      <w:lang w:val="en-US" w:eastAsia="zh-CN" w:bidi="ar-SA"/>
                    </w:rPr>
                  </w:pPr>
                </w:p>
              </w:tc>
            </w:tr>
            <w:tr w14:paraId="3DAD8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91" w:type="dxa"/>
                  <w:gridSpan w:val="2"/>
                  <w:noWrap w:val="0"/>
                  <w:vAlign w:val="center"/>
                </w:tcPr>
                <w:p w14:paraId="562358B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核算公式</w:t>
                  </w:r>
                </w:p>
              </w:tc>
              <w:tc>
                <w:tcPr>
                  <w:tcW w:w="5873" w:type="dxa"/>
                  <w:gridSpan w:val="6"/>
                  <w:noWrap w:val="0"/>
                  <w:vAlign w:val="center"/>
                </w:tcPr>
                <w:p w14:paraId="57CC78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污染物排放量（t/a）=污染物</w:t>
                  </w:r>
                  <w:r>
                    <w:rPr>
                      <w:rFonts w:hint="eastAsia" w:ascii="Times New Roman" w:hAnsi="Times New Roman" w:eastAsia="宋体" w:cs="Times New Roman"/>
                      <w:color w:val="auto"/>
                      <w:sz w:val="21"/>
                      <w:szCs w:val="21"/>
                      <w:highlight w:val="none"/>
                      <w:lang w:val="en-US" w:eastAsia="zh-CN"/>
                    </w:rPr>
                    <w:t>排放</w:t>
                  </w:r>
                  <w:r>
                    <w:rPr>
                      <w:rFonts w:hint="default" w:ascii="Times New Roman" w:hAnsi="Times New Roman" w:eastAsia="宋体" w:cs="Times New Roman"/>
                      <w:color w:val="auto"/>
                      <w:sz w:val="21"/>
                      <w:szCs w:val="21"/>
                      <w:highlight w:val="none"/>
                    </w:rPr>
                    <w:t>浓度（mg/m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zh-CN"/>
                    </w:rPr>
                    <w:t>废气量</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/h）×生产时间（h/a）/10</w:t>
                  </w:r>
                  <w:r>
                    <w:rPr>
                      <w:rFonts w:hint="default" w:ascii="Times New Roman" w:hAnsi="Times New Roman" w:eastAsia="宋体" w:cs="Times New Roman"/>
                      <w:color w:val="auto"/>
                      <w:sz w:val="21"/>
                      <w:szCs w:val="21"/>
                      <w:highlight w:val="none"/>
                      <w:vertAlign w:val="superscript"/>
                    </w:rPr>
                    <w:t>9</w:t>
                  </w:r>
                </w:p>
              </w:tc>
            </w:tr>
            <w:tr w14:paraId="53713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91" w:type="dxa"/>
                  <w:gridSpan w:val="2"/>
                  <w:noWrap w:val="0"/>
                  <w:vAlign w:val="center"/>
                </w:tcPr>
                <w:p w14:paraId="11B7B5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核算结果</w:t>
                  </w:r>
                </w:p>
              </w:tc>
              <w:tc>
                <w:tcPr>
                  <w:tcW w:w="5873" w:type="dxa"/>
                  <w:gridSpan w:val="6"/>
                  <w:noWrap w:val="0"/>
                  <w:vAlign w:val="center"/>
                </w:tcPr>
                <w:p w14:paraId="45C164B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由公式核算可知，</w:t>
                  </w:r>
                  <w:r>
                    <w:rPr>
                      <w:rFonts w:hint="eastAsia" w:ascii="Times New Roman" w:hAnsi="Times New Roman" w:eastAsia="宋体" w:cs="Times New Roman"/>
                      <w:color w:val="auto"/>
                      <w:sz w:val="21"/>
                      <w:szCs w:val="21"/>
                      <w:highlight w:val="none"/>
                      <w:lang w:val="en-US" w:eastAsia="zh-CN"/>
                    </w:rPr>
                    <w:t>本</w:t>
                  </w:r>
                  <w:r>
                    <w:rPr>
                      <w:rFonts w:hint="default" w:ascii="Times New Roman" w:hAnsi="Times New Roman" w:eastAsia="宋体" w:cs="Times New Roman"/>
                      <w:color w:val="auto"/>
                      <w:sz w:val="21"/>
                      <w:szCs w:val="21"/>
                      <w:highlight w:val="none"/>
                    </w:rPr>
                    <w:t>项目特征污染物年排放量为：</w:t>
                  </w:r>
                  <w:r>
                    <w:rPr>
                      <w:rFonts w:hint="eastAsia" w:ascii="Times New Roman" w:hAnsi="Times New Roman" w:eastAsia="宋体" w:cs="Times New Roman"/>
                      <w:color w:val="auto"/>
                      <w:sz w:val="21"/>
                      <w:szCs w:val="21"/>
                      <w:highlight w:val="none"/>
                      <w:lang w:val="en-US" w:eastAsia="zh-CN"/>
                    </w:rPr>
                    <w:t>颗粒物：1.388</w:t>
                  </w:r>
                  <w:r>
                    <w:rPr>
                      <w:rFonts w:hint="default" w:ascii="Times New Roman" w:hAnsi="Times New Roman" w:eastAsia="宋体" w:cs="Times New Roman"/>
                      <w:color w:val="auto"/>
                      <w:sz w:val="21"/>
                      <w:szCs w:val="21"/>
                      <w:highlight w:val="none"/>
                    </w:rPr>
                    <w:t>t/a</w:t>
                  </w:r>
                  <w:r>
                    <w:rPr>
                      <w:rFonts w:hint="eastAsia" w:ascii="Times New Roman" w:hAnsi="Times New Roman" w:eastAsia="宋体" w:cs="Times New Roman"/>
                      <w:color w:val="auto"/>
                      <w:sz w:val="21"/>
                      <w:szCs w:val="21"/>
                      <w:highlight w:val="none"/>
                      <w:lang w:eastAsia="zh-CN"/>
                    </w:rPr>
                    <w:t>。</w:t>
                  </w:r>
                </w:p>
              </w:tc>
            </w:tr>
          </w:tbl>
          <w:p w14:paraId="1841C64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本项目扩能改造完成后，甘氨酸螯合物一车间淘汰现有废气排气筒，新增排气筒，排气筒编号仍为DA028，投料、粉碎包装废气布袋除尘器</w:t>
            </w:r>
            <w:r>
              <w:rPr>
                <w:rFonts w:hint="default" w:ascii="Times New Roman" w:hAnsi="Times New Roman" w:eastAsia="宋体" w:cs="Times New Roman"/>
                <w:color w:val="auto"/>
                <w:sz w:val="21"/>
                <w:szCs w:val="21"/>
                <w:highlight w:val="none"/>
                <w:lang w:val="en-US" w:eastAsia="zh-CN"/>
              </w:rPr>
              <w:t>风量</w:t>
            </w:r>
            <w:r>
              <w:rPr>
                <w:rFonts w:hint="eastAsia" w:cs="Times New Roman"/>
                <w:color w:val="auto"/>
                <w:sz w:val="21"/>
                <w:szCs w:val="21"/>
                <w:highlight w:val="none"/>
                <w:lang w:val="en-US" w:eastAsia="zh-CN"/>
              </w:rPr>
              <w:t>2000</w:t>
            </w:r>
            <w:bookmarkStart w:id="35" w:name="OLE_LINK18"/>
            <w:r>
              <w:rPr>
                <w:rFonts w:hint="default" w:ascii="Times New Roman" w:hAnsi="Times New Roman" w:eastAsia="宋体" w:cs="Times New Roman"/>
                <w:color w:val="auto"/>
                <w:spacing w:val="0"/>
                <w:w w:val="100"/>
                <w:position w:val="0"/>
                <w:sz w:val="21"/>
                <w:szCs w:val="21"/>
                <w:highlight w:val="none"/>
                <w:lang w:val="en-US" w:eastAsia="zh-CN"/>
              </w:rPr>
              <w:t>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/h</w:t>
            </w:r>
            <w:r>
              <w:rPr>
                <w:rFonts w:hint="default" w:ascii="Times New Roman" w:hAnsi="Times New Roman" w:eastAsia="宋体" w:cs="Times New Roman"/>
                <w:color w:val="auto"/>
                <w:sz w:val="21"/>
                <w:szCs w:val="21"/>
                <w:highlight w:val="none"/>
                <w:lang w:val="en-US" w:eastAsia="zh-CN"/>
              </w:rPr>
              <w:t>，</w:t>
            </w:r>
            <w:bookmarkEnd w:id="35"/>
            <w:r>
              <w:rPr>
                <w:rFonts w:hint="eastAsia" w:cs="Times New Roman"/>
                <w:color w:val="auto"/>
                <w:sz w:val="21"/>
                <w:szCs w:val="21"/>
                <w:highlight w:val="none"/>
                <w:lang w:val="en-US" w:eastAsia="zh-CN"/>
              </w:rPr>
              <w:t>喷雾干燥废气风机风量为9000</w:t>
            </w:r>
            <w:r>
              <w:rPr>
                <w:rFonts w:hint="default" w:ascii="Times New Roman" w:hAnsi="Times New Roman" w:eastAsia="宋体" w:cs="Times New Roman"/>
                <w:color w:val="auto"/>
                <w:spacing w:val="0"/>
                <w:w w:val="100"/>
                <w:position w:val="0"/>
                <w:sz w:val="21"/>
                <w:szCs w:val="21"/>
                <w:highlight w:val="none"/>
                <w:lang w:val="en-US" w:eastAsia="zh-CN"/>
              </w:rPr>
              <w:t>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/h</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投料、粉碎包装废气经布袋除尘器处理达标后和喷雾干燥废气分别经水喷淋+酸喷淋处理达标后合并进入排气筒DA028排放，</w:t>
            </w:r>
            <w:r>
              <w:rPr>
                <w:rFonts w:hint="default" w:ascii="Times New Roman" w:hAnsi="Times New Roman" w:eastAsia="宋体" w:cs="Times New Roman"/>
                <w:color w:val="auto"/>
                <w:sz w:val="21"/>
                <w:szCs w:val="21"/>
                <w:highlight w:val="none"/>
                <w:lang w:val="en-US" w:eastAsia="zh-CN"/>
              </w:rPr>
              <w:t>年工作7200h</w:t>
            </w:r>
            <w:r>
              <w:rPr>
                <w:rFonts w:hint="eastAsia"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现有工程甘氨酸螯合物一车间废气颗粒物总量控制指标按风量2500</w:t>
            </w:r>
            <w:r>
              <w:rPr>
                <w:rFonts w:hint="default" w:ascii="Times New Roman" w:hAnsi="Times New Roman" w:eastAsia="宋体" w:cs="Times New Roman"/>
                <w:color w:val="auto"/>
                <w:spacing w:val="0"/>
                <w:w w:val="100"/>
                <w:position w:val="0"/>
                <w:sz w:val="21"/>
                <w:szCs w:val="21"/>
                <w:highlight w:val="none"/>
                <w:lang w:val="en-US" w:eastAsia="zh-CN"/>
              </w:rPr>
              <w:t>m</w:t>
            </w:r>
            <w:r>
              <w:rPr>
                <w:rFonts w:hint="default" w:ascii="Times New Roman" w:hAnsi="Times New Roman" w:eastAsia="宋体" w:cs="Times New Roman"/>
                <w:color w:val="auto"/>
                <w:spacing w:val="0"/>
                <w:w w:val="100"/>
                <w:position w:val="0"/>
                <w:sz w:val="21"/>
                <w:szCs w:val="21"/>
                <w:highlight w:val="none"/>
                <w:vertAlign w:val="superscript"/>
                <w:lang w:val="en-US" w:eastAsia="zh-CN"/>
              </w:rPr>
              <w:t>3</w:t>
            </w:r>
            <w:r>
              <w:rPr>
                <w:rFonts w:hint="default" w:ascii="Times New Roman" w:hAnsi="Times New Roman" w:eastAsia="宋体" w:cs="Times New Roman"/>
                <w:color w:val="auto"/>
                <w:spacing w:val="0"/>
                <w:w w:val="100"/>
                <w:position w:val="0"/>
                <w:sz w:val="21"/>
                <w:szCs w:val="21"/>
                <w:highlight w:val="none"/>
                <w:lang w:val="en-US" w:eastAsia="zh-CN"/>
              </w:rPr>
              <w:t>/h</w:t>
            </w:r>
            <w:r>
              <w:rPr>
                <w:rFonts w:hint="eastAsia" w:ascii="Times New Roman" w:hAnsi="Times New Roman" w:cs="Times New Roman"/>
                <w:color w:val="auto"/>
                <w:spacing w:val="0"/>
                <w:w w:val="100"/>
                <w:position w:val="0"/>
                <w:sz w:val="21"/>
                <w:szCs w:val="21"/>
                <w:highlight w:val="none"/>
                <w:lang w:val="en-US" w:eastAsia="zh-CN"/>
              </w:rPr>
              <w:t>，</w:t>
            </w:r>
            <w:r>
              <w:rPr>
                <w:rFonts w:hint="eastAsia" w:cs="Times New Roman"/>
                <w:color w:val="auto"/>
                <w:sz w:val="21"/>
                <w:szCs w:val="21"/>
                <w:highlight w:val="none"/>
                <w:lang w:val="en-US" w:eastAsia="zh-CN"/>
              </w:rPr>
              <w:t>颗粒物的排放浓度120mg/m</w:t>
            </w:r>
            <w:r>
              <w:rPr>
                <w:rFonts w:hint="eastAsia" w:cs="Times New Roman"/>
                <w:color w:val="auto"/>
                <w:sz w:val="21"/>
                <w:szCs w:val="21"/>
                <w:highlight w:val="none"/>
                <w:vertAlign w:val="superscript"/>
                <w:lang w:val="en-US" w:eastAsia="zh-CN"/>
              </w:rPr>
              <w:t>3</w:t>
            </w:r>
            <w:r>
              <w:rPr>
                <w:rFonts w:hint="eastAsia" w:cs="Times New Roman"/>
                <w:color w:val="auto"/>
                <w:sz w:val="21"/>
                <w:szCs w:val="21"/>
                <w:highlight w:val="none"/>
                <w:lang w:val="en-US" w:eastAsia="zh-CN"/>
              </w:rPr>
              <w:t>计算，排放量为2.160t/a；本项目扩能改后完成后风量增加，甘氨酸螯合物一车间废气中颗粒物总量控制指标按颗粒物的预测浓度计算，排放量为1.388t/a。</w:t>
            </w:r>
          </w:p>
          <w:p w14:paraId="3A29B0E6">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综上，</w:t>
            </w:r>
            <w:r>
              <w:rPr>
                <w:rFonts w:hint="default" w:ascii="Times New Roman" w:hAnsi="Times New Roman" w:eastAsia="宋体" w:cs="Times New Roman"/>
                <w:color w:val="auto"/>
                <w:sz w:val="21"/>
                <w:szCs w:val="21"/>
                <w:highlight w:val="none"/>
                <w:lang w:val="en-US" w:eastAsia="zh-CN"/>
              </w:rPr>
              <w:t>项目废气污染物总量控制指标为：SO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t/a、NOx：</w:t>
            </w:r>
            <w:r>
              <w:rPr>
                <w:rFonts w:hint="eastAsia" w:ascii="Times New Roman" w:hAnsi="Times New Roman"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t/a、</w:t>
            </w:r>
            <w:r>
              <w:rPr>
                <w:rFonts w:hint="eastAsia" w:ascii="Times New Roman" w:hAnsi="Times New Roman" w:eastAsia="宋体" w:cs="Times New Roman"/>
                <w:color w:val="auto"/>
                <w:sz w:val="21"/>
                <w:szCs w:val="21"/>
                <w:highlight w:val="none"/>
                <w:lang w:val="en-US" w:eastAsia="zh-CN"/>
              </w:rPr>
              <w:t>颗粒物</w:t>
            </w:r>
            <w:r>
              <w:rPr>
                <w:rFonts w:hint="eastAsia" w:ascii="Times New Roman" w:hAnsi="Times New Roman" w:cs="Times New Roman"/>
                <w:color w:val="auto"/>
                <w:sz w:val="21"/>
                <w:szCs w:val="21"/>
                <w:highlight w:val="none"/>
                <w:lang w:val="en-US" w:eastAsia="zh-CN"/>
              </w:rPr>
              <w:t>1.388</w:t>
            </w:r>
            <w:r>
              <w:rPr>
                <w:rFonts w:hint="eastAsia" w:ascii="Times New Roman" w:hAnsi="Times New Roman" w:eastAsia="宋体" w:cs="Times New Roman"/>
                <w:color w:val="auto"/>
                <w:sz w:val="21"/>
                <w:szCs w:val="21"/>
                <w:highlight w:val="none"/>
                <w:lang w:val="en-US" w:eastAsia="zh-CN"/>
              </w:rPr>
              <w:t>t/a</w:t>
            </w:r>
            <w:r>
              <w:rPr>
                <w:rFonts w:hint="default" w:ascii="Times New Roman" w:hAnsi="Times New Roman" w:eastAsia="宋体" w:cs="Times New Roman"/>
                <w:color w:val="auto"/>
                <w:sz w:val="21"/>
                <w:szCs w:val="21"/>
                <w:highlight w:val="none"/>
                <w:lang w:val="en-US" w:eastAsia="zh-CN"/>
              </w:rPr>
              <w:t>。</w:t>
            </w:r>
          </w:p>
          <w:p w14:paraId="4CE30181">
            <w:pPr>
              <w:pStyle w:val="41"/>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200"/>
              <w:textAlignment w:val="auto"/>
              <w:rPr>
                <w:rFonts w:hint="eastAsia" w:ascii="Times New Roman" w:hAnsi="Times New Roman"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3、总量控制指标</w:t>
            </w:r>
          </w:p>
          <w:p w14:paraId="6D519899">
            <w:pPr>
              <w:pStyle w:val="41"/>
              <w:keepNext w:val="0"/>
              <w:keepLines w:val="0"/>
              <w:pageBreakBefore w:val="0"/>
              <w:widowControl w:val="0"/>
              <w:kinsoku/>
              <w:wordWrap/>
              <w:overflowPunct/>
              <w:topLinePunct w:val="0"/>
              <w:autoSpaceDE/>
              <w:autoSpaceDN/>
              <w:bidi w:val="0"/>
              <w:adjustRightInd/>
              <w:snapToGrid/>
              <w:spacing w:line="360" w:lineRule="auto"/>
              <w:ind w:firstLine="422" w:firstLineChars="200"/>
              <w:jc w:val="center"/>
              <w:textAlignment w:val="auto"/>
              <w:rPr>
                <w:rFonts w:hint="default" w:ascii="Times New Roman" w:hAnsi="Times New Roman" w:eastAsia="宋体" w:cs="Times New Roman"/>
                <w:color w:val="auto"/>
                <w:sz w:val="21"/>
                <w:szCs w:val="21"/>
                <w:highlight w:val="none"/>
                <w:lang w:val="en-US" w:eastAsia="zh-CN"/>
              </w:rPr>
            </w:pPr>
            <w:r>
              <w:rPr>
                <w:rFonts w:ascii="Times New Roman" w:hAnsi="Times New Roman" w:eastAsia="宋体" w:cs="Times New Roman"/>
                <w:b/>
                <w:bCs/>
                <w:color w:val="auto"/>
                <w:kern w:val="2"/>
                <w:sz w:val="21"/>
                <w:szCs w:val="21"/>
                <w:highlight w:val="none"/>
                <w:lang w:val="en-US" w:eastAsia="zh-CN" w:bidi="ar-SA"/>
              </w:rPr>
              <w:t>表</w:t>
            </w:r>
            <w:r>
              <w:rPr>
                <w:rFonts w:hint="eastAsia" w:ascii="Times New Roman" w:hAnsi="Times New Roman" w:eastAsia="宋体" w:cs="Times New Roman"/>
                <w:b/>
                <w:bCs/>
                <w:color w:val="auto"/>
                <w:kern w:val="2"/>
                <w:sz w:val="21"/>
                <w:szCs w:val="21"/>
                <w:highlight w:val="none"/>
                <w:lang w:val="en-US" w:eastAsia="zh-CN" w:bidi="ar-SA"/>
              </w:rPr>
              <w:t xml:space="preserve"> </w:t>
            </w:r>
            <w:r>
              <w:rPr>
                <w:rFonts w:hint="default" w:ascii="Times New Roman" w:hAnsi="Times New Roman" w:eastAsia="宋体" w:cs="Times New Roman"/>
                <w:b/>
                <w:bCs/>
                <w:color w:val="auto"/>
                <w:kern w:val="2"/>
                <w:sz w:val="21"/>
                <w:szCs w:val="21"/>
                <w:highlight w:val="none"/>
                <w:lang w:val="en-US" w:eastAsia="zh-CN" w:bidi="ar-SA"/>
              </w:rPr>
              <w:t>3-</w:t>
            </w:r>
            <w:r>
              <w:rPr>
                <w:rFonts w:hint="eastAsia" w:ascii="Times New Roman" w:hAnsi="Times New Roman" w:cs="Times New Roman"/>
                <w:b/>
                <w:bCs/>
                <w:color w:val="auto"/>
                <w:kern w:val="2"/>
                <w:sz w:val="21"/>
                <w:szCs w:val="21"/>
                <w:highlight w:val="none"/>
                <w:lang w:val="en-US" w:eastAsia="zh-CN" w:bidi="ar-SA"/>
              </w:rPr>
              <w:t>12 项目建成后总体工程总量控制指标 一览表 单位：t/a</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62"/>
              <w:gridCol w:w="746"/>
              <w:gridCol w:w="1552"/>
              <w:gridCol w:w="1324"/>
              <w:gridCol w:w="1324"/>
              <w:gridCol w:w="1431"/>
              <w:gridCol w:w="1433"/>
            </w:tblGrid>
            <w:tr w14:paraId="06E5D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24" w:type="pct"/>
                  <w:gridSpan w:val="2"/>
                  <w:vAlign w:val="center"/>
                </w:tcPr>
                <w:p w14:paraId="5F2C7A6D">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项目</w:t>
                  </w:r>
                </w:p>
              </w:tc>
              <w:tc>
                <w:tcPr>
                  <w:tcW w:w="961" w:type="pct"/>
                  <w:vAlign w:val="center"/>
                </w:tcPr>
                <w:p w14:paraId="05B426F7">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lang w:val="en-US" w:eastAsia="zh-CN"/>
                    </w:rPr>
                    <w:t>全厂现有环评批复</w:t>
                  </w:r>
                  <w:r>
                    <w:rPr>
                      <w:rFonts w:hint="default" w:ascii="Times New Roman" w:hAnsi="Times New Roman" w:eastAsia="宋体" w:cs="Times New Roman"/>
                      <w:b w:val="0"/>
                      <w:bCs w:val="0"/>
                      <w:color w:val="auto"/>
                      <w:spacing w:val="0"/>
                      <w:w w:val="100"/>
                      <w:position w:val="0"/>
                      <w:sz w:val="21"/>
                      <w:szCs w:val="21"/>
                      <w:highlight w:val="none"/>
                    </w:rPr>
                    <w:t>总量控制指标（t/a）</w:t>
                  </w:r>
                </w:p>
              </w:tc>
              <w:tc>
                <w:tcPr>
                  <w:tcW w:w="820" w:type="pct"/>
                  <w:vAlign w:val="center"/>
                </w:tcPr>
                <w:p w14:paraId="225F97D7">
                  <w:pPr>
                    <w:keepNext w:val="0"/>
                    <w:keepLines w:val="0"/>
                    <w:widowControl/>
                    <w:suppressLineNumbers w:val="0"/>
                    <w:shd w:val="clear"/>
                    <w:tabs>
                      <w:tab w:val="left" w:pos="460"/>
                    </w:tabs>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eastAsia" w:cs="Times New Roman"/>
                      <w:b w:val="0"/>
                      <w:bCs w:val="0"/>
                      <w:color w:val="auto"/>
                      <w:spacing w:val="0"/>
                      <w:w w:val="100"/>
                      <w:position w:val="0"/>
                      <w:sz w:val="21"/>
                      <w:szCs w:val="21"/>
                      <w:highlight w:val="none"/>
                      <w:lang w:val="en-US" w:eastAsia="zh-CN"/>
                    </w:rPr>
                    <w:t>以新代老削减量</w:t>
                  </w:r>
                  <w:r>
                    <w:rPr>
                      <w:rFonts w:hint="default" w:ascii="Times New Roman" w:hAnsi="Times New Roman" w:eastAsia="宋体" w:cs="Times New Roman"/>
                      <w:b w:val="0"/>
                      <w:bCs w:val="0"/>
                      <w:color w:val="auto"/>
                      <w:spacing w:val="0"/>
                      <w:w w:val="100"/>
                      <w:position w:val="0"/>
                      <w:sz w:val="21"/>
                      <w:szCs w:val="21"/>
                      <w:highlight w:val="none"/>
                    </w:rPr>
                    <w:t>（t/a</w:t>
                  </w:r>
                  <w:r>
                    <w:rPr>
                      <w:rFonts w:hint="eastAsia" w:cs="Times New Roman"/>
                      <w:b w:val="0"/>
                      <w:bCs w:val="0"/>
                      <w:color w:val="auto"/>
                      <w:spacing w:val="0"/>
                      <w:w w:val="100"/>
                      <w:position w:val="0"/>
                      <w:sz w:val="21"/>
                      <w:szCs w:val="21"/>
                      <w:highlight w:val="none"/>
                      <w:lang w:val="en-US" w:eastAsia="zh-CN"/>
                    </w:rPr>
                    <w:t>）</w:t>
                  </w:r>
                </w:p>
              </w:tc>
              <w:tc>
                <w:tcPr>
                  <w:tcW w:w="820" w:type="pct"/>
                  <w:vAlign w:val="center"/>
                </w:tcPr>
                <w:p w14:paraId="26CB8A92">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lang w:val="en-US" w:eastAsia="zh-CN"/>
                    </w:rPr>
                    <w:t>本项目</w:t>
                  </w:r>
                  <w:r>
                    <w:rPr>
                      <w:rFonts w:hint="default" w:ascii="Times New Roman" w:hAnsi="Times New Roman" w:eastAsia="宋体" w:cs="Times New Roman"/>
                      <w:b w:val="0"/>
                      <w:bCs w:val="0"/>
                      <w:color w:val="auto"/>
                      <w:spacing w:val="0"/>
                      <w:w w:val="100"/>
                      <w:position w:val="0"/>
                      <w:sz w:val="21"/>
                      <w:szCs w:val="21"/>
                      <w:highlight w:val="none"/>
                    </w:rPr>
                    <w:t>总量控制指标（t/a）</w:t>
                  </w:r>
                </w:p>
              </w:tc>
              <w:tc>
                <w:tcPr>
                  <w:tcW w:w="886" w:type="pct"/>
                  <w:vAlign w:val="center"/>
                </w:tcPr>
                <w:p w14:paraId="629CF29E">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lang w:val="en-US" w:eastAsia="zh-CN"/>
                    </w:rPr>
                    <w:t>项目建成后</w:t>
                  </w:r>
                  <w:r>
                    <w:rPr>
                      <w:rFonts w:hint="default" w:ascii="Times New Roman" w:hAnsi="Times New Roman" w:eastAsia="宋体" w:cs="Times New Roman"/>
                      <w:b w:val="0"/>
                      <w:bCs w:val="0"/>
                      <w:color w:val="auto"/>
                      <w:spacing w:val="0"/>
                      <w:w w:val="100"/>
                      <w:position w:val="0"/>
                      <w:sz w:val="21"/>
                      <w:szCs w:val="21"/>
                      <w:highlight w:val="none"/>
                    </w:rPr>
                    <w:t>全厂总量（t/a）</w:t>
                  </w:r>
                </w:p>
              </w:tc>
              <w:tc>
                <w:tcPr>
                  <w:tcW w:w="887" w:type="pct"/>
                  <w:vAlign w:val="center"/>
                </w:tcPr>
                <w:p w14:paraId="77BA7F0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rPr>
                    <w:t>本项目</w:t>
                  </w:r>
                  <w:r>
                    <w:rPr>
                      <w:rFonts w:hint="default" w:ascii="Times New Roman" w:hAnsi="Times New Roman" w:eastAsia="宋体" w:cs="Times New Roman"/>
                      <w:b w:val="0"/>
                      <w:bCs w:val="0"/>
                      <w:color w:val="auto"/>
                      <w:spacing w:val="0"/>
                      <w:w w:val="100"/>
                      <w:position w:val="0"/>
                      <w:sz w:val="21"/>
                      <w:szCs w:val="21"/>
                      <w:highlight w:val="none"/>
                      <w:lang w:val="en-US" w:eastAsia="zh-CN"/>
                    </w:rPr>
                    <w:t>新增</w:t>
                  </w:r>
                  <w:r>
                    <w:rPr>
                      <w:rFonts w:hint="default" w:ascii="Times New Roman" w:hAnsi="Times New Roman" w:eastAsia="宋体" w:cs="Times New Roman"/>
                      <w:b w:val="0"/>
                      <w:bCs w:val="0"/>
                      <w:color w:val="auto"/>
                      <w:spacing w:val="0"/>
                      <w:w w:val="100"/>
                      <w:position w:val="0"/>
                      <w:sz w:val="21"/>
                      <w:szCs w:val="21"/>
                      <w:highlight w:val="none"/>
                    </w:rPr>
                    <w:t>总量控制指标（t/a）</w:t>
                  </w:r>
                </w:p>
              </w:tc>
            </w:tr>
            <w:tr w14:paraId="7709C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restart"/>
                  <w:vAlign w:val="center"/>
                </w:tcPr>
                <w:p w14:paraId="2EB38F4C">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废气</w:t>
                  </w:r>
                </w:p>
              </w:tc>
              <w:tc>
                <w:tcPr>
                  <w:tcW w:w="461" w:type="pct"/>
                  <w:vAlign w:val="center"/>
                </w:tcPr>
                <w:p w14:paraId="70F48AD2">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SO</w:t>
                  </w:r>
                  <w:r>
                    <w:rPr>
                      <w:rFonts w:hint="default" w:ascii="Times New Roman" w:hAnsi="Times New Roman" w:eastAsia="宋体" w:cs="Times New Roman"/>
                      <w:b w:val="0"/>
                      <w:bCs w:val="0"/>
                      <w:color w:val="auto"/>
                      <w:spacing w:val="0"/>
                      <w:w w:val="100"/>
                      <w:position w:val="0"/>
                      <w:sz w:val="21"/>
                      <w:szCs w:val="21"/>
                      <w:highlight w:val="none"/>
                      <w:vertAlign w:val="subscript"/>
                    </w:rPr>
                    <w:t>2</w:t>
                  </w:r>
                </w:p>
              </w:tc>
              <w:tc>
                <w:tcPr>
                  <w:tcW w:w="961" w:type="pct"/>
                  <w:vAlign w:val="center"/>
                </w:tcPr>
                <w:p w14:paraId="377BBAEF">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5.940</w:t>
                  </w:r>
                </w:p>
              </w:tc>
              <w:tc>
                <w:tcPr>
                  <w:tcW w:w="820" w:type="pct"/>
                  <w:shd w:val="clear" w:color="auto" w:fill="auto"/>
                  <w:vAlign w:val="center"/>
                </w:tcPr>
                <w:p w14:paraId="1E005F82">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20" w:type="pct"/>
                  <w:shd w:val="clear" w:color="auto" w:fill="auto"/>
                  <w:vAlign w:val="center"/>
                </w:tcPr>
                <w:p w14:paraId="09B43EF8">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86" w:type="pct"/>
                  <w:vAlign w:val="center"/>
                </w:tcPr>
                <w:p w14:paraId="763193E5">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5.94</w:t>
                  </w:r>
                </w:p>
              </w:tc>
              <w:tc>
                <w:tcPr>
                  <w:tcW w:w="887" w:type="pct"/>
                  <w:vAlign w:val="center"/>
                </w:tcPr>
                <w:p w14:paraId="77C9C92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r>
            <w:tr w14:paraId="7CC03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continue"/>
                  <w:vAlign w:val="center"/>
                </w:tcPr>
                <w:p w14:paraId="090C96CE">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p>
              </w:tc>
              <w:tc>
                <w:tcPr>
                  <w:tcW w:w="461" w:type="pct"/>
                  <w:vAlign w:val="center"/>
                </w:tcPr>
                <w:p w14:paraId="058FB1D0">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NOx</w:t>
                  </w:r>
                </w:p>
              </w:tc>
              <w:tc>
                <w:tcPr>
                  <w:tcW w:w="961" w:type="pct"/>
                  <w:vAlign w:val="center"/>
                </w:tcPr>
                <w:p w14:paraId="44A58DE6">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20" w:type="pct"/>
                  <w:shd w:val="clear" w:color="auto" w:fill="auto"/>
                  <w:vAlign w:val="center"/>
                </w:tcPr>
                <w:p w14:paraId="5C30DEEF">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20" w:type="pct"/>
                  <w:shd w:val="clear" w:color="auto" w:fill="auto"/>
                  <w:vAlign w:val="center"/>
                </w:tcPr>
                <w:p w14:paraId="6D48CCE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86" w:type="pct"/>
                  <w:vAlign w:val="center"/>
                </w:tcPr>
                <w:p w14:paraId="517CF967">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87" w:type="pct"/>
                  <w:vAlign w:val="center"/>
                </w:tcPr>
                <w:p w14:paraId="336D1C47">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r>
            <w:tr w14:paraId="0360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continue"/>
                  <w:vAlign w:val="center"/>
                </w:tcPr>
                <w:p w14:paraId="7559A96A">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p>
              </w:tc>
              <w:tc>
                <w:tcPr>
                  <w:tcW w:w="461" w:type="pct"/>
                  <w:vAlign w:val="center"/>
                </w:tcPr>
                <w:p w14:paraId="42660AEE">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VOCs</w:t>
                  </w:r>
                </w:p>
              </w:tc>
              <w:tc>
                <w:tcPr>
                  <w:tcW w:w="961" w:type="pct"/>
                  <w:vAlign w:val="center"/>
                </w:tcPr>
                <w:p w14:paraId="5117DE94">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122.950</w:t>
                  </w:r>
                </w:p>
              </w:tc>
              <w:tc>
                <w:tcPr>
                  <w:tcW w:w="820" w:type="pct"/>
                  <w:shd w:val="clear" w:color="auto" w:fill="auto"/>
                  <w:vAlign w:val="center"/>
                </w:tcPr>
                <w:p w14:paraId="02219638">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20" w:type="pct"/>
                  <w:shd w:val="clear" w:color="auto" w:fill="auto"/>
                  <w:vAlign w:val="center"/>
                </w:tcPr>
                <w:p w14:paraId="5CAEF1D4">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c>
                <w:tcPr>
                  <w:tcW w:w="886" w:type="pct"/>
                  <w:vAlign w:val="center"/>
                </w:tcPr>
                <w:p w14:paraId="5D9BFC75">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122.95</w:t>
                  </w:r>
                </w:p>
              </w:tc>
              <w:tc>
                <w:tcPr>
                  <w:tcW w:w="887" w:type="pct"/>
                  <w:vAlign w:val="center"/>
                </w:tcPr>
                <w:p w14:paraId="60F15F54">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w:t>
                  </w:r>
                </w:p>
              </w:tc>
            </w:tr>
            <w:tr w14:paraId="61B4C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continue"/>
                  <w:vAlign w:val="center"/>
                </w:tcPr>
                <w:p w14:paraId="48692591">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p>
              </w:tc>
              <w:tc>
                <w:tcPr>
                  <w:tcW w:w="461" w:type="pct"/>
                  <w:vAlign w:val="center"/>
                </w:tcPr>
                <w:p w14:paraId="3A6F0E6C">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颗粒物</w:t>
                  </w:r>
                </w:p>
              </w:tc>
              <w:tc>
                <w:tcPr>
                  <w:tcW w:w="961" w:type="pct"/>
                  <w:vAlign w:val="center"/>
                </w:tcPr>
                <w:p w14:paraId="6812B476">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81.253</w:t>
                  </w:r>
                </w:p>
              </w:tc>
              <w:tc>
                <w:tcPr>
                  <w:tcW w:w="820" w:type="pct"/>
                  <w:shd w:val="clear" w:color="auto" w:fill="auto"/>
                  <w:vAlign w:val="center"/>
                </w:tcPr>
                <w:p w14:paraId="1EC62BE7">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2.16</w:t>
                  </w:r>
                </w:p>
              </w:tc>
              <w:tc>
                <w:tcPr>
                  <w:tcW w:w="820" w:type="pct"/>
                  <w:shd w:val="clear" w:color="auto" w:fill="auto"/>
                  <w:vAlign w:val="center"/>
                </w:tcPr>
                <w:p w14:paraId="630087D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eastAsia" w:cs="Times New Roman"/>
                      <w:b w:val="0"/>
                      <w:bCs w:val="0"/>
                      <w:color w:val="auto"/>
                      <w:spacing w:val="0"/>
                      <w:w w:val="100"/>
                      <w:position w:val="0"/>
                      <w:sz w:val="21"/>
                      <w:szCs w:val="21"/>
                      <w:highlight w:val="none"/>
                      <w:lang w:val="en-US" w:eastAsia="zh-CN"/>
                    </w:rPr>
                    <w:t>1.388</w:t>
                  </w:r>
                </w:p>
              </w:tc>
              <w:tc>
                <w:tcPr>
                  <w:tcW w:w="886" w:type="pct"/>
                  <w:vAlign w:val="center"/>
                </w:tcPr>
                <w:p w14:paraId="12FF4985">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80.481</w:t>
                  </w:r>
                </w:p>
              </w:tc>
              <w:tc>
                <w:tcPr>
                  <w:tcW w:w="887" w:type="pct"/>
                  <w:vAlign w:val="center"/>
                </w:tcPr>
                <w:p w14:paraId="487A2456">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default" w:ascii="Times New Roman" w:hAnsi="Times New Roman" w:eastAsia="宋体" w:cs="Times New Roman"/>
                      <w:b w:val="0"/>
                      <w:bCs w:val="0"/>
                      <w:color w:val="auto"/>
                      <w:spacing w:val="0"/>
                      <w:w w:val="100"/>
                      <w:position w:val="0"/>
                      <w:sz w:val="21"/>
                      <w:szCs w:val="21"/>
                      <w:highlight w:val="none"/>
                      <w:lang w:val="en-US" w:eastAsia="zh-CN"/>
                    </w:rPr>
                    <w:t>-0.772</w:t>
                  </w:r>
                </w:p>
              </w:tc>
            </w:tr>
            <w:tr w14:paraId="69546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restart"/>
                  <w:vAlign w:val="center"/>
                </w:tcPr>
                <w:p w14:paraId="5676029B">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废水</w:t>
                  </w:r>
                </w:p>
              </w:tc>
              <w:tc>
                <w:tcPr>
                  <w:tcW w:w="461" w:type="pct"/>
                  <w:vAlign w:val="center"/>
                </w:tcPr>
                <w:p w14:paraId="617A8ECC">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COD</w:t>
                  </w:r>
                </w:p>
              </w:tc>
              <w:tc>
                <w:tcPr>
                  <w:tcW w:w="961" w:type="pct"/>
                  <w:vAlign w:val="center"/>
                </w:tcPr>
                <w:p w14:paraId="1F99F9A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eastAsia" w:cs="Times New Roman"/>
                      <w:b w:val="0"/>
                      <w:bCs w:val="0"/>
                      <w:caps w:val="0"/>
                      <w:color w:val="auto"/>
                      <w:spacing w:val="0"/>
                      <w:kern w:val="2"/>
                      <w:sz w:val="21"/>
                      <w:szCs w:val="21"/>
                      <w:highlight w:val="none"/>
                      <w:lang w:val="en-US" w:eastAsia="zh-CN" w:bidi="ar-SA"/>
                    </w:rPr>
                    <w:t>54.595</w:t>
                  </w:r>
                </w:p>
              </w:tc>
              <w:tc>
                <w:tcPr>
                  <w:tcW w:w="820" w:type="pct"/>
                  <w:shd w:val="clear" w:color="auto" w:fill="auto"/>
                  <w:vAlign w:val="center"/>
                </w:tcPr>
                <w:p w14:paraId="49BC5B52">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0.048</w:t>
                  </w:r>
                </w:p>
              </w:tc>
              <w:tc>
                <w:tcPr>
                  <w:tcW w:w="820" w:type="pct"/>
                  <w:shd w:val="clear" w:color="auto" w:fill="auto"/>
                  <w:vAlign w:val="center"/>
                </w:tcPr>
                <w:p w14:paraId="1AE35591">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0.114</w:t>
                  </w:r>
                </w:p>
              </w:tc>
              <w:tc>
                <w:tcPr>
                  <w:tcW w:w="1431" w:type="dxa"/>
                  <w:vAlign w:val="center"/>
                </w:tcPr>
                <w:p w14:paraId="7A8E552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aps w:val="0"/>
                      <w:color w:val="0000FF"/>
                      <w:spacing w:val="0"/>
                      <w:kern w:val="2"/>
                      <w:sz w:val="21"/>
                      <w:szCs w:val="21"/>
                      <w:highlight w:val="none"/>
                      <w:lang w:val="en-US" w:eastAsia="zh-CN" w:bidi="ar-SA"/>
                    </w:rPr>
                    <w:t>54.661</w:t>
                  </w:r>
                </w:p>
              </w:tc>
              <w:tc>
                <w:tcPr>
                  <w:tcW w:w="887" w:type="pct"/>
                  <w:vAlign w:val="center"/>
                </w:tcPr>
                <w:p w14:paraId="19200840">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w:t>
                  </w:r>
                  <w:r>
                    <w:rPr>
                      <w:rFonts w:hint="default" w:ascii="Times New Roman" w:hAnsi="Times New Roman" w:eastAsia="宋体" w:cs="Times New Roman"/>
                      <w:b w:val="0"/>
                      <w:bCs w:val="0"/>
                      <w:color w:val="0000FF"/>
                      <w:spacing w:val="0"/>
                      <w:w w:val="100"/>
                      <w:position w:val="0"/>
                      <w:sz w:val="21"/>
                      <w:szCs w:val="21"/>
                      <w:highlight w:val="none"/>
                      <w:lang w:val="en-US" w:eastAsia="zh-CN"/>
                    </w:rPr>
                    <w:t>0.066</w:t>
                  </w:r>
                </w:p>
              </w:tc>
            </w:tr>
            <w:tr w14:paraId="6003C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continue"/>
                  <w:vAlign w:val="center"/>
                </w:tcPr>
                <w:p w14:paraId="25A4D1B0">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p>
              </w:tc>
              <w:tc>
                <w:tcPr>
                  <w:tcW w:w="461" w:type="pct"/>
                  <w:vAlign w:val="center"/>
                </w:tcPr>
                <w:p w14:paraId="3F635EDD">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auto"/>
                      <w:spacing w:val="0"/>
                      <w:w w:val="100"/>
                      <w:position w:val="0"/>
                      <w:sz w:val="21"/>
                      <w:szCs w:val="21"/>
                      <w:highlight w:val="none"/>
                    </w:rPr>
                  </w:pPr>
                  <w:r>
                    <w:rPr>
                      <w:rFonts w:hint="default" w:ascii="Times New Roman" w:hAnsi="Times New Roman" w:eastAsia="宋体" w:cs="Times New Roman"/>
                      <w:b w:val="0"/>
                      <w:bCs w:val="0"/>
                      <w:color w:val="auto"/>
                      <w:spacing w:val="0"/>
                      <w:w w:val="100"/>
                      <w:position w:val="0"/>
                      <w:sz w:val="21"/>
                      <w:szCs w:val="21"/>
                      <w:highlight w:val="none"/>
                    </w:rPr>
                    <w:t>氨氮</w:t>
                  </w:r>
                </w:p>
              </w:tc>
              <w:tc>
                <w:tcPr>
                  <w:tcW w:w="961" w:type="pct"/>
                  <w:vAlign w:val="center"/>
                </w:tcPr>
                <w:p w14:paraId="1023FEA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auto"/>
                      <w:spacing w:val="0"/>
                      <w:w w:val="100"/>
                      <w:position w:val="0"/>
                      <w:sz w:val="21"/>
                      <w:szCs w:val="21"/>
                      <w:highlight w:val="none"/>
                      <w:lang w:val="en-US" w:eastAsia="zh-CN"/>
                    </w:rPr>
                  </w:pPr>
                  <w:r>
                    <w:rPr>
                      <w:rFonts w:hint="eastAsia" w:cs="Times New Roman"/>
                      <w:b w:val="0"/>
                      <w:bCs w:val="0"/>
                      <w:caps w:val="0"/>
                      <w:color w:val="auto"/>
                      <w:spacing w:val="0"/>
                      <w:kern w:val="2"/>
                      <w:sz w:val="21"/>
                      <w:szCs w:val="21"/>
                      <w:highlight w:val="none"/>
                      <w:lang w:val="en-US" w:eastAsia="zh-CN" w:bidi="ar-SA"/>
                    </w:rPr>
                    <w:t>5.887</w:t>
                  </w:r>
                </w:p>
              </w:tc>
              <w:tc>
                <w:tcPr>
                  <w:tcW w:w="820" w:type="pct"/>
                  <w:shd w:val="clear" w:color="auto" w:fill="auto"/>
                  <w:vAlign w:val="center"/>
                </w:tcPr>
                <w:p w14:paraId="63075AA9">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default" w:ascii="Times New Roman" w:hAnsi="Times New Roman" w:eastAsia="宋体" w:cs="Times New Roman"/>
                      <w:b w:val="0"/>
                      <w:bCs w:val="0"/>
                      <w:color w:val="0000FF"/>
                      <w:spacing w:val="0"/>
                      <w:w w:val="100"/>
                      <w:position w:val="0"/>
                      <w:sz w:val="21"/>
                      <w:szCs w:val="21"/>
                      <w:highlight w:val="none"/>
                      <w:lang w:val="en-US" w:eastAsia="zh-CN"/>
                    </w:rPr>
                    <w:t>0.0</w:t>
                  </w:r>
                  <w:r>
                    <w:rPr>
                      <w:rFonts w:hint="eastAsia" w:cs="Times New Roman"/>
                      <w:b w:val="0"/>
                      <w:bCs w:val="0"/>
                      <w:color w:val="0000FF"/>
                      <w:spacing w:val="0"/>
                      <w:w w:val="100"/>
                      <w:position w:val="0"/>
                      <w:sz w:val="21"/>
                      <w:szCs w:val="21"/>
                      <w:highlight w:val="none"/>
                      <w:lang w:val="en-US" w:eastAsia="zh-CN"/>
                    </w:rPr>
                    <w:t>02</w:t>
                  </w:r>
                </w:p>
              </w:tc>
              <w:tc>
                <w:tcPr>
                  <w:tcW w:w="820" w:type="pct"/>
                  <w:shd w:val="clear" w:color="auto" w:fill="auto"/>
                  <w:vAlign w:val="center"/>
                </w:tcPr>
                <w:p w14:paraId="0BEF188E">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default" w:ascii="Times New Roman" w:hAnsi="Times New Roman" w:eastAsia="宋体" w:cs="Times New Roman"/>
                      <w:b w:val="0"/>
                      <w:bCs w:val="0"/>
                      <w:color w:val="0000FF"/>
                      <w:spacing w:val="0"/>
                      <w:w w:val="100"/>
                      <w:position w:val="0"/>
                      <w:sz w:val="21"/>
                      <w:szCs w:val="21"/>
                      <w:highlight w:val="none"/>
                      <w:lang w:val="en-US" w:eastAsia="zh-CN"/>
                    </w:rPr>
                    <w:t>0.00</w:t>
                  </w:r>
                  <w:r>
                    <w:rPr>
                      <w:rFonts w:hint="eastAsia" w:cs="Times New Roman"/>
                      <w:b w:val="0"/>
                      <w:bCs w:val="0"/>
                      <w:color w:val="0000FF"/>
                      <w:spacing w:val="0"/>
                      <w:w w:val="100"/>
                      <w:position w:val="0"/>
                      <w:sz w:val="21"/>
                      <w:szCs w:val="21"/>
                      <w:highlight w:val="none"/>
                      <w:lang w:val="en-US" w:eastAsia="zh-CN"/>
                    </w:rPr>
                    <w:t>6</w:t>
                  </w:r>
                </w:p>
              </w:tc>
              <w:tc>
                <w:tcPr>
                  <w:tcW w:w="1431" w:type="dxa"/>
                  <w:vAlign w:val="center"/>
                </w:tcPr>
                <w:p w14:paraId="446F3D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aps w:val="0"/>
                      <w:color w:val="0000FF"/>
                      <w:spacing w:val="0"/>
                      <w:kern w:val="2"/>
                      <w:sz w:val="21"/>
                      <w:szCs w:val="21"/>
                      <w:highlight w:val="none"/>
                      <w:lang w:val="en-US" w:eastAsia="zh-CN" w:bidi="ar-SA"/>
                    </w:rPr>
                    <w:t>5.891</w:t>
                  </w:r>
                </w:p>
              </w:tc>
              <w:tc>
                <w:tcPr>
                  <w:tcW w:w="887" w:type="pct"/>
                  <w:vAlign w:val="center"/>
                </w:tcPr>
                <w:p w14:paraId="4C63AE1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w:t>
                  </w:r>
                  <w:r>
                    <w:rPr>
                      <w:rFonts w:hint="default" w:ascii="Times New Roman" w:hAnsi="Times New Roman" w:eastAsia="宋体" w:cs="Times New Roman"/>
                      <w:b w:val="0"/>
                      <w:bCs w:val="0"/>
                      <w:color w:val="0000FF"/>
                      <w:spacing w:val="0"/>
                      <w:w w:val="100"/>
                      <w:position w:val="0"/>
                      <w:sz w:val="21"/>
                      <w:szCs w:val="21"/>
                      <w:highlight w:val="none"/>
                      <w:lang w:val="en-US" w:eastAsia="zh-CN"/>
                    </w:rPr>
                    <w:t>0.004</w:t>
                  </w:r>
                </w:p>
              </w:tc>
            </w:tr>
          </w:tbl>
          <w:p w14:paraId="56245764">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cs="Times New Roman"/>
                <w:color w:val="0000FF"/>
                <w:sz w:val="21"/>
                <w:szCs w:val="21"/>
                <w:highlight w:val="none"/>
                <w:lang w:val="en-US" w:eastAsia="zh-CN"/>
              </w:rPr>
            </w:pPr>
            <w:r>
              <w:rPr>
                <w:rFonts w:hint="default" w:ascii="Times New Roman" w:hAnsi="Times New Roman" w:cs="Times New Roman"/>
                <w:color w:val="0000FF"/>
                <w:sz w:val="21"/>
                <w:szCs w:val="21"/>
                <w:highlight w:val="none"/>
                <w:lang w:val="en-US" w:eastAsia="zh-CN"/>
              </w:rPr>
              <w:t>根据十五五生态环境保护相关规划及总量管控要求，本次</w:t>
            </w:r>
            <w:r>
              <w:rPr>
                <w:rFonts w:hint="eastAsia" w:ascii="Times New Roman" w:hAnsi="Times New Roman" w:cs="Times New Roman"/>
                <w:color w:val="0000FF"/>
                <w:sz w:val="21"/>
                <w:szCs w:val="21"/>
                <w:highlight w:val="none"/>
                <w:lang w:val="en-US" w:eastAsia="zh-CN"/>
              </w:rPr>
              <w:t>项目通过</w:t>
            </w:r>
            <w:r>
              <w:rPr>
                <w:rFonts w:hint="default" w:ascii="Times New Roman" w:hAnsi="Times New Roman" w:cs="Times New Roman"/>
                <w:color w:val="0000FF"/>
                <w:sz w:val="21"/>
                <w:szCs w:val="21"/>
                <w:highlight w:val="none"/>
                <w:lang w:val="en-US" w:eastAsia="zh-CN"/>
              </w:rPr>
              <w:t>管理减排</w:t>
            </w:r>
            <w:r>
              <w:rPr>
                <w:rFonts w:hint="eastAsia" w:ascii="Times New Roman" w:hAnsi="Times New Roman" w:cs="Times New Roman"/>
                <w:color w:val="0000FF"/>
                <w:sz w:val="21"/>
                <w:szCs w:val="21"/>
                <w:highlight w:val="none"/>
                <w:lang w:val="en-US" w:eastAsia="zh-CN"/>
              </w:rPr>
              <w:t>方式统筹平衡废水污染物总量指标，</w:t>
            </w:r>
            <w:r>
              <w:rPr>
                <w:rFonts w:hint="default" w:ascii="Times New Roman" w:hAnsi="Times New Roman" w:cs="Times New Roman"/>
                <w:color w:val="0000FF"/>
                <w:sz w:val="21"/>
                <w:szCs w:val="21"/>
                <w:highlight w:val="none"/>
                <w:lang w:val="en-US" w:eastAsia="zh-CN"/>
              </w:rPr>
              <w:t>将原有按</w:t>
            </w:r>
            <w:r>
              <w:rPr>
                <w:rFonts w:hint="eastAsia" w:ascii="Times New Roman" w:hAnsi="Times New Roman" w:cs="Times New Roman"/>
                <w:color w:val="0000FF"/>
                <w:sz w:val="21"/>
                <w:szCs w:val="21"/>
                <w:highlight w:val="none"/>
                <w:lang w:val="en-US" w:eastAsia="zh-CN"/>
              </w:rPr>
              <w:t>排放标准/</w:t>
            </w:r>
            <w:r>
              <w:rPr>
                <w:rFonts w:hint="default" w:ascii="Times New Roman" w:hAnsi="Times New Roman" w:cs="Times New Roman"/>
                <w:color w:val="0000FF"/>
                <w:sz w:val="21"/>
                <w:szCs w:val="21"/>
                <w:highlight w:val="none"/>
                <w:lang w:val="en-US" w:eastAsia="zh-CN"/>
              </w:rPr>
              <w:t>协议外排浓度（COD 500mg/L、氨氮 48mg/L）核算方式，调整为按照污水集中处理设施接纳排放标准（COD 40mg/L、氨氮 2mg/L）重新核算全厂现有工程废水污染物排放量，核算过程如下：</w:t>
            </w:r>
          </w:p>
          <w:p w14:paraId="79CD5DB0">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cs="Times New Roman"/>
                <w:b w:val="0"/>
                <w:bCs/>
                <w:color w:val="0000FF"/>
                <w:sz w:val="21"/>
                <w:szCs w:val="21"/>
                <w:highlight w:val="none"/>
                <w:lang w:eastAsia="zh-CN"/>
              </w:rPr>
            </w:pPr>
            <w:r>
              <w:rPr>
                <w:rFonts w:hint="default" w:ascii="Times New Roman" w:hAnsi="Times New Roman" w:cs="Times New Roman"/>
                <w:b w:val="0"/>
                <w:bCs/>
                <w:color w:val="0000FF"/>
                <w:sz w:val="21"/>
                <w:szCs w:val="21"/>
                <w:highlight w:val="none"/>
                <w:lang w:val="en-US" w:eastAsia="zh-CN"/>
              </w:rPr>
              <w:t>COD：</w:t>
            </w:r>
            <w:r>
              <w:rPr>
                <w:rFonts w:hint="default" w:ascii="Times New Roman" w:hAnsi="Times New Roman" w:cs="Times New Roman"/>
                <w:b w:val="0"/>
                <w:bCs/>
                <w:color w:val="0000FF"/>
                <w:sz w:val="21"/>
                <w:szCs w:val="21"/>
                <w:highlight w:val="none"/>
              </w:rPr>
              <w:t>40mg/L×</w:t>
            </w:r>
            <w:r>
              <w:rPr>
                <w:rFonts w:hint="default" w:ascii="Times New Roman" w:hAnsi="Times New Roman" w:cs="Times New Roman"/>
                <w:b w:val="0"/>
                <w:bCs/>
                <w:color w:val="0000FF"/>
                <w:sz w:val="21"/>
                <w:szCs w:val="21"/>
                <w:highlight w:val="none"/>
                <w:lang w:val="en-US" w:eastAsia="zh-CN"/>
              </w:rPr>
              <w:t>924.32</w:t>
            </w:r>
            <w:r>
              <w:rPr>
                <w:rFonts w:hint="default" w:ascii="Times New Roman" w:hAnsi="Times New Roman" w:cs="Times New Roman"/>
                <w:b w:val="0"/>
                <w:bCs/>
                <w:color w:val="0000FF"/>
                <w:kern w:val="0"/>
                <w:sz w:val="21"/>
                <w:szCs w:val="21"/>
                <w:highlight w:val="none"/>
                <w:lang w:bidi="ar"/>
              </w:rPr>
              <w:t>m</w:t>
            </w:r>
            <w:r>
              <w:rPr>
                <w:rFonts w:hint="default" w:ascii="Times New Roman" w:hAnsi="Times New Roman" w:cs="Times New Roman"/>
                <w:b w:val="0"/>
                <w:bCs/>
                <w:color w:val="0000FF"/>
                <w:kern w:val="0"/>
                <w:sz w:val="21"/>
                <w:szCs w:val="21"/>
                <w:highlight w:val="none"/>
                <w:vertAlign w:val="superscript"/>
                <w:lang w:bidi="ar"/>
              </w:rPr>
              <w:t>3</w:t>
            </w:r>
            <w:r>
              <w:rPr>
                <w:rFonts w:hint="default" w:ascii="Times New Roman" w:hAnsi="Times New Roman" w:cs="Times New Roman"/>
                <w:b w:val="0"/>
                <w:bCs/>
                <w:color w:val="0000FF"/>
                <w:kern w:val="0"/>
                <w:sz w:val="21"/>
                <w:szCs w:val="21"/>
                <w:highlight w:val="none"/>
                <w:lang w:bidi="ar"/>
              </w:rPr>
              <w:t>/d</w:t>
            </w:r>
            <w:r>
              <w:rPr>
                <w:rFonts w:hint="default" w:ascii="Times New Roman" w:hAnsi="Times New Roman" w:cs="Times New Roman"/>
                <w:b w:val="0"/>
                <w:bCs/>
                <w:color w:val="0000FF"/>
                <w:sz w:val="21"/>
                <w:szCs w:val="21"/>
                <w:highlight w:val="none"/>
              </w:rPr>
              <w:t>×3</w:t>
            </w:r>
            <w:r>
              <w:rPr>
                <w:rFonts w:hint="default" w:ascii="Times New Roman" w:hAnsi="Times New Roman" w:cs="Times New Roman"/>
                <w:b w:val="0"/>
                <w:bCs/>
                <w:color w:val="0000FF"/>
                <w:sz w:val="21"/>
                <w:szCs w:val="21"/>
                <w:highlight w:val="none"/>
                <w:lang w:val="en-US" w:eastAsia="zh-CN"/>
              </w:rPr>
              <w:t>00</w:t>
            </w:r>
            <w:r>
              <w:rPr>
                <w:rFonts w:hint="default" w:ascii="Times New Roman" w:hAnsi="Times New Roman" w:cs="Times New Roman"/>
                <w:b w:val="0"/>
                <w:bCs/>
                <w:color w:val="0000FF"/>
                <w:sz w:val="21"/>
                <w:szCs w:val="21"/>
                <w:highlight w:val="none"/>
              </w:rPr>
              <w:t>d</w:t>
            </w:r>
            <w:r>
              <w:rPr>
                <w:rFonts w:hint="default" w:ascii="Times New Roman" w:hAnsi="Times New Roman" w:cs="Times New Roman"/>
                <w:b w:val="0"/>
                <w:bCs/>
                <w:color w:val="0000FF"/>
                <w:kern w:val="0"/>
                <w:sz w:val="21"/>
                <w:szCs w:val="21"/>
                <w:highlight w:val="none"/>
                <w:lang w:bidi="ar"/>
              </w:rPr>
              <w:t>/a</w:t>
            </w:r>
            <w:r>
              <w:rPr>
                <w:rFonts w:hint="default" w:ascii="Times New Roman" w:hAnsi="Times New Roman" w:cs="Times New Roman"/>
                <w:b w:val="0"/>
                <w:bCs/>
                <w:color w:val="0000FF"/>
                <w:sz w:val="21"/>
                <w:szCs w:val="21"/>
                <w:highlight w:val="none"/>
              </w:rPr>
              <w:t>×10</w:t>
            </w:r>
            <w:r>
              <w:rPr>
                <w:rFonts w:hint="default" w:ascii="Times New Roman" w:hAnsi="Times New Roman" w:cs="Times New Roman"/>
                <w:b w:val="0"/>
                <w:bCs/>
                <w:color w:val="0000FF"/>
                <w:sz w:val="21"/>
                <w:szCs w:val="21"/>
                <w:highlight w:val="none"/>
                <w:vertAlign w:val="superscript"/>
              </w:rPr>
              <w:t>-6</w:t>
            </w:r>
            <w:r>
              <w:rPr>
                <w:rFonts w:hint="default" w:ascii="Times New Roman" w:hAnsi="Times New Roman" w:cs="Times New Roman"/>
                <w:b w:val="0"/>
                <w:bCs/>
                <w:color w:val="0000FF"/>
                <w:sz w:val="21"/>
                <w:szCs w:val="21"/>
                <w:highlight w:val="none"/>
              </w:rPr>
              <w:t>=</w:t>
            </w:r>
            <w:r>
              <w:rPr>
                <w:rFonts w:hint="default" w:ascii="Times New Roman" w:hAnsi="Times New Roman" w:cs="Times New Roman"/>
                <w:b w:val="0"/>
                <w:bCs/>
                <w:color w:val="0000FF"/>
                <w:sz w:val="21"/>
                <w:szCs w:val="21"/>
                <w:highlight w:val="none"/>
                <w:lang w:val="en-US" w:eastAsia="zh-CN"/>
              </w:rPr>
              <w:t>11.09184t</w:t>
            </w:r>
            <w:r>
              <w:rPr>
                <w:rFonts w:hint="default" w:ascii="Times New Roman" w:hAnsi="Times New Roman" w:cs="Times New Roman"/>
                <w:b w:val="0"/>
                <w:bCs/>
                <w:color w:val="0000FF"/>
                <w:sz w:val="21"/>
                <w:szCs w:val="21"/>
                <w:highlight w:val="none"/>
              </w:rPr>
              <w:t>/a≈</w:t>
            </w:r>
            <w:r>
              <w:rPr>
                <w:rFonts w:hint="default" w:ascii="Times New Roman" w:hAnsi="Times New Roman" w:cs="Times New Roman"/>
                <w:b w:val="0"/>
                <w:bCs/>
                <w:color w:val="0000FF"/>
                <w:sz w:val="21"/>
                <w:szCs w:val="21"/>
                <w:highlight w:val="none"/>
                <w:lang w:val="en-US" w:eastAsia="zh-CN"/>
              </w:rPr>
              <w:t>11.092</w:t>
            </w:r>
            <w:r>
              <w:rPr>
                <w:rFonts w:hint="default" w:ascii="Times New Roman" w:hAnsi="Times New Roman" w:cs="Times New Roman"/>
                <w:b w:val="0"/>
                <w:bCs/>
                <w:color w:val="0000FF"/>
                <w:sz w:val="21"/>
                <w:szCs w:val="21"/>
                <w:highlight w:val="none"/>
              </w:rPr>
              <w:t>t/a</w:t>
            </w:r>
            <w:r>
              <w:rPr>
                <w:rFonts w:hint="default" w:ascii="Times New Roman" w:hAnsi="Times New Roman" w:cs="Times New Roman"/>
                <w:b w:val="0"/>
                <w:bCs/>
                <w:color w:val="0000FF"/>
                <w:sz w:val="21"/>
                <w:szCs w:val="21"/>
                <w:highlight w:val="none"/>
                <w:lang w:eastAsia="zh-CN"/>
              </w:rPr>
              <w:t>；</w:t>
            </w:r>
          </w:p>
          <w:p w14:paraId="2EC61385">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cs="Times New Roman"/>
                <w:b w:val="0"/>
                <w:bCs/>
                <w:color w:val="0000FF"/>
                <w:sz w:val="21"/>
                <w:szCs w:val="21"/>
                <w:highlight w:val="none"/>
                <w:lang w:eastAsia="zh-CN"/>
              </w:rPr>
            </w:pPr>
            <w:r>
              <w:rPr>
                <w:rFonts w:hint="default" w:ascii="Times New Roman" w:hAnsi="Times New Roman" w:cs="Times New Roman"/>
                <w:b w:val="0"/>
                <w:bCs/>
                <w:color w:val="0000FF"/>
                <w:sz w:val="21"/>
                <w:szCs w:val="21"/>
                <w:highlight w:val="none"/>
                <w:lang w:val="en-US" w:eastAsia="zh-CN"/>
              </w:rPr>
              <w:t>氨氮：</w:t>
            </w:r>
            <w:r>
              <w:rPr>
                <w:rFonts w:hint="default" w:ascii="Times New Roman" w:hAnsi="Times New Roman" w:cs="Times New Roman"/>
                <w:b w:val="0"/>
                <w:bCs/>
                <w:color w:val="0000FF"/>
                <w:sz w:val="21"/>
                <w:szCs w:val="21"/>
                <w:highlight w:val="none"/>
              </w:rPr>
              <w:t>2mg/L×</w:t>
            </w:r>
            <w:r>
              <w:rPr>
                <w:rFonts w:hint="default" w:ascii="Times New Roman" w:hAnsi="Times New Roman" w:cs="Times New Roman"/>
                <w:b w:val="0"/>
                <w:bCs/>
                <w:color w:val="0000FF"/>
                <w:sz w:val="21"/>
                <w:szCs w:val="21"/>
                <w:highlight w:val="none"/>
                <w:lang w:val="en-US" w:eastAsia="zh-CN"/>
              </w:rPr>
              <w:t>924.32</w:t>
            </w:r>
            <w:r>
              <w:rPr>
                <w:rFonts w:hint="default" w:ascii="Times New Roman" w:hAnsi="Times New Roman" w:cs="Times New Roman"/>
                <w:b w:val="0"/>
                <w:bCs/>
                <w:color w:val="0000FF"/>
                <w:kern w:val="0"/>
                <w:sz w:val="21"/>
                <w:szCs w:val="21"/>
                <w:highlight w:val="none"/>
                <w:lang w:bidi="ar"/>
              </w:rPr>
              <w:t>m</w:t>
            </w:r>
            <w:r>
              <w:rPr>
                <w:rFonts w:hint="default" w:ascii="Times New Roman" w:hAnsi="Times New Roman" w:cs="Times New Roman"/>
                <w:b w:val="0"/>
                <w:bCs/>
                <w:color w:val="0000FF"/>
                <w:kern w:val="0"/>
                <w:sz w:val="21"/>
                <w:szCs w:val="21"/>
                <w:highlight w:val="none"/>
                <w:vertAlign w:val="superscript"/>
                <w:lang w:bidi="ar"/>
              </w:rPr>
              <w:t>3</w:t>
            </w:r>
            <w:r>
              <w:rPr>
                <w:rFonts w:hint="default" w:ascii="Times New Roman" w:hAnsi="Times New Roman" w:cs="Times New Roman"/>
                <w:b w:val="0"/>
                <w:bCs/>
                <w:color w:val="0000FF"/>
                <w:kern w:val="0"/>
                <w:sz w:val="21"/>
                <w:szCs w:val="21"/>
                <w:highlight w:val="none"/>
                <w:lang w:bidi="ar"/>
              </w:rPr>
              <w:t>/d</w:t>
            </w:r>
            <w:r>
              <w:rPr>
                <w:rFonts w:hint="default" w:ascii="Times New Roman" w:hAnsi="Times New Roman" w:cs="Times New Roman"/>
                <w:b w:val="0"/>
                <w:bCs/>
                <w:color w:val="0000FF"/>
                <w:sz w:val="21"/>
                <w:szCs w:val="21"/>
                <w:highlight w:val="none"/>
              </w:rPr>
              <w:t>×3</w:t>
            </w:r>
            <w:r>
              <w:rPr>
                <w:rFonts w:hint="default" w:ascii="Times New Roman" w:hAnsi="Times New Roman" w:cs="Times New Roman"/>
                <w:b w:val="0"/>
                <w:bCs/>
                <w:color w:val="0000FF"/>
                <w:sz w:val="21"/>
                <w:szCs w:val="21"/>
                <w:highlight w:val="none"/>
                <w:lang w:val="en-US" w:eastAsia="zh-CN"/>
              </w:rPr>
              <w:t>00</w:t>
            </w:r>
            <w:r>
              <w:rPr>
                <w:rFonts w:hint="default" w:ascii="Times New Roman" w:hAnsi="Times New Roman" w:cs="Times New Roman"/>
                <w:b w:val="0"/>
                <w:bCs/>
                <w:color w:val="0000FF"/>
                <w:sz w:val="21"/>
                <w:szCs w:val="21"/>
                <w:highlight w:val="none"/>
              </w:rPr>
              <w:t>d</w:t>
            </w:r>
            <w:r>
              <w:rPr>
                <w:rFonts w:hint="default" w:ascii="Times New Roman" w:hAnsi="Times New Roman" w:cs="Times New Roman"/>
                <w:b w:val="0"/>
                <w:bCs/>
                <w:color w:val="0000FF"/>
                <w:kern w:val="0"/>
                <w:sz w:val="21"/>
                <w:szCs w:val="21"/>
                <w:highlight w:val="none"/>
                <w:lang w:bidi="ar"/>
              </w:rPr>
              <w:t>/a</w:t>
            </w:r>
            <w:r>
              <w:rPr>
                <w:rFonts w:hint="default" w:ascii="Times New Roman" w:hAnsi="Times New Roman" w:cs="Times New Roman"/>
                <w:b w:val="0"/>
                <w:bCs/>
                <w:color w:val="0000FF"/>
                <w:sz w:val="21"/>
                <w:szCs w:val="21"/>
                <w:highlight w:val="none"/>
              </w:rPr>
              <w:t xml:space="preserve"> ×10</w:t>
            </w:r>
            <w:r>
              <w:rPr>
                <w:rFonts w:hint="default" w:ascii="Times New Roman" w:hAnsi="Times New Roman" w:cs="Times New Roman"/>
                <w:b w:val="0"/>
                <w:bCs/>
                <w:color w:val="0000FF"/>
                <w:sz w:val="21"/>
                <w:szCs w:val="21"/>
                <w:highlight w:val="none"/>
                <w:vertAlign w:val="superscript"/>
              </w:rPr>
              <w:t>-6</w:t>
            </w:r>
            <w:r>
              <w:rPr>
                <w:rFonts w:hint="default" w:ascii="Times New Roman" w:hAnsi="Times New Roman" w:cs="Times New Roman"/>
                <w:b w:val="0"/>
                <w:bCs/>
                <w:color w:val="0000FF"/>
                <w:sz w:val="21"/>
                <w:szCs w:val="21"/>
                <w:highlight w:val="none"/>
              </w:rPr>
              <w:t xml:space="preserve"> =</w:t>
            </w:r>
            <w:r>
              <w:rPr>
                <w:rFonts w:hint="default" w:ascii="Times New Roman" w:hAnsi="Times New Roman" w:cs="Times New Roman"/>
                <w:b w:val="0"/>
                <w:bCs/>
                <w:color w:val="0000FF"/>
                <w:sz w:val="21"/>
                <w:szCs w:val="21"/>
                <w:highlight w:val="none"/>
                <w:lang w:val="en-US" w:eastAsia="zh-CN"/>
              </w:rPr>
              <w:t>0.554592</w:t>
            </w:r>
            <w:r>
              <w:rPr>
                <w:rFonts w:hint="default" w:ascii="Times New Roman" w:hAnsi="Times New Roman" w:cs="Times New Roman"/>
                <w:b w:val="0"/>
                <w:bCs/>
                <w:color w:val="0000FF"/>
                <w:sz w:val="21"/>
                <w:szCs w:val="21"/>
                <w:highlight w:val="none"/>
              </w:rPr>
              <w:t>t/a≈0.</w:t>
            </w:r>
            <w:r>
              <w:rPr>
                <w:rFonts w:hint="default" w:ascii="Times New Roman" w:hAnsi="Times New Roman" w:cs="Times New Roman"/>
                <w:b w:val="0"/>
                <w:bCs/>
                <w:color w:val="0000FF"/>
                <w:sz w:val="21"/>
                <w:szCs w:val="21"/>
                <w:highlight w:val="none"/>
                <w:lang w:val="en-US" w:eastAsia="zh-CN"/>
              </w:rPr>
              <w:t>55</w:t>
            </w:r>
            <w:r>
              <w:rPr>
                <w:rFonts w:hint="eastAsia" w:ascii="Times New Roman" w:hAnsi="Times New Roman" w:cs="Times New Roman"/>
                <w:b w:val="0"/>
                <w:bCs/>
                <w:color w:val="0000FF"/>
                <w:sz w:val="21"/>
                <w:szCs w:val="21"/>
                <w:highlight w:val="none"/>
                <w:lang w:val="en-US" w:eastAsia="zh-CN"/>
              </w:rPr>
              <w:t>5</w:t>
            </w:r>
            <w:r>
              <w:rPr>
                <w:rFonts w:hint="default" w:ascii="Times New Roman" w:hAnsi="Times New Roman" w:cs="Times New Roman"/>
                <w:b w:val="0"/>
                <w:bCs/>
                <w:color w:val="0000FF"/>
                <w:sz w:val="21"/>
                <w:szCs w:val="21"/>
                <w:highlight w:val="none"/>
              </w:rPr>
              <w:t>t/a</w:t>
            </w:r>
            <w:r>
              <w:rPr>
                <w:rFonts w:hint="eastAsia" w:ascii="Times New Roman" w:hAnsi="Times New Roman" w:cs="Times New Roman"/>
                <w:b w:val="0"/>
                <w:bCs/>
                <w:color w:val="0000FF"/>
                <w:sz w:val="21"/>
                <w:szCs w:val="21"/>
                <w:highlight w:val="none"/>
                <w:lang w:eastAsia="zh-CN"/>
              </w:rPr>
              <w:t>。</w:t>
            </w:r>
          </w:p>
          <w:p w14:paraId="4C468B27">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cs="Times New Roman"/>
                <w:color w:val="0000FF"/>
                <w:sz w:val="21"/>
                <w:szCs w:val="20"/>
                <w:highlight w:val="none"/>
                <w:lang w:val="en-US" w:eastAsia="zh-CN"/>
              </w:rPr>
            </w:pPr>
            <w:r>
              <w:rPr>
                <w:rFonts w:hint="eastAsia" w:ascii="Times New Roman" w:hAnsi="Times New Roman" w:cs="Times New Roman"/>
                <w:color w:val="0000FF"/>
                <w:sz w:val="21"/>
                <w:szCs w:val="21"/>
                <w:highlight w:val="none"/>
                <w:lang w:val="en-US" w:eastAsia="zh-CN"/>
              </w:rPr>
              <w:t>结合</w:t>
            </w:r>
            <w:r>
              <w:rPr>
                <w:rFonts w:hint="default" w:ascii="Times New Roman" w:hAnsi="Times New Roman" w:cs="Times New Roman"/>
                <w:color w:val="0000FF"/>
                <w:sz w:val="21"/>
                <w:szCs w:val="21"/>
                <w:highlight w:val="none"/>
                <w:lang w:val="en-US" w:eastAsia="zh-CN"/>
              </w:rPr>
              <w:t>企业现有废水污染物总量控制指标（</w:t>
            </w:r>
            <w:r>
              <w:rPr>
                <w:rFonts w:hint="default" w:ascii="Times New Roman" w:hAnsi="Times New Roman" w:cs="Times New Roman"/>
                <w:color w:val="0000FF"/>
                <w:sz w:val="21"/>
                <w:szCs w:val="20"/>
                <w:highlight w:val="none"/>
                <w:lang w:val="en-US" w:eastAsia="zh-CN"/>
              </w:rPr>
              <w:t>COD：54.595t/a、氨氮：5.887t/a）</w:t>
            </w:r>
            <w:r>
              <w:rPr>
                <w:rFonts w:hint="default" w:ascii="Times New Roman" w:hAnsi="Times New Roman" w:cs="Times New Roman"/>
                <w:color w:val="0000FF"/>
                <w:sz w:val="21"/>
                <w:szCs w:val="21"/>
                <w:highlight w:val="none"/>
                <w:lang w:val="en-US" w:eastAsia="zh-CN"/>
              </w:rPr>
              <w:t>核算管理减排</w:t>
            </w:r>
            <w:r>
              <w:rPr>
                <w:rFonts w:hint="eastAsia" w:ascii="Times New Roman" w:hAnsi="Times New Roman" w:cs="Times New Roman"/>
                <w:color w:val="0000FF"/>
                <w:sz w:val="21"/>
                <w:szCs w:val="21"/>
                <w:highlight w:val="none"/>
                <w:lang w:val="en-US" w:eastAsia="zh-CN"/>
              </w:rPr>
              <w:t>后全厂废水污染物</w:t>
            </w:r>
            <w:r>
              <w:rPr>
                <w:rFonts w:hint="default" w:ascii="Times New Roman" w:hAnsi="Times New Roman" w:cs="Times New Roman"/>
                <w:color w:val="0000FF"/>
                <w:sz w:val="21"/>
                <w:szCs w:val="20"/>
                <w:highlight w:val="none"/>
                <w:lang w:val="en-US" w:eastAsia="zh-CN"/>
              </w:rPr>
              <w:t>富余</w:t>
            </w:r>
            <w:r>
              <w:rPr>
                <w:rFonts w:hint="eastAsia" w:ascii="Times New Roman" w:hAnsi="Times New Roman" w:cs="Times New Roman"/>
                <w:color w:val="0000FF"/>
                <w:sz w:val="21"/>
                <w:szCs w:val="20"/>
                <w:highlight w:val="none"/>
                <w:lang w:val="en-US" w:eastAsia="zh-CN"/>
              </w:rPr>
              <w:t>指标</w:t>
            </w:r>
            <w:r>
              <w:rPr>
                <w:rFonts w:hint="default" w:ascii="Times New Roman" w:hAnsi="Times New Roman" w:cs="Times New Roman"/>
                <w:color w:val="0000FF"/>
                <w:sz w:val="21"/>
                <w:szCs w:val="20"/>
                <w:highlight w:val="none"/>
                <w:lang w:val="en-US" w:eastAsia="zh-CN"/>
              </w:rPr>
              <w:t>：</w:t>
            </w:r>
          </w:p>
          <w:p w14:paraId="27FB9F83">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cs="Times New Roman"/>
                <w:color w:val="0000FF"/>
                <w:sz w:val="21"/>
                <w:szCs w:val="20"/>
                <w:highlight w:val="none"/>
                <w:lang w:val="en-US" w:eastAsia="zh-CN"/>
              </w:rPr>
            </w:pPr>
            <w:r>
              <w:rPr>
                <w:rFonts w:hint="default" w:ascii="Times New Roman" w:hAnsi="Times New Roman" w:cs="Times New Roman"/>
                <w:color w:val="0000FF"/>
                <w:sz w:val="21"/>
                <w:szCs w:val="20"/>
                <w:highlight w:val="none"/>
                <w:lang w:val="en-US" w:eastAsia="zh-CN"/>
              </w:rPr>
              <w:t>COD：54.595t/a</w:t>
            </w:r>
            <w:r>
              <w:rPr>
                <w:rFonts w:hint="eastAsia" w:ascii="Times New Roman" w:hAnsi="Times New Roman" w:cs="Times New Roman"/>
                <w:color w:val="0000FF"/>
                <w:sz w:val="21"/>
                <w:szCs w:val="20"/>
                <w:highlight w:val="none"/>
                <w:lang w:val="en-US" w:eastAsia="zh-CN"/>
              </w:rPr>
              <w:t xml:space="preserve"> -11.092</w:t>
            </w:r>
            <w:r>
              <w:rPr>
                <w:rFonts w:hint="default" w:ascii="Times New Roman" w:hAnsi="Times New Roman" w:cs="Times New Roman"/>
                <w:b w:val="0"/>
                <w:bCs/>
                <w:color w:val="0000FF"/>
                <w:sz w:val="21"/>
                <w:szCs w:val="21"/>
                <w:highlight w:val="none"/>
              </w:rPr>
              <w:t>t/a</w:t>
            </w:r>
            <w:r>
              <w:rPr>
                <w:rFonts w:hint="eastAsia" w:ascii="Times New Roman" w:hAnsi="Times New Roman" w:cs="Times New Roman"/>
                <w:b w:val="0"/>
                <w:bCs/>
                <w:color w:val="0000FF"/>
                <w:sz w:val="21"/>
                <w:szCs w:val="21"/>
                <w:highlight w:val="none"/>
                <w:lang w:val="en-US" w:eastAsia="zh-CN"/>
              </w:rPr>
              <w:t>=</w:t>
            </w:r>
            <w:r>
              <w:rPr>
                <w:rFonts w:hint="default" w:ascii="Times New Roman" w:hAnsi="Times New Roman" w:cs="Times New Roman"/>
                <w:color w:val="0000FF"/>
                <w:sz w:val="21"/>
                <w:szCs w:val="20"/>
                <w:highlight w:val="none"/>
                <w:lang w:val="en-US" w:eastAsia="zh-CN"/>
              </w:rPr>
              <w:t>43.503t/a</w:t>
            </w:r>
            <w:r>
              <w:rPr>
                <w:rFonts w:hint="eastAsia" w:ascii="Times New Roman" w:hAnsi="Times New Roman" w:cs="Times New Roman"/>
                <w:color w:val="0000FF"/>
                <w:sz w:val="21"/>
                <w:szCs w:val="20"/>
                <w:highlight w:val="none"/>
                <w:lang w:val="en-US" w:eastAsia="zh-CN"/>
              </w:rPr>
              <w:t>；</w:t>
            </w:r>
          </w:p>
          <w:p w14:paraId="6E4AB38A">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eastAsia" w:ascii="Times New Roman" w:hAnsi="Times New Roman" w:cs="Times New Roman"/>
                <w:b w:val="0"/>
                <w:bCs/>
                <w:color w:val="0000FF"/>
                <w:sz w:val="21"/>
                <w:szCs w:val="21"/>
                <w:highlight w:val="none"/>
                <w:lang w:eastAsia="zh-CN"/>
              </w:rPr>
            </w:pPr>
            <w:r>
              <w:rPr>
                <w:rFonts w:hint="default" w:ascii="Times New Roman" w:hAnsi="Times New Roman" w:cs="Times New Roman"/>
                <w:color w:val="0000FF"/>
                <w:sz w:val="21"/>
                <w:szCs w:val="20"/>
                <w:highlight w:val="none"/>
                <w:lang w:val="en-US" w:eastAsia="zh-CN"/>
              </w:rPr>
              <w:t>氨氮：5.887t/a</w:t>
            </w:r>
            <w:r>
              <w:rPr>
                <w:rFonts w:hint="eastAsia" w:ascii="Times New Roman" w:hAnsi="Times New Roman" w:cs="Times New Roman"/>
                <w:color w:val="0000FF"/>
                <w:sz w:val="21"/>
                <w:szCs w:val="20"/>
                <w:highlight w:val="none"/>
                <w:lang w:val="en-US" w:eastAsia="zh-CN"/>
              </w:rPr>
              <w:t xml:space="preserve"> -</w:t>
            </w:r>
            <w:r>
              <w:rPr>
                <w:rFonts w:hint="default" w:ascii="Times New Roman" w:hAnsi="Times New Roman" w:cs="Times New Roman"/>
                <w:b w:val="0"/>
                <w:bCs/>
                <w:color w:val="0000FF"/>
                <w:sz w:val="21"/>
                <w:szCs w:val="21"/>
                <w:highlight w:val="none"/>
              </w:rPr>
              <w:t>0.</w:t>
            </w:r>
            <w:r>
              <w:rPr>
                <w:rFonts w:hint="default" w:ascii="Times New Roman" w:hAnsi="Times New Roman" w:cs="Times New Roman"/>
                <w:b w:val="0"/>
                <w:bCs/>
                <w:color w:val="0000FF"/>
                <w:sz w:val="21"/>
                <w:szCs w:val="21"/>
                <w:highlight w:val="none"/>
                <w:lang w:val="en-US" w:eastAsia="zh-CN"/>
              </w:rPr>
              <w:t>55</w:t>
            </w:r>
            <w:r>
              <w:rPr>
                <w:rFonts w:hint="eastAsia" w:ascii="Times New Roman" w:hAnsi="Times New Roman" w:cs="Times New Roman"/>
                <w:b w:val="0"/>
                <w:bCs/>
                <w:color w:val="0000FF"/>
                <w:sz w:val="21"/>
                <w:szCs w:val="21"/>
                <w:highlight w:val="none"/>
                <w:lang w:val="en-US" w:eastAsia="zh-CN"/>
              </w:rPr>
              <w:t>5</w:t>
            </w:r>
            <w:r>
              <w:rPr>
                <w:rFonts w:hint="default" w:ascii="Times New Roman" w:hAnsi="Times New Roman" w:cs="Times New Roman"/>
                <w:b w:val="0"/>
                <w:bCs/>
                <w:color w:val="0000FF"/>
                <w:sz w:val="21"/>
                <w:szCs w:val="21"/>
                <w:highlight w:val="none"/>
              </w:rPr>
              <w:t>t/a</w:t>
            </w:r>
            <w:r>
              <w:rPr>
                <w:rFonts w:hint="eastAsia" w:ascii="Times New Roman" w:hAnsi="Times New Roman" w:cs="Times New Roman"/>
                <w:b w:val="0"/>
                <w:bCs/>
                <w:color w:val="0000FF"/>
                <w:sz w:val="21"/>
                <w:szCs w:val="21"/>
                <w:highlight w:val="none"/>
                <w:lang w:val="en-US" w:eastAsia="zh-CN"/>
              </w:rPr>
              <w:t>=</w:t>
            </w:r>
            <w:r>
              <w:rPr>
                <w:rFonts w:hint="default" w:ascii="Times New Roman" w:hAnsi="Times New Roman" w:cs="Times New Roman"/>
                <w:color w:val="0000FF"/>
                <w:sz w:val="21"/>
                <w:szCs w:val="20"/>
                <w:highlight w:val="none"/>
                <w:lang w:val="en-US" w:eastAsia="zh-CN"/>
              </w:rPr>
              <w:t>5.33</w:t>
            </w:r>
            <w:r>
              <w:rPr>
                <w:rFonts w:hint="eastAsia" w:ascii="Times New Roman" w:hAnsi="Times New Roman" w:cs="Times New Roman"/>
                <w:color w:val="0000FF"/>
                <w:sz w:val="21"/>
                <w:szCs w:val="20"/>
                <w:highlight w:val="none"/>
                <w:lang w:val="en-US" w:eastAsia="zh-CN"/>
              </w:rPr>
              <w:t>2</w:t>
            </w:r>
            <w:r>
              <w:rPr>
                <w:rFonts w:hint="default" w:ascii="Times New Roman" w:hAnsi="Times New Roman" w:cs="Times New Roman"/>
                <w:color w:val="0000FF"/>
                <w:sz w:val="21"/>
                <w:szCs w:val="20"/>
                <w:highlight w:val="none"/>
                <w:lang w:val="en-US" w:eastAsia="zh-CN"/>
              </w:rPr>
              <w:t>t/a</w:t>
            </w:r>
            <w:r>
              <w:rPr>
                <w:rFonts w:hint="default" w:ascii="Times New Roman" w:hAnsi="Times New Roman" w:eastAsia="宋体" w:cs="Times New Roman"/>
                <w:color w:val="0000FF"/>
                <w:spacing w:val="0"/>
                <w:w w:val="100"/>
                <w:kern w:val="2"/>
                <w:position w:val="0"/>
                <w:sz w:val="21"/>
                <w:szCs w:val="24"/>
                <w:highlight w:val="none"/>
                <w:lang w:val="en-US" w:eastAsia="zh-CN" w:bidi="ar-SA"/>
              </w:rPr>
              <w:t>。</w:t>
            </w:r>
          </w:p>
          <w:p w14:paraId="4B9BB02D">
            <w:pPr>
              <w:pStyle w:val="41"/>
              <w:keepNext w:val="0"/>
              <w:keepLines w:val="0"/>
              <w:pageBreakBefore w:val="0"/>
              <w:widowControl w:val="0"/>
              <w:kinsoku/>
              <w:wordWrap/>
              <w:overflowPunct/>
              <w:topLinePunct w:val="0"/>
              <w:autoSpaceDE/>
              <w:autoSpaceDN/>
              <w:bidi w:val="0"/>
              <w:adjustRightInd/>
              <w:snapToGrid/>
              <w:spacing w:line="360" w:lineRule="auto"/>
              <w:ind w:firstLine="420" w:firstLineChars="200"/>
              <w:jc w:val="both"/>
              <w:textAlignment w:val="auto"/>
              <w:rPr>
                <w:rFonts w:hint="default" w:ascii="Times New Roman" w:hAnsi="Times New Roman" w:cs="Times New Roman"/>
                <w:color w:val="0000FF"/>
                <w:sz w:val="21"/>
                <w:szCs w:val="21"/>
                <w:highlight w:val="none"/>
                <w:lang w:val="en-US" w:eastAsia="zh-CN"/>
              </w:rPr>
            </w:pPr>
            <w:r>
              <w:rPr>
                <w:rFonts w:hint="eastAsia" w:ascii="Times New Roman" w:hAnsi="Times New Roman" w:eastAsia="宋体" w:cs="Times New Roman"/>
                <w:color w:val="0000FF"/>
                <w:sz w:val="21"/>
                <w:szCs w:val="21"/>
                <w:highlight w:val="none"/>
                <w:lang w:val="en-US" w:eastAsia="zh-CN"/>
              </w:rPr>
              <w:t>本项目</w:t>
            </w:r>
            <w:r>
              <w:rPr>
                <w:rFonts w:hint="eastAsia" w:ascii="Times New Roman" w:hAnsi="Times New Roman" w:cs="Times New Roman"/>
                <w:color w:val="0000FF"/>
                <w:sz w:val="21"/>
                <w:szCs w:val="21"/>
                <w:highlight w:val="none"/>
                <w:lang w:val="en-US" w:eastAsia="zh-CN"/>
              </w:rPr>
              <w:t>实施以新代老削减后，项目新增污染物排放量：COD0.066t/a，氨氮0.004t/a，</w:t>
            </w:r>
          </w:p>
          <w:p w14:paraId="6D341A8A">
            <w:pPr>
              <w:pStyle w:val="41"/>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FF"/>
                <w:sz w:val="21"/>
                <w:szCs w:val="20"/>
                <w:highlight w:val="none"/>
                <w:lang w:val="en-US" w:eastAsia="zh-CN"/>
              </w:rPr>
            </w:pPr>
            <w:r>
              <w:rPr>
                <w:rFonts w:hint="eastAsia" w:ascii="Times New Roman" w:hAnsi="Times New Roman" w:cs="Times New Roman"/>
                <w:color w:val="0000FF"/>
                <w:sz w:val="21"/>
                <w:szCs w:val="20"/>
                <w:highlight w:val="none"/>
                <w:lang w:val="en-US" w:eastAsia="zh-CN"/>
              </w:rPr>
              <w:t>所需总量全部从企业现有管理减排富余指标内统筹调剂。</w:t>
            </w:r>
            <w:r>
              <w:rPr>
                <w:rFonts w:hint="default" w:ascii="Times New Roman" w:hAnsi="Times New Roman" w:eastAsia="宋体" w:cs="Times New Roman"/>
                <w:color w:val="0000FF"/>
                <w:sz w:val="21"/>
                <w:szCs w:val="21"/>
                <w:highlight w:val="none"/>
                <w:lang w:val="en-US" w:eastAsia="zh-CN"/>
              </w:rPr>
              <w:t>指标占用后，</w:t>
            </w:r>
            <w:r>
              <w:rPr>
                <w:rFonts w:hint="eastAsia" w:ascii="Times New Roman" w:hAnsi="Times New Roman" w:cs="Times New Roman"/>
                <w:color w:val="0000FF"/>
                <w:sz w:val="21"/>
                <w:szCs w:val="20"/>
                <w:highlight w:val="none"/>
                <w:lang w:val="en-US" w:eastAsia="zh-CN"/>
              </w:rPr>
              <w:t>企业仍留存充足富余总量（</w:t>
            </w:r>
            <w:r>
              <w:rPr>
                <w:rFonts w:hint="default" w:ascii="Times New Roman" w:hAnsi="Times New Roman" w:cs="Times New Roman"/>
                <w:color w:val="0000FF"/>
                <w:sz w:val="21"/>
                <w:szCs w:val="20"/>
                <w:highlight w:val="none"/>
                <w:lang w:val="en-US" w:eastAsia="zh-CN"/>
              </w:rPr>
              <w:t>COD：</w:t>
            </w:r>
            <w:r>
              <w:rPr>
                <w:rFonts w:hint="eastAsia" w:ascii="Times New Roman" w:hAnsi="Times New Roman" w:cs="Times New Roman"/>
                <w:color w:val="0000FF"/>
                <w:sz w:val="21"/>
                <w:szCs w:val="20"/>
                <w:highlight w:val="none"/>
                <w:lang w:val="en-US" w:eastAsia="zh-CN"/>
              </w:rPr>
              <w:t>43.437</w:t>
            </w:r>
            <w:r>
              <w:rPr>
                <w:rFonts w:hint="default" w:ascii="Times New Roman" w:hAnsi="Times New Roman" w:cs="Times New Roman"/>
                <w:color w:val="0000FF"/>
                <w:sz w:val="21"/>
                <w:szCs w:val="20"/>
                <w:highlight w:val="none"/>
                <w:lang w:val="en-US" w:eastAsia="zh-CN"/>
              </w:rPr>
              <w:t>t/a、氨氮：5.</w:t>
            </w:r>
            <w:r>
              <w:rPr>
                <w:rFonts w:hint="eastAsia" w:ascii="Times New Roman" w:hAnsi="Times New Roman" w:cs="Times New Roman"/>
                <w:color w:val="0000FF"/>
                <w:sz w:val="21"/>
                <w:szCs w:val="20"/>
                <w:highlight w:val="none"/>
                <w:lang w:val="en-US" w:eastAsia="zh-CN"/>
              </w:rPr>
              <w:t>328</w:t>
            </w:r>
            <w:r>
              <w:rPr>
                <w:rFonts w:hint="default" w:ascii="Times New Roman" w:hAnsi="Times New Roman" w:cs="Times New Roman"/>
                <w:color w:val="0000FF"/>
                <w:sz w:val="21"/>
                <w:szCs w:val="20"/>
                <w:highlight w:val="none"/>
                <w:lang w:val="en-US" w:eastAsia="zh-CN"/>
              </w:rPr>
              <w:t xml:space="preserve">t/a </w:t>
            </w:r>
            <w:r>
              <w:rPr>
                <w:rFonts w:hint="eastAsia" w:ascii="Times New Roman" w:hAnsi="Times New Roman" w:cs="Times New Roman"/>
                <w:color w:val="0000FF"/>
                <w:sz w:val="21"/>
                <w:szCs w:val="20"/>
                <w:highlight w:val="none"/>
                <w:lang w:val="en-US" w:eastAsia="zh-CN"/>
              </w:rPr>
              <w:t>），无需向生态环境主管部门另行申请新增污染物排放总量指标。</w:t>
            </w:r>
          </w:p>
          <w:p w14:paraId="4C300432">
            <w:pPr>
              <w:pStyle w:val="41"/>
              <w:keepNext w:val="0"/>
              <w:keepLines w:val="0"/>
              <w:pageBreakBefore w:val="0"/>
              <w:widowControl w:val="0"/>
              <w:kinsoku/>
              <w:wordWrap/>
              <w:overflowPunct/>
              <w:topLinePunct w:val="0"/>
              <w:autoSpaceDE/>
              <w:autoSpaceDN/>
              <w:bidi w:val="0"/>
              <w:adjustRightInd/>
              <w:snapToGrid/>
              <w:spacing w:line="360" w:lineRule="auto"/>
              <w:ind w:firstLine="422" w:firstLineChars="200"/>
              <w:jc w:val="center"/>
              <w:textAlignment w:val="auto"/>
              <w:rPr>
                <w:rFonts w:hint="default" w:ascii="Times New Roman" w:hAnsi="Times New Roman" w:eastAsia="宋体" w:cs="Times New Roman"/>
                <w:color w:val="0000FF"/>
                <w:sz w:val="21"/>
                <w:szCs w:val="21"/>
                <w:highlight w:val="none"/>
                <w:lang w:val="en-US" w:eastAsia="zh-CN"/>
              </w:rPr>
            </w:pPr>
            <w:r>
              <w:rPr>
                <w:rFonts w:ascii="Times New Roman" w:hAnsi="Times New Roman" w:eastAsia="宋体" w:cs="Times New Roman"/>
                <w:b/>
                <w:bCs/>
                <w:color w:val="0000FF"/>
                <w:kern w:val="2"/>
                <w:sz w:val="21"/>
                <w:szCs w:val="21"/>
                <w:highlight w:val="none"/>
                <w:lang w:val="en-US" w:eastAsia="zh-CN" w:bidi="ar-SA"/>
              </w:rPr>
              <w:t>表</w:t>
            </w:r>
            <w:r>
              <w:rPr>
                <w:rFonts w:hint="eastAsia" w:ascii="Times New Roman" w:hAnsi="Times New Roman" w:eastAsia="宋体" w:cs="Times New Roman"/>
                <w:b/>
                <w:bCs/>
                <w:color w:val="0000FF"/>
                <w:kern w:val="2"/>
                <w:sz w:val="21"/>
                <w:szCs w:val="21"/>
                <w:highlight w:val="none"/>
                <w:lang w:val="en-US" w:eastAsia="zh-CN" w:bidi="ar-SA"/>
              </w:rPr>
              <w:t xml:space="preserve"> </w:t>
            </w:r>
            <w:r>
              <w:rPr>
                <w:rFonts w:hint="default" w:ascii="Times New Roman" w:hAnsi="Times New Roman" w:eastAsia="宋体" w:cs="Times New Roman"/>
                <w:b/>
                <w:bCs/>
                <w:color w:val="0000FF"/>
                <w:kern w:val="2"/>
                <w:sz w:val="21"/>
                <w:szCs w:val="21"/>
                <w:highlight w:val="none"/>
                <w:lang w:val="en-US" w:eastAsia="zh-CN" w:bidi="ar-SA"/>
              </w:rPr>
              <w:t>3-</w:t>
            </w:r>
            <w:r>
              <w:rPr>
                <w:rFonts w:hint="eastAsia" w:ascii="Times New Roman" w:hAnsi="Times New Roman" w:cs="Times New Roman"/>
                <w:b/>
                <w:bCs/>
                <w:color w:val="0000FF"/>
                <w:kern w:val="2"/>
                <w:sz w:val="21"/>
                <w:szCs w:val="21"/>
                <w:highlight w:val="none"/>
                <w:lang w:val="en-US" w:eastAsia="zh-CN" w:bidi="ar-SA"/>
              </w:rPr>
              <w:t>13 本次管理减排后废水污染物总量控制指标一览表 单位：t/a</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62"/>
              <w:gridCol w:w="746"/>
              <w:gridCol w:w="1552"/>
              <w:gridCol w:w="1324"/>
              <w:gridCol w:w="1324"/>
              <w:gridCol w:w="1431"/>
              <w:gridCol w:w="1433"/>
            </w:tblGrid>
            <w:tr w14:paraId="1732F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624" w:type="pct"/>
                  <w:gridSpan w:val="2"/>
                  <w:vAlign w:val="center"/>
                </w:tcPr>
                <w:p w14:paraId="61A05983">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rPr>
                  </w:pPr>
                  <w:r>
                    <w:rPr>
                      <w:rFonts w:hint="default" w:ascii="Times New Roman" w:hAnsi="Times New Roman" w:eastAsia="宋体" w:cs="Times New Roman"/>
                      <w:b w:val="0"/>
                      <w:bCs w:val="0"/>
                      <w:color w:val="0000FF"/>
                      <w:spacing w:val="0"/>
                      <w:w w:val="100"/>
                      <w:position w:val="0"/>
                      <w:sz w:val="21"/>
                      <w:szCs w:val="21"/>
                      <w:highlight w:val="none"/>
                    </w:rPr>
                    <w:t>项目</w:t>
                  </w:r>
                </w:p>
              </w:tc>
              <w:tc>
                <w:tcPr>
                  <w:tcW w:w="961" w:type="pct"/>
                  <w:vAlign w:val="center"/>
                </w:tcPr>
                <w:p w14:paraId="08E9DDAC">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rPr>
                  </w:pPr>
                  <w:r>
                    <w:rPr>
                      <w:rFonts w:hint="default" w:ascii="Times New Roman" w:hAnsi="Times New Roman" w:eastAsia="宋体" w:cs="Times New Roman"/>
                      <w:b w:val="0"/>
                      <w:bCs w:val="0"/>
                      <w:color w:val="0000FF"/>
                      <w:spacing w:val="0"/>
                      <w:w w:val="100"/>
                      <w:position w:val="0"/>
                      <w:sz w:val="21"/>
                      <w:szCs w:val="21"/>
                      <w:highlight w:val="none"/>
                      <w:lang w:val="en-US" w:eastAsia="zh-CN"/>
                    </w:rPr>
                    <w:t>全厂现有</w:t>
                  </w:r>
                  <w:r>
                    <w:rPr>
                      <w:rFonts w:hint="eastAsia" w:cs="Times New Roman"/>
                      <w:b w:val="0"/>
                      <w:bCs w:val="0"/>
                      <w:color w:val="0000FF"/>
                      <w:spacing w:val="0"/>
                      <w:w w:val="100"/>
                      <w:position w:val="0"/>
                      <w:sz w:val="21"/>
                      <w:szCs w:val="21"/>
                      <w:highlight w:val="none"/>
                      <w:lang w:val="en-US" w:eastAsia="zh-CN"/>
                    </w:rPr>
                    <w:t>总量</w:t>
                  </w:r>
                  <w:r>
                    <w:rPr>
                      <w:rFonts w:hint="default" w:ascii="Times New Roman" w:hAnsi="Times New Roman" w:eastAsia="宋体" w:cs="Times New Roman"/>
                      <w:b w:val="0"/>
                      <w:bCs w:val="0"/>
                      <w:color w:val="0000FF"/>
                      <w:spacing w:val="0"/>
                      <w:w w:val="100"/>
                      <w:position w:val="0"/>
                      <w:sz w:val="21"/>
                      <w:szCs w:val="21"/>
                      <w:highlight w:val="none"/>
                    </w:rPr>
                    <w:t>控制指标（t/a）</w:t>
                  </w:r>
                </w:p>
              </w:tc>
              <w:tc>
                <w:tcPr>
                  <w:tcW w:w="820" w:type="pct"/>
                  <w:vAlign w:val="center"/>
                </w:tcPr>
                <w:p w14:paraId="4CDD3681">
                  <w:pPr>
                    <w:keepNext w:val="0"/>
                    <w:keepLines w:val="0"/>
                    <w:widowControl/>
                    <w:suppressLineNumbers w:val="0"/>
                    <w:shd w:val="clear"/>
                    <w:tabs>
                      <w:tab w:val="left" w:pos="460"/>
                    </w:tabs>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本次通过管理减排后现有工程总量</w:t>
                  </w:r>
                  <w:r>
                    <w:rPr>
                      <w:rFonts w:hint="default" w:ascii="Times New Roman" w:hAnsi="Times New Roman" w:eastAsia="宋体" w:cs="Times New Roman"/>
                      <w:b w:val="0"/>
                      <w:bCs w:val="0"/>
                      <w:color w:val="0000FF"/>
                      <w:spacing w:val="0"/>
                      <w:w w:val="100"/>
                      <w:position w:val="0"/>
                      <w:sz w:val="21"/>
                      <w:szCs w:val="21"/>
                      <w:highlight w:val="none"/>
                    </w:rPr>
                    <w:t>指标（t/a）</w:t>
                  </w:r>
                </w:p>
              </w:tc>
              <w:tc>
                <w:tcPr>
                  <w:tcW w:w="820" w:type="pct"/>
                  <w:vAlign w:val="center"/>
                </w:tcPr>
                <w:p w14:paraId="75FFFDA8">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rPr>
                  </w:pPr>
                  <w:r>
                    <w:rPr>
                      <w:rFonts w:hint="default" w:ascii="Times New Roman" w:hAnsi="Times New Roman" w:eastAsia="宋体" w:cs="Times New Roman"/>
                      <w:b w:val="0"/>
                      <w:bCs w:val="0"/>
                      <w:color w:val="0000FF"/>
                      <w:spacing w:val="0"/>
                      <w:w w:val="100"/>
                      <w:position w:val="0"/>
                      <w:sz w:val="21"/>
                      <w:szCs w:val="21"/>
                      <w:highlight w:val="none"/>
                      <w:lang w:val="en-US" w:eastAsia="zh-CN"/>
                    </w:rPr>
                    <w:t>全厂现有</w:t>
                  </w:r>
                  <w:r>
                    <w:rPr>
                      <w:rFonts w:hint="eastAsia" w:cs="Times New Roman"/>
                      <w:b w:val="0"/>
                      <w:bCs w:val="0"/>
                      <w:color w:val="0000FF"/>
                      <w:spacing w:val="0"/>
                      <w:w w:val="100"/>
                      <w:position w:val="0"/>
                      <w:sz w:val="21"/>
                      <w:szCs w:val="21"/>
                      <w:highlight w:val="none"/>
                      <w:lang w:val="en-US" w:eastAsia="zh-CN"/>
                    </w:rPr>
                    <w:t>总量富余量</w:t>
                  </w:r>
                  <w:r>
                    <w:rPr>
                      <w:rFonts w:hint="default" w:ascii="Times New Roman" w:hAnsi="Times New Roman" w:eastAsia="宋体" w:cs="Times New Roman"/>
                      <w:b w:val="0"/>
                      <w:bCs w:val="0"/>
                      <w:color w:val="0000FF"/>
                      <w:spacing w:val="0"/>
                      <w:w w:val="100"/>
                      <w:position w:val="0"/>
                      <w:sz w:val="21"/>
                      <w:szCs w:val="21"/>
                      <w:highlight w:val="none"/>
                    </w:rPr>
                    <w:t>（t/a）</w:t>
                  </w:r>
                </w:p>
              </w:tc>
              <w:tc>
                <w:tcPr>
                  <w:tcW w:w="886" w:type="pct"/>
                  <w:vAlign w:val="center"/>
                </w:tcPr>
                <w:p w14:paraId="604651D4">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本项目占用量</w:t>
                  </w:r>
                  <w:r>
                    <w:rPr>
                      <w:rFonts w:hint="default" w:ascii="Times New Roman" w:hAnsi="Times New Roman" w:eastAsia="宋体" w:cs="Times New Roman"/>
                      <w:b w:val="0"/>
                      <w:bCs w:val="0"/>
                      <w:color w:val="0000FF"/>
                      <w:spacing w:val="0"/>
                      <w:w w:val="100"/>
                      <w:position w:val="0"/>
                      <w:sz w:val="21"/>
                      <w:szCs w:val="21"/>
                      <w:highlight w:val="none"/>
                    </w:rPr>
                    <w:t>（t/a）</w:t>
                  </w:r>
                </w:p>
              </w:tc>
              <w:tc>
                <w:tcPr>
                  <w:tcW w:w="887" w:type="pct"/>
                  <w:vAlign w:val="center"/>
                </w:tcPr>
                <w:p w14:paraId="6295ABA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企业剩余总量指标富余量</w:t>
                  </w:r>
                  <w:r>
                    <w:rPr>
                      <w:rFonts w:hint="default" w:ascii="Times New Roman" w:hAnsi="Times New Roman" w:eastAsia="宋体" w:cs="Times New Roman"/>
                      <w:b w:val="0"/>
                      <w:bCs w:val="0"/>
                      <w:color w:val="0000FF"/>
                      <w:spacing w:val="0"/>
                      <w:w w:val="100"/>
                      <w:position w:val="0"/>
                      <w:sz w:val="21"/>
                      <w:szCs w:val="21"/>
                      <w:highlight w:val="none"/>
                    </w:rPr>
                    <w:t>（t/a）</w:t>
                  </w:r>
                </w:p>
              </w:tc>
            </w:tr>
            <w:tr w14:paraId="3EB53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restart"/>
                  <w:vAlign w:val="center"/>
                </w:tcPr>
                <w:p w14:paraId="749CD744">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rPr>
                  </w:pPr>
                  <w:r>
                    <w:rPr>
                      <w:rFonts w:hint="default" w:ascii="Times New Roman" w:hAnsi="Times New Roman" w:eastAsia="宋体" w:cs="Times New Roman"/>
                      <w:b w:val="0"/>
                      <w:bCs w:val="0"/>
                      <w:color w:val="0000FF"/>
                      <w:spacing w:val="0"/>
                      <w:w w:val="100"/>
                      <w:position w:val="0"/>
                      <w:sz w:val="21"/>
                      <w:szCs w:val="21"/>
                      <w:highlight w:val="none"/>
                    </w:rPr>
                    <w:t>废水</w:t>
                  </w:r>
                </w:p>
              </w:tc>
              <w:tc>
                <w:tcPr>
                  <w:tcW w:w="462" w:type="pct"/>
                  <w:vAlign w:val="center"/>
                </w:tcPr>
                <w:p w14:paraId="0D92990B">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rPr>
                  </w:pPr>
                  <w:r>
                    <w:rPr>
                      <w:rFonts w:hint="default" w:ascii="Times New Roman" w:hAnsi="Times New Roman" w:eastAsia="宋体" w:cs="Times New Roman"/>
                      <w:b w:val="0"/>
                      <w:bCs w:val="0"/>
                      <w:color w:val="0000FF"/>
                      <w:spacing w:val="0"/>
                      <w:w w:val="100"/>
                      <w:position w:val="0"/>
                      <w:sz w:val="21"/>
                      <w:szCs w:val="21"/>
                      <w:highlight w:val="none"/>
                    </w:rPr>
                    <w:t>COD</w:t>
                  </w:r>
                </w:p>
              </w:tc>
              <w:tc>
                <w:tcPr>
                  <w:tcW w:w="961" w:type="pct"/>
                  <w:vAlign w:val="center"/>
                </w:tcPr>
                <w:p w14:paraId="083EFD1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aps w:val="0"/>
                      <w:color w:val="0000FF"/>
                      <w:spacing w:val="0"/>
                      <w:kern w:val="2"/>
                      <w:sz w:val="21"/>
                      <w:szCs w:val="21"/>
                      <w:highlight w:val="none"/>
                      <w:lang w:val="en-US" w:eastAsia="zh-CN" w:bidi="ar-SA"/>
                    </w:rPr>
                    <w:t>54.595</w:t>
                  </w:r>
                </w:p>
              </w:tc>
              <w:tc>
                <w:tcPr>
                  <w:tcW w:w="820" w:type="pct"/>
                  <w:shd w:val="clear" w:color="auto" w:fill="auto"/>
                  <w:vAlign w:val="center"/>
                </w:tcPr>
                <w:p w14:paraId="7E09A046">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11.092</w:t>
                  </w:r>
                </w:p>
              </w:tc>
              <w:tc>
                <w:tcPr>
                  <w:tcW w:w="820" w:type="pct"/>
                  <w:shd w:val="clear" w:color="auto" w:fill="auto"/>
                  <w:vAlign w:val="center"/>
                </w:tcPr>
                <w:p w14:paraId="340C836E">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43.503</w:t>
                  </w:r>
                </w:p>
              </w:tc>
              <w:tc>
                <w:tcPr>
                  <w:tcW w:w="886" w:type="pct"/>
                  <w:vAlign w:val="center"/>
                </w:tcPr>
                <w:p w14:paraId="1ED615E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0.066</w:t>
                  </w:r>
                </w:p>
              </w:tc>
              <w:tc>
                <w:tcPr>
                  <w:tcW w:w="887" w:type="pct"/>
                  <w:vAlign w:val="center"/>
                </w:tcPr>
                <w:p w14:paraId="34BC4B01">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43.437</w:t>
                  </w:r>
                </w:p>
              </w:tc>
            </w:tr>
            <w:tr w14:paraId="1692C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2" w:type="pct"/>
                  <w:vMerge w:val="continue"/>
                  <w:vAlign w:val="center"/>
                </w:tcPr>
                <w:p w14:paraId="01DED360">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rPr>
                  </w:pPr>
                </w:p>
              </w:tc>
              <w:tc>
                <w:tcPr>
                  <w:tcW w:w="462" w:type="pct"/>
                  <w:vAlign w:val="center"/>
                </w:tcPr>
                <w:p w14:paraId="18598307">
                  <w:pPr>
                    <w:keepNext w:val="0"/>
                    <w:keepLines w:val="0"/>
                    <w:widowControl/>
                    <w:suppressLineNumbers w:val="0"/>
                    <w:shd w:val="clear"/>
                    <w:adjustRightInd w:val="0"/>
                    <w:snapToGrid w:val="0"/>
                    <w:spacing w:before="0" w:beforeAutospacing="0" w:after="0" w:afterAutospacing="0" w:line="280" w:lineRule="exact"/>
                    <w:ind w:left="0" w:right="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rPr>
                  </w:pPr>
                  <w:r>
                    <w:rPr>
                      <w:rFonts w:hint="default" w:ascii="Times New Roman" w:hAnsi="Times New Roman" w:eastAsia="宋体" w:cs="Times New Roman"/>
                      <w:b w:val="0"/>
                      <w:bCs w:val="0"/>
                      <w:color w:val="0000FF"/>
                      <w:spacing w:val="0"/>
                      <w:w w:val="100"/>
                      <w:position w:val="0"/>
                      <w:sz w:val="21"/>
                      <w:szCs w:val="21"/>
                      <w:highlight w:val="none"/>
                    </w:rPr>
                    <w:t>氨氮</w:t>
                  </w:r>
                </w:p>
              </w:tc>
              <w:tc>
                <w:tcPr>
                  <w:tcW w:w="961" w:type="pct"/>
                  <w:vAlign w:val="center"/>
                </w:tcPr>
                <w:p w14:paraId="6F255B9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aps w:val="0"/>
                      <w:color w:val="0000FF"/>
                      <w:spacing w:val="0"/>
                      <w:kern w:val="2"/>
                      <w:sz w:val="21"/>
                      <w:szCs w:val="21"/>
                      <w:highlight w:val="none"/>
                      <w:lang w:val="en-US" w:eastAsia="zh-CN" w:bidi="ar-SA"/>
                    </w:rPr>
                    <w:t>5.887</w:t>
                  </w:r>
                </w:p>
              </w:tc>
              <w:tc>
                <w:tcPr>
                  <w:tcW w:w="820" w:type="pct"/>
                  <w:shd w:val="clear" w:color="auto" w:fill="auto"/>
                  <w:vAlign w:val="center"/>
                </w:tcPr>
                <w:p w14:paraId="327ECDE2">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0.555</w:t>
                  </w:r>
                </w:p>
              </w:tc>
              <w:tc>
                <w:tcPr>
                  <w:tcW w:w="820" w:type="pct"/>
                  <w:shd w:val="clear" w:color="auto" w:fill="auto"/>
                  <w:vAlign w:val="center"/>
                </w:tcPr>
                <w:p w14:paraId="6BF4B0EC">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5.332</w:t>
                  </w:r>
                </w:p>
              </w:tc>
              <w:tc>
                <w:tcPr>
                  <w:tcW w:w="886" w:type="pct"/>
                  <w:vAlign w:val="center"/>
                </w:tcPr>
                <w:p w14:paraId="6967958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0.004</w:t>
                  </w:r>
                </w:p>
              </w:tc>
              <w:tc>
                <w:tcPr>
                  <w:tcW w:w="887" w:type="pct"/>
                  <w:vAlign w:val="center"/>
                </w:tcPr>
                <w:p w14:paraId="0217A307">
                  <w:pPr>
                    <w:keepNext w:val="0"/>
                    <w:keepLines w:val="0"/>
                    <w:widowControl/>
                    <w:suppressLineNumbers w:val="0"/>
                    <w:shd w:val="clear"/>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b w:val="0"/>
                      <w:bCs w:val="0"/>
                      <w:color w:val="0000FF"/>
                      <w:spacing w:val="0"/>
                      <w:w w:val="100"/>
                      <w:position w:val="0"/>
                      <w:sz w:val="21"/>
                      <w:szCs w:val="21"/>
                      <w:highlight w:val="none"/>
                      <w:lang w:val="en-US" w:eastAsia="zh-CN"/>
                    </w:rPr>
                  </w:pPr>
                  <w:r>
                    <w:rPr>
                      <w:rFonts w:hint="eastAsia" w:cs="Times New Roman"/>
                      <w:b w:val="0"/>
                      <w:bCs w:val="0"/>
                      <w:color w:val="0000FF"/>
                      <w:spacing w:val="0"/>
                      <w:w w:val="100"/>
                      <w:position w:val="0"/>
                      <w:sz w:val="21"/>
                      <w:szCs w:val="21"/>
                      <w:highlight w:val="none"/>
                      <w:lang w:val="en-US" w:eastAsia="zh-CN"/>
                    </w:rPr>
                    <w:t>5.328</w:t>
                  </w:r>
                </w:p>
              </w:tc>
            </w:tr>
          </w:tbl>
          <w:p w14:paraId="53CFF108">
            <w:pPr>
              <w:adjustRightInd/>
              <w:snapToGrid/>
              <w:spacing w:beforeLines="0" w:afterLines="0" w:line="360" w:lineRule="auto"/>
              <w:jc w:val="both"/>
              <w:rPr>
                <w:rFonts w:hint="eastAsia"/>
                <w:b/>
                <w:bCs/>
                <w:color w:val="0000FF"/>
                <w:sz w:val="21"/>
                <w:szCs w:val="21"/>
                <w:highlight w:val="none"/>
                <w:lang w:val="en-US" w:eastAsia="zh-CN"/>
              </w:rPr>
            </w:pPr>
          </w:p>
          <w:p w14:paraId="7D6F00E9">
            <w:pPr>
              <w:pStyle w:val="41"/>
              <w:keepNext w:val="0"/>
              <w:keepLines w:val="0"/>
              <w:pageBreakBefore w:val="0"/>
              <w:widowControl w:val="0"/>
              <w:kinsoku/>
              <w:wordWrap/>
              <w:overflowPunct/>
              <w:topLinePunct w:val="0"/>
              <w:autoSpaceDE/>
              <w:autoSpaceDN/>
              <w:bidi w:val="0"/>
              <w:adjustRightInd/>
              <w:snapToGrid/>
              <w:spacing w:afterLines="0" w:line="360" w:lineRule="auto"/>
              <w:ind w:firstLine="420" w:firstLineChars="200"/>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综上，本项目扩能改造完成后全厂总量控制指标保持不变，仍为：</w:t>
            </w:r>
            <w:r>
              <w:rPr>
                <w:rFonts w:hint="default" w:ascii="Times New Roman" w:hAnsi="Times New Roman" w:eastAsia="宋体" w:cs="Times New Roman"/>
                <w:color w:val="auto"/>
                <w:sz w:val="21"/>
                <w:szCs w:val="21"/>
                <w:highlight w:val="none"/>
                <w:lang w:val="en-US" w:eastAsia="zh-CN"/>
              </w:rPr>
              <w:t>SO</w:t>
            </w:r>
            <w:r>
              <w:rPr>
                <w:rFonts w:hint="default" w:ascii="Times New Roman" w:hAnsi="Times New Roman" w:eastAsia="宋体" w:cs="Times New Roman"/>
                <w:color w:val="auto"/>
                <w:sz w:val="21"/>
                <w:szCs w:val="21"/>
                <w:highlight w:val="none"/>
                <w:vertAlign w:val="subscript"/>
                <w:lang w:val="en-US" w:eastAsia="zh-CN"/>
              </w:rPr>
              <w:t>2</w:t>
            </w: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cs="Times New Roman"/>
                <w:color w:val="auto"/>
                <w:sz w:val="21"/>
                <w:szCs w:val="21"/>
                <w:highlight w:val="none"/>
                <w:lang w:val="en-US" w:eastAsia="zh-CN"/>
              </w:rPr>
              <w:t>5.940</w:t>
            </w:r>
            <w:r>
              <w:rPr>
                <w:rFonts w:hint="default" w:ascii="Times New Roman" w:hAnsi="Times New Roman" w:eastAsia="宋体" w:cs="Times New Roman"/>
                <w:color w:val="auto"/>
                <w:sz w:val="21"/>
                <w:szCs w:val="21"/>
                <w:highlight w:val="none"/>
                <w:lang w:val="en-US" w:eastAsia="zh-CN"/>
              </w:rPr>
              <w:t>t/a、NOx：</w:t>
            </w:r>
            <w:r>
              <w:rPr>
                <w:rFonts w:hint="eastAsia" w:ascii="Times New Roman" w:hAnsi="Times New Roman" w:cs="Times New Roman"/>
                <w:color w:val="auto"/>
                <w:sz w:val="21"/>
                <w:szCs w:val="21"/>
                <w:highlight w:val="none"/>
                <w:lang w:val="en-US" w:eastAsia="zh-CN"/>
              </w:rPr>
              <w:t>0</w:t>
            </w:r>
            <w:r>
              <w:rPr>
                <w:rFonts w:hint="default" w:ascii="Times New Roman" w:hAnsi="Times New Roman" w:eastAsia="宋体" w:cs="Times New Roman"/>
                <w:color w:val="auto"/>
                <w:sz w:val="21"/>
                <w:szCs w:val="21"/>
                <w:highlight w:val="none"/>
                <w:lang w:val="en-US" w:eastAsia="zh-CN"/>
              </w:rPr>
              <w:t>t/a、非甲烷总烃</w:t>
            </w:r>
            <w:r>
              <w:rPr>
                <w:rFonts w:hint="eastAsia" w:ascii="Times New Roman" w:hAnsi="Times New Roman" w:cs="Times New Roman"/>
                <w:color w:val="auto"/>
                <w:sz w:val="21"/>
                <w:szCs w:val="21"/>
                <w:highlight w:val="none"/>
                <w:lang w:val="en-US" w:eastAsia="zh-CN"/>
              </w:rPr>
              <w:t>122.950</w:t>
            </w:r>
            <w:r>
              <w:rPr>
                <w:rFonts w:hint="default" w:ascii="Times New Roman" w:hAnsi="Times New Roman" w:cs="Times New Roman"/>
                <w:color w:val="auto"/>
                <w:sz w:val="21"/>
                <w:szCs w:val="21"/>
                <w:highlight w:val="none"/>
                <w:lang w:val="en-US" w:eastAsia="zh-CN"/>
              </w:rPr>
              <w:t>t/a</w:t>
            </w:r>
            <w:r>
              <w:rPr>
                <w:rFonts w:hint="eastAsia" w:ascii="Times New Roman" w:hAnsi="Times New Roman"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颗粒物</w:t>
            </w:r>
            <w:commentRangeStart w:id="7"/>
            <w:r>
              <w:rPr>
                <w:rFonts w:hint="eastAsia" w:ascii="Times New Roman" w:hAnsi="Times New Roman" w:eastAsia="宋体" w:cs="Times New Roman"/>
                <w:color w:val="auto"/>
                <w:sz w:val="21"/>
                <w:szCs w:val="21"/>
                <w:highlight w:val="none"/>
                <w:lang w:val="en-US" w:eastAsia="zh-CN"/>
              </w:rPr>
              <w:t>81.</w:t>
            </w:r>
            <w:r>
              <w:rPr>
                <w:rFonts w:hint="eastAsia" w:ascii="Times New Roman" w:hAnsi="Times New Roman" w:cs="Times New Roman"/>
                <w:color w:val="auto"/>
                <w:sz w:val="21"/>
                <w:szCs w:val="21"/>
                <w:highlight w:val="none"/>
                <w:lang w:val="en-US" w:eastAsia="zh-CN"/>
              </w:rPr>
              <w:t>253</w:t>
            </w:r>
            <w:commentRangeEnd w:id="7"/>
            <w:r>
              <w:commentReference w:id="7"/>
            </w:r>
            <w:r>
              <w:rPr>
                <w:rFonts w:hint="eastAsia" w:ascii="Times New Roman" w:hAnsi="Times New Roman" w:eastAsia="宋体" w:cs="Times New Roman"/>
                <w:color w:val="auto"/>
                <w:sz w:val="21"/>
                <w:szCs w:val="21"/>
                <w:highlight w:val="none"/>
                <w:lang w:val="en-US" w:eastAsia="zh-CN"/>
              </w:rPr>
              <w:t>t/a、</w:t>
            </w:r>
            <w:r>
              <w:rPr>
                <w:rFonts w:hint="default" w:ascii="Times New Roman" w:hAnsi="Times New Roman" w:cs="Times New Roman"/>
                <w:color w:val="auto"/>
                <w:sz w:val="21"/>
                <w:szCs w:val="21"/>
                <w:highlight w:val="none"/>
                <w:lang w:val="en-US" w:eastAsia="zh-CN"/>
              </w:rPr>
              <w:t>COD</w:t>
            </w:r>
            <w:r>
              <w:rPr>
                <w:rFonts w:hint="eastAsia" w:ascii="Times New Roman" w:hAnsi="Times New Roman" w:cs="Times New Roman"/>
                <w:color w:val="auto"/>
                <w:sz w:val="21"/>
                <w:szCs w:val="21"/>
                <w:highlight w:val="none"/>
                <w:lang w:val="en-US" w:eastAsia="zh-CN"/>
              </w:rPr>
              <w:t>54.595</w:t>
            </w:r>
            <w:r>
              <w:rPr>
                <w:rFonts w:hint="default" w:ascii="Times New Roman" w:hAnsi="Times New Roman" w:cs="Times New Roman"/>
                <w:b w:val="0"/>
                <w:bCs w:val="0"/>
                <w:caps w:val="0"/>
                <w:color w:val="auto"/>
                <w:spacing w:val="0"/>
                <w:kern w:val="2"/>
                <w:sz w:val="21"/>
                <w:szCs w:val="21"/>
                <w:highlight w:val="none"/>
                <w:lang w:val="en-US" w:eastAsia="zh-CN" w:bidi="ar-SA"/>
              </w:rPr>
              <w:t>t</w:t>
            </w:r>
            <w:r>
              <w:rPr>
                <w:rFonts w:hint="default" w:ascii="Times New Roman" w:hAnsi="Times New Roman" w:cs="Times New Roman"/>
                <w:color w:val="auto"/>
                <w:sz w:val="21"/>
                <w:szCs w:val="21"/>
                <w:highlight w:val="none"/>
                <w:lang w:val="en-US" w:eastAsia="zh-CN"/>
              </w:rPr>
              <w:t>/a、氨氮</w:t>
            </w:r>
            <w:r>
              <w:rPr>
                <w:rFonts w:hint="eastAsia" w:ascii="Times New Roman" w:hAnsi="Times New Roman" w:cs="Times New Roman"/>
                <w:color w:val="auto"/>
                <w:sz w:val="21"/>
                <w:szCs w:val="21"/>
                <w:highlight w:val="none"/>
                <w:lang w:val="en-US" w:eastAsia="zh-CN"/>
              </w:rPr>
              <w:t>5.887t</w:t>
            </w:r>
            <w:r>
              <w:rPr>
                <w:rFonts w:hint="default" w:ascii="Times New Roman" w:hAnsi="Times New Roman" w:cs="Times New Roman"/>
                <w:color w:val="auto"/>
                <w:sz w:val="21"/>
                <w:szCs w:val="21"/>
                <w:highlight w:val="none"/>
                <w:lang w:val="en-US" w:eastAsia="zh-CN"/>
              </w:rPr>
              <w:t>/a</w:t>
            </w:r>
            <w:r>
              <w:rPr>
                <w:rFonts w:hint="default" w:ascii="Times New Roman" w:hAnsi="Times New Roman" w:eastAsia="宋体" w:cs="Times New Roman"/>
                <w:color w:val="auto"/>
                <w:sz w:val="21"/>
                <w:szCs w:val="21"/>
                <w:highlight w:val="none"/>
                <w:lang w:val="en-US" w:eastAsia="zh-CN"/>
              </w:rPr>
              <w:t>。</w:t>
            </w:r>
          </w:p>
          <w:p w14:paraId="149D9363">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tc>
      </w:tr>
    </w:tbl>
    <w:p w14:paraId="221CE468">
      <w:pPr>
        <w:widowControl w:val="0"/>
        <w:spacing w:before="0" w:beforeAutospacing="0" w:after="0" w:afterAutospacing="0" w:line="360" w:lineRule="auto"/>
        <w:jc w:val="center"/>
        <w:outlineLvl w:val="0"/>
        <w:rPr>
          <w:rFonts w:ascii="黑体" w:hAnsi="黑体" w:eastAsia="黑体" w:cs="Times New Roman"/>
          <w:snapToGrid w:val="0"/>
          <w:color w:val="auto"/>
          <w:kern w:val="0"/>
          <w:sz w:val="30"/>
          <w:szCs w:val="30"/>
          <w:highlight w:val="none"/>
          <w:lang w:val="en-US" w:eastAsia="zh-CN" w:bidi="ar-SA"/>
        </w:rPr>
      </w:pPr>
      <w:r>
        <w:rPr>
          <w:rFonts w:ascii="黑体" w:hAnsi="黑体" w:eastAsia="黑体" w:cs="Times New Roman"/>
          <w:snapToGrid w:val="0"/>
          <w:color w:val="auto"/>
          <w:kern w:val="0"/>
          <w:sz w:val="36"/>
          <w:szCs w:val="36"/>
          <w:highlight w:val="none"/>
          <w:lang w:val="en-US" w:eastAsia="zh-CN" w:bidi="ar-SA"/>
        </w:rPr>
        <w:br w:type="page"/>
      </w:r>
      <w:r>
        <w:rPr>
          <w:rFonts w:hint="eastAsia" w:ascii="黑体" w:hAnsi="黑体" w:eastAsia="黑体" w:cs="Times New Roman"/>
          <w:snapToGrid w:val="0"/>
          <w:color w:val="auto"/>
          <w:kern w:val="0"/>
          <w:sz w:val="30"/>
          <w:szCs w:val="30"/>
          <w:highlight w:val="none"/>
          <w:lang w:val="en-US" w:eastAsia="zh-CN" w:bidi="ar-SA"/>
        </w:rPr>
        <w:t>四、主要环境影响和保护措施</w:t>
      </w:r>
    </w:p>
    <w:tbl>
      <w:tblPr>
        <w:tblStyle w:val="25"/>
        <w:tblW w:w="890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46"/>
        <w:gridCol w:w="8162"/>
      </w:tblGrid>
      <w:tr w14:paraId="590E53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66" w:hRule="atLeast"/>
          <w:jc w:val="center"/>
        </w:trPr>
        <w:tc>
          <w:tcPr>
            <w:tcW w:w="746" w:type="dxa"/>
            <w:noWrap w:val="0"/>
            <w:tcMar>
              <w:left w:w="28" w:type="dxa"/>
              <w:right w:w="28" w:type="dxa"/>
            </w:tcMar>
            <w:vAlign w:val="center"/>
          </w:tcPr>
          <w:p w14:paraId="22B6BB7C">
            <w:pPr>
              <w:widowControl w:val="0"/>
              <w:adjustRightInd/>
              <w:snapToGrid/>
              <w:spacing w:before="0" w:beforeAutospacing="0" w:after="0" w:afterAutospacing="0" w:line="240" w:lineRule="auto"/>
              <w:jc w:val="center"/>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施工</w:t>
            </w:r>
          </w:p>
          <w:p w14:paraId="18DEF8D2">
            <w:pPr>
              <w:widowControl w:val="0"/>
              <w:adjustRightInd/>
              <w:snapToGrid/>
              <w:spacing w:before="0" w:beforeAutospacing="0" w:after="0" w:afterAutospacing="0" w:line="240" w:lineRule="auto"/>
              <w:jc w:val="center"/>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期环</w:t>
            </w:r>
          </w:p>
          <w:p w14:paraId="5EC0556F">
            <w:pPr>
              <w:widowControl w:val="0"/>
              <w:adjustRightInd/>
              <w:snapToGrid/>
              <w:spacing w:before="0" w:beforeAutospacing="0" w:after="0" w:afterAutospacing="0" w:line="240" w:lineRule="auto"/>
              <w:jc w:val="center"/>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境保</w:t>
            </w:r>
          </w:p>
          <w:p w14:paraId="064C85AC">
            <w:pPr>
              <w:widowControl w:val="0"/>
              <w:adjustRightInd/>
              <w:snapToGrid/>
              <w:spacing w:before="0" w:beforeAutospacing="0" w:after="0" w:afterAutospacing="0" w:line="240" w:lineRule="auto"/>
              <w:jc w:val="center"/>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护措</w:t>
            </w:r>
          </w:p>
          <w:p w14:paraId="009DA32C">
            <w:pPr>
              <w:widowControl w:val="0"/>
              <w:adjustRightInd/>
              <w:snapToGrid/>
              <w:spacing w:before="0" w:beforeAutospacing="0" w:after="0" w:afterAutospacing="0" w:line="240" w:lineRule="auto"/>
              <w:jc w:val="center"/>
              <w:rPr>
                <w:rFonts w:hint="eastAsia" w:ascii="宋体" w:hAnsi="宋体" w:eastAsia="宋体" w:cs="宋体"/>
                <w:bCs/>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施</w:t>
            </w:r>
          </w:p>
        </w:tc>
        <w:tc>
          <w:tcPr>
            <w:tcW w:w="8162" w:type="dxa"/>
            <w:noWrap w:val="0"/>
            <w:vAlign w:val="center"/>
          </w:tcPr>
          <w:p w14:paraId="4CF7C6DD">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本项目</w:t>
            </w:r>
            <w:r>
              <w:rPr>
                <w:rFonts w:hint="eastAsia" w:cs="Times New Roman"/>
                <w:b w:val="0"/>
                <w:bCs/>
                <w:color w:val="auto"/>
                <w:kern w:val="2"/>
                <w:sz w:val="21"/>
                <w:szCs w:val="21"/>
                <w:highlight w:val="none"/>
                <w:lang w:val="en-US" w:eastAsia="zh-CN" w:bidi="ar-SA"/>
              </w:rPr>
              <w:t>利用</w:t>
            </w:r>
            <w:r>
              <w:rPr>
                <w:rFonts w:hint="default" w:ascii="Times New Roman" w:hAnsi="Times New Roman" w:eastAsia="宋体" w:cs="Times New Roman"/>
                <w:b w:val="0"/>
                <w:bCs/>
                <w:color w:val="auto"/>
                <w:kern w:val="2"/>
                <w:sz w:val="21"/>
                <w:szCs w:val="21"/>
                <w:highlight w:val="none"/>
                <w:lang w:val="en-US" w:eastAsia="zh-CN" w:bidi="ar-SA"/>
              </w:rPr>
              <w:t>现有</w:t>
            </w:r>
            <w:r>
              <w:rPr>
                <w:rFonts w:hint="eastAsia" w:cs="Times New Roman"/>
                <w:b w:val="0"/>
                <w:bCs/>
                <w:color w:val="auto"/>
                <w:kern w:val="2"/>
                <w:sz w:val="21"/>
                <w:szCs w:val="21"/>
                <w:highlight w:val="none"/>
                <w:lang w:val="en-US" w:eastAsia="zh-CN" w:bidi="ar-SA"/>
              </w:rPr>
              <w:t>车间，不新建厂房，</w:t>
            </w:r>
            <w:r>
              <w:rPr>
                <w:rFonts w:hint="default" w:ascii="Times New Roman" w:hAnsi="Times New Roman" w:eastAsia="宋体" w:cs="Times New Roman"/>
                <w:b w:val="0"/>
                <w:bCs/>
                <w:color w:val="auto"/>
                <w:kern w:val="2"/>
                <w:sz w:val="21"/>
                <w:szCs w:val="21"/>
                <w:highlight w:val="none"/>
                <w:lang w:val="en-US" w:eastAsia="zh-CN" w:bidi="ar-SA"/>
              </w:rPr>
              <w:t>施工期</w:t>
            </w:r>
            <w:r>
              <w:rPr>
                <w:rFonts w:hint="eastAsia" w:cs="Times New Roman"/>
                <w:b w:val="0"/>
                <w:bCs/>
                <w:color w:val="auto"/>
                <w:kern w:val="2"/>
                <w:sz w:val="21"/>
                <w:szCs w:val="21"/>
                <w:highlight w:val="none"/>
                <w:lang w:val="en-US" w:eastAsia="zh-CN" w:bidi="ar-SA"/>
              </w:rPr>
              <w:t>仅为</w:t>
            </w:r>
            <w:r>
              <w:rPr>
                <w:rFonts w:hint="default" w:ascii="Times New Roman" w:hAnsi="Times New Roman" w:eastAsia="宋体" w:cs="Times New Roman"/>
                <w:b w:val="0"/>
                <w:bCs/>
                <w:color w:val="auto"/>
                <w:kern w:val="2"/>
                <w:sz w:val="21"/>
                <w:szCs w:val="21"/>
                <w:highlight w:val="none"/>
                <w:lang w:val="en-US" w:eastAsia="zh-CN" w:bidi="ar-SA"/>
              </w:rPr>
              <w:t>厂房</w:t>
            </w:r>
            <w:r>
              <w:rPr>
                <w:rFonts w:hint="eastAsia" w:cs="Times New Roman"/>
                <w:b w:val="0"/>
                <w:bCs/>
                <w:color w:val="auto"/>
                <w:kern w:val="2"/>
                <w:sz w:val="21"/>
                <w:szCs w:val="21"/>
                <w:highlight w:val="none"/>
                <w:lang w:val="en-US" w:eastAsia="zh-CN" w:bidi="ar-SA"/>
              </w:rPr>
              <w:t>内现有淘汰设备的拆除、厂房</w:t>
            </w:r>
            <w:r>
              <w:rPr>
                <w:rFonts w:hint="default" w:ascii="Times New Roman" w:hAnsi="Times New Roman" w:eastAsia="宋体" w:cs="Times New Roman"/>
                <w:b w:val="0"/>
                <w:bCs/>
                <w:color w:val="auto"/>
                <w:kern w:val="2"/>
                <w:sz w:val="21"/>
                <w:szCs w:val="21"/>
                <w:highlight w:val="none"/>
                <w:lang w:val="en-US" w:eastAsia="zh-CN" w:bidi="ar-SA"/>
              </w:rPr>
              <w:t>装修以及</w:t>
            </w:r>
            <w:r>
              <w:rPr>
                <w:rFonts w:hint="eastAsia" w:cs="Times New Roman"/>
                <w:b w:val="0"/>
                <w:bCs/>
                <w:color w:val="auto"/>
                <w:kern w:val="2"/>
                <w:sz w:val="21"/>
                <w:szCs w:val="21"/>
                <w:highlight w:val="none"/>
                <w:lang w:val="en-US" w:eastAsia="zh-CN" w:bidi="ar-SA"/>
              </w:rPr>
              <w:t>新</w:t>
            </w:r>
            <w:r>
              <w:rPr>
                <w:rFonts w:hint="default" w:ascii="Times New Roman" w:hAnsi="Times New Roman" w:eastAsia="宋体" w:cs="Times New Roman"/>
                <w:b w:val="0"/>
                <w:bCs/>
                <w:color w:val="auto"/>
                <w:kern w:val="2"/>
                <w:sz w:val="21"/>
                <w:szCs w:val="21"/>
                <w:highlight w:val="none"/>
                <w:lang w:val="en-US" w:eastAsia="zh-CN" w:bidi="ar-SA"/>
              </w:rPr>
              <w:t>设备的进场、安装和测试，不涉及基础开挖、土石方等工程，该过程主要污染物为</w:t>
            </w:r>
            <w:r>
              <w:rPr>
                <w:rFonts w:hint="eastAsia" w:cs="Times New Roman"/>
                <w:b w:val="0"/>
                <w:bCs/>
                <w:color w:val="auto"/>
                <w:kern w:val="2"/>
                <w:sz w:val="21"/>
                <w:szCs w:val="21"/>
                <w:highlight w:val="none"/>
                <w:lang w:val="en-US" w:eastAsia="zh-CN" w:bidi="ar-SA"/>
              </w:rPr>
              <w:t>废气、</w:t>
            </w:r>
            <w:r>
              <w:rPr>
                <w:rFonts w:hint="default" w:ascii="Times New Roman" w:hAnsi="Times New Roman" w:eastAsia="宋体" w:cs="Times New Roman"/>
                <w:b w:val="0"/>
                <w:bCs/>
                <w:color w:val="auto"/>
                <w:kern w:val="2"/>
                <w:sz w:val="21"/>
                <w:szCs w:val="21"/>
                <w:highlight w:val="none"/>
                <w:lang w:val="en-US" w:eastAsia="zh-CN" w:bidi="ar-SA"/>
              </w:rPr>
              <w:t>噪声、废包装、生活污水等。</w:t>
            </w:r>
          </w:p>
          <w:p w14:paraId="1BDB0AC3">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施工期环境影响分析如下：</w:t>
            </w:r>
          </w:p>
          <w:p w14:paraId="5BCBABD4">
            <w:pPr>
              <w:pStyle w:val="2"/>
              <w:keepNext w:val="0"/>
              <w:keepLines w:val="0"/>
              <w:pageBreakBefore w:val="0"/>
              <w:widowControl w:val="0"/>
              <w:numPr>
                <w:ilvl w:val="0"/>
                <w:numId w:val="9"/>
              </w:numPr>
              <w:kinsoku/>
              <w:wordWrap/>
              <w:overflowPunct/>
              <w:topLinePunct w:val="0"/>
              <w:autoSpaceDE/>
              <w:autoSpaceDN/>
              <w:bidi w:val="0"/>
              <w:adjustRightInd/>
              <w:snapToGrid/>
              <w:spacing w:line="360" w:lineRule="auto"/>
              <w:textAlignment w:val="auto"/>
              <w:rPr>
                <w:rFonts w:hint="default"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施工期废气</w:t>
            </w:r>
          </w:p>
          <w:p w14:paraId="7861CC21">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本项目施工期</w:t>
            </w:r>
            <w:r>
              <w:rPr>
                <w:rFonts w:hint="default" w:ascii="Times New Roman" w:hAnsi="Times New Roman" w:eastAsia="宋体" w:cs="Times New Roman"/>
                <w:b w:val="0"/>
                <w:bCs/>
                <w:color w:val="auto"/>
                <w:kern w:val="2"/>
                <w:sz w:val="21"/>
                <w:szCs w:val="21"/>
                <w:highlight w:val="none"/>
                <w:lang w:val="en-US" w:eastAsia="zh-CN" w:bidi="ar-SA"/>
              </w:rPr>
              <w:t>对环境的主要影响为拆除现有设备产生的扬尘、运输车辆扬尘。</w:t>
            </w:r>
          </w:p>
          <w:p w14:paraId="2980A3A4">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淘汰设备拆除前，均通过空气置换将设备内的物料排空，因此设备拆除无物料挥发逸散废气产生。现有设备拆除工作在车间内进行，拆除过程中进行洒水抑尘，在拆除过程中遵守《企业拆除活动污染防治技术规定（试行）》要求的前提下，可以保证设备拆除产生的扬尘不会对周边环境造成明显影响；设备运输过程中车辆运输会产生扬尘，在厂区道路洒水抑尘及限制车速等措施的前提下，车辆运输扬尘不会对周边环境造成明显影响。</w:t>
            </w:r>
          </w:p>
          <w:p w14:paraId="26F785E9">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企业拆除淘汰设备、新设备拆封、搬运以及设备的安装、固定是短期行为，在落实防范措施的前提下，施工期对大气环境产生的影响较小。</w:t>
            </w:r>
          </w:p>
          <w:p w14:paraId="0701AD08">
            <w:pPr>
              <w:keepNext w:val="0"/>
              <w:keepLines w:val="0"/>
              <w:pageBreakBefore w:val="0"/>
              <w:widowControl w:val="0"/>
              <w:tabs>
                <w:tab w:val="left" w:pos="375"/>
              </w:tabs>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2</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施工期废水</w:t>
            </w:r>
          </w:p>
          <w:p w14:paraId="181D9E9E">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施工期首先拆除生产设备，再拆除环保设备。施工期淘汰设备拆除前首先采用空气置换将物料排空，再使用新鲜水对拆除设备进行清洗，在拆除过程中遵守《企业拆除活动污染防治技术规定（试行）》要求的前提下，不会对周边环境造成明显影响。施工期产生的废水主要为拆除设备清洗废水、安装设备清洗废水和地面冲洗废水，利用厂内管网排至厂区处理站处理达标后，经园区管网送</w:t>
            </w:r>
            <w:r>
              <w:rPr>
                <w:rFonts w:hint="eastAsia" w:cs="Times New Roman"/>
                <w:b w:val="0"/>
                <w:bCs/>
                <w:color w:val="auto"/>
                <w:kern w:val="2"/>
                <w:sz w:val="21"/>
                <w:szCs w:val="21"/>
                <w:highlight w:val="none"/>
                <w:lang w:val="en-US" w:eastAsia="zh-CN" w:bidi="ar-SA"/>
              </w:rPr>
              <w:t>石家庄高新区循化环境水务有限公司（良村南污水处理厂</w:t>
            </w:r>
            <w:r>
              <w:rPr>
                <w:rFonts w:hint="default" w:ascii="Times New Roman" w:hAnsi="Times New Roman" w:eastAsia="宋体" w:cs="Times New Roman"/>
                <w:b w:val="0"/>
                <w:bCs/>
                <w:color w:val="auto"/>
                <w:kern w:val="2"/>
                <w:sz w:val="21"/>
                <w:szCs w:val="21"/>
                <w:highlight w:val="none"/>
                <w:lang w:val="en-US" w:eastAsia="zh-CN" w:bidi="ar-SA"/>
              </w:rPr>
              <w:t>进一步处理。</w:t>
            </w:r>
          </w:p>
          <w:p w14:paraId="1DBF0B13">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施工期废水主要为施工人员生活污水。生活污水，水量较少，排入</w:t>
            </w:r>
            <w:r>
              <w:rPr>
                <w:rFonts w:hint="eastAsia" w:cs="Times New Roman"/>
                <w:b w:val="0"/>
                <w:bCs/>
                <w:color w:val="auto"/>
                <w:kern w:val="2"/>
                <w:sz w:val="21"/>
                <w:szCs w:val="21"/>
                <w:highlight w:val="none"/>
                <w:lang w:val="en-US" w:eastAsia="zh-CN" w:bidi="ar-SA"/>
              </w:rPr>
              <w:t>厂区综合污水处理站</w:t>
            </w:r>
            <w:r>
              <w:rPr>
                <w:rFonts w:hint="default" w:ascii="Times New Roman" w:hAnsi="Times New Roman" w:eastAsia="宋体" w:cs="Times New Roman"/>
                <w:b w:val="0"/>
                <w:bCs/>
                <w:color w:val="auto"/>
                <w:kern w:val="2"/>
                <w:sz w:val="21"/>
                <w:szCs w:val="21"/>
                <w:highlight w:val="none"/>
                <w:lang w:val="en-US" w:eastAsia="zh-CN" w:bidi="ar-SA"/>
              </w:rPr>
              <w:t>，处理达标后排入</w:t>
            </w:r>
            <w:r>
              <w:rPr>
                <w:rFonts w:hint="eastAsia" w:cs="Times New Roman"/>
                <w:b w:val="0"/>
                <w:bCs/>
                <w:color w:val="auto"/>
                <w:kern w:val="2"/>
                <w:sz w:val="21"/>
                <w:szCs w:val="21"/>
                <w:highlight w:val="none"/>
                <w:lang w:val="en-US" w:eastAsia="zh-CN" w:bidi="ar-SA"/>
              </w:rPr>
              <w:t>园区污水</w:t>
            </w:r>
            <w:r>
              <w:rPr>
                <w:rFonts w:hint="default" w:ascii="Times New Roman" w:hAnsi="Times New Roman" w:eastAsia="宋体" w:cs="Times New Roman"/>
                <w:b w:val="0"/>
                <w:bCs/>
                <w:color w:val="auto"/>
                <w:kern w:val="2"/>
                <w:sz w:val="21"/>
                <w:szCs w:val="21"/>
                <w:highlight w:val="none"/>
                <w:lang w:val="en-US" w:eastAsia="zh-CN" w:bidi="ar-SA"/>
              </w:rPr>
              <w:t>管网，进入</w:t>
            </w:r>
            <w:r>
              <w:rPr>
                <w:rFonts w:hint="eastAsia" w:cs="Times New Roman"/>
                <w:b w:val="0"/>
                <w:bCs/>
                <w:color w:val="auto"/>
                <w:kern w:val="2"/>
                <w:sz w:val="21"/>
                <w:szCs w:val="21"/>
                <w:highlight w:val="none"/>
                <w:lang w:val="en-US" w:eastAsia="zh-CN" w:bidi="ar-SA"/>
              </w:rPr>
              <w:t>石家庄高新区循化环境水务有限公司（良村南污水处理厂）进一步</w:t>
            </w:r>
            <w:r>
              <w:rPr>
                <w:rFonts w:hint="default" w:ascii="Times New Roman" w:hAnsi="Times New Roman" w:eastAsia="宋体" w:cs="Times New Roman"/>
                <w:b w:val="0"/>
                <w:bCs/>
                <w:color w:val="auto"/>
                <w:kern w:val="2"/>
                <w:sz w:val="21"/>
                <w:szCs w:val="21"/>
                <w:highlight w:val="none"/>
                <w:lang w:val="en-US" w:eastAsia="zh-CN" w:bidi="ar-SA"/>
              </w:rPr>
              <w:t>处理。</w:t>
            </w:r>
          </w:p>
          <w:p w14:paraId="75362FCB">
            <w:pPr>
              <w:keepNext w:val="0"/>
              <w:keepLines w:val="0"/>
              <w:pageBreakBefore w:val="0"/>
              <w:widowControl w:val="0"/>
              <w:shd w:val="clear"/>
              <w:kinsoku/>
              <w:wordWrap/>
              <w:overflowPunct/>
              <w:topLinePunct w:val="0"/>
              <w:autoSpaceDE/>
              <w:autoSpaceDN/>
              <w:bidi w:val="0"/>
              <w:adjustRightInd/>
              <w:snapToGrid/>
              <w:spacing w:line="360" w:lineRule="auto"/>
              <w:ind w:firstLine="480"/>
              <w:textAlignment w:val="auto"/>
              <w:rPr>
                <w:rFonts w:hint="default" w:ascii="Times New Roman" w:hAnsi="Times New Roman" w:eastAsia="宋体" w:cs="Times New Roman"/>
                <w:color w:val="auto"/>
                <w:spacing w:val="0"/>
                <w:w w:val="100"/>
                <w:position w:val="0"/>
                <w:highlight w:val="none"/>
              </w:rPr>
            </w:pPr>
            <w:r>
              <w:rPr>
                <w:rFonts w:hint="default" w:cs="Times New Roman"/>
                <w:b w:val="0"/>
                <w:bCs/>
                <w:color w:val="auto"/>
                <w:kern w:val="2"/>
                <w:sz w:val="21"/>
                <w:szCs w:val="21"/>
                <w:highlight w:val="none"/>
                <w:lang w:val="en-US" w:eastAsia="zh-CN" w:bidi="ar-SA"/>
              </w:rPr>
              <w:t>因此，施工期产生废水不会对区域环境产生明显影响。</w:t>
            </w:r>
          </w:p>
          <w:p w14:paraId="53685278">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施工期噪声</w:t>
            </w:r>
          </w:p>
          <w:p w14:paraId="6876DC7D">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项目施工噪声主要为设备</w:t>
            </w:r>
            <w:r>
              <w:rPr>
                <w:rFonts w:hint="eastAsia" w:cs="Times New Roman"/>
                <w:b w:val="0"/>
                <w:bCs/>
                <w:color w:val="auto"/>
                <w:kern w:val="2"/>
                <w:sz w:val="21"/>
                <w:szCs w:val="21"/>
                <w:highlight w:val="none"/>
                <w:lang w:val="en-US" w:eastAsia="zh-CN" w:bidi="ar-SA"/>
              </w:rPr>
              <w:t>拆除、</w:t>
            </w:r>
            <w:r>
              <w:rPr>
                <w:rFonts w:hint="default" w:ascii="Times New Roman" w:hAnsi="Times New Roman" w:eastAsia="宋体" w:cs="Times New Roman"/>
                <w:b w:val="0"/>
                <w:bCs/>
                <w:color w:val="auto"/>
                <w:kern w:val="2"/>
                <w:sz w:val="21"/>
                <w:szCs w:val="21"/>
                <w:highlight w:val="none"/>
                <w:lang w:val="en-US" w:eastAsia="zh-CN" w:bidi="ar-SA"/>
              </w:rPr>
              <w:t>运输和安装、测试时产生的噪声。合理布置、隔声、距离衰减等措施后施工噪声可满足《</w:t>
            </w:r>
            <w:r>
              <w:rPr>
                <w:rFonts w:hint="eastAsia" w:cs="Times New Roman"/>
                <w:b w:val="0"/>
                <w:bCs/>
                <w:color w:val="auto"/>
                <w:kern w:val="2"/>
                <w:sz w:val="21"/>
                <w:szCs w:val="21"/>
                <w:highlight w:val="none"/>
                <w:lang w:val="en-US" w:eastAsia="zh-CN" w:bidi="ar-SA"/>
              </w:rPr>
              <w:t>建筑施工噪声排放标准</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GB12523-2025</w:t>
            </w:r>
            <w:r>
              <w:rPr>
                <w:rFonts w:hint="default" w:ascii="Times New Roman" w:hAnsi="Times New Roman" w:eastAsia="宋体" w:cs="Times New Roman"/>
                <w:b w:val="0"/>
                <w:bCs/>
                <w:color w:val="auto"/>
                <w:kern w:val="2"/>
                <w:sz w:val="21"/>
                <w:szCs w:val="21"/>
                <w:highlight w:val="none"/>
                <w:lang w:val="en-US" w:eastAsia="zh-CN" w:bidi="ar-SA"/>
              </w:rPr>
              <w:t>）标准，并且影响是暂时的，随施工的结束而结束，所以不会对周围环境产生明显影响。</w:t>
            </w:r>
          </w:p>
          <w:p w14:paraId="6F7A94E6">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4</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施工期固废</w:t>
            </w:r>
          </w:p>
          <w:p w14:paraId="6B0CA3CB">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施工期的固体废物主要</w:t>
            </w:r>
            <w:r>
              <w:rPr>
                <w:rFonts w:hint="eastAsia" w:ascii="Times New Roman" w:hAnsi="Times New Roman" w:eastAsia="宋体" w:cs="Times New Roman"/>
                <w:b w:val="0"/>
                <w:bCs/>
                <w:color w:val="auto"/>
                <w:kern w:val="2"/>
                <w:sz w:val="21"/>
                <w:szCs w:val="21"/>
                <w:highlight w:val="none"/>
                <w:lang w:val="en-US" w:eastAsia="zh-CN" w:bidi="ar-SA"/>
              </w:rPr>
              <w:t>来自</w:t>
            </w:r>
            <w:r>
              <w:rPr>
                <w:rFonts w:hint="default" w:ascii="Times New Roman" w:hAnsi="Times New Roman" w:eastAsia="宋体" w:cs="Times New Roman"/>
                <w:b w:val="0"/>
                <w:bCs/>
                <w:color w:val="auto"/>
                <w:kern w:val="2"/>
                <w:sz w:val="21"/>
                <w:szCs w:val="21"/>
                <w:highlight w:val="none"/>
                <w:lang w:val="en-US" w:eastAsia="zh-CN" w:bidi="ar-SA"/>
              </w:rPr>
              <w:t>施工人员的生活垃圾以及施工时产生的各种废包装。废包装应统一收集后外售。施工人员生活垃圾由环卫部门统一收集处置。在拆除过程中遵守《企业拆除活动污染防治技术规定（试行）》要求的前提下，固体废物不会对周边环境造成明显影响。</w:t>
            </w:r>
          </w:p>
          <w:p w14:paraId="073E9FD7">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固废均可得到妥善处置，不会对周围环境产生明显影响。</w:t>
            </w:r>
          </w:p>
          <w:p w14:paraId="3211BF09">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综合上述，施工期排放的噪声、固废对环境产生一定的影响，经采取措施可将其不良影响</w:t>
            </w:r>
            <w:r>
              <w:rPr>
                <w:rFonts w:hint="eastAsia" w:ascii="Times New Roman" w:hAnsi="Times New Roman" w:eastAsia="宋体" w:cs="Times New Roman"/>
                <w:b w:val="0"/>
                <w:bCs/>
                <w:color w:val="auto"/>
                <w:kern w:val="2"/>
                <w:sz w:val="21"/>
                <w:szCs w:val="21"/>
                <w:highlight w:val="none"/>
                <w:lang w:val="en-US" w:eastAsia="zh-CN" w:bidi="ar-SA"/>
              </w:rPr>
              <w:t>降至最低</w:t>
            </w:r>
            <w:r>
              <w:rPr>
                <w:rFonts w:hint="default" w:ascii="Times New Roman" w:hAnsi="Times New Roman" w:eastAsia="宋体" w:cs="Times New Roman"/>
                <w:b w:val="0"/>
                <w:bCs/>
                <w:color w:val="auto"/>
                <w:kern w:val="2"/>
                <w:sz w:val="21"/>
                <w:szCs w:val="21"/>
                <w:highlight w:val="none"/>
                <w:lang w:val="en-US" w:eastAsia="zh-CN" w:bidi="ar-SA"/>
              </w:rPr>
              <w:t>程度，而且这些影响一般属于可逆的，且随着施工期的结束，其对环境的影响也将结束。</w:t>
            </w:r>
          </w:p>
          <w:p w14:paraId="6DC0415B">
            <w:pPr>
              <w:keepNext w:val="0"/>
              <w:keepLines w:val="0"/>
              <w:widowControl w:val="0"/>
              <w:kinsoku/>
              <w:autoSpaceDE/>
              <w:autoSpaceDN/>
              <w:adjustRightInd/>
              <w:snapToGrid/>
              <w:spacing w:beforeLines="0" w:beforeAutospacing="0" w:afterLines="0" w:afterAutospacing="0" w:line="360" w:lineRule="auto"/>
              <w:ind w:firstLine="382" w:firstLineChars="200"/>
              <w:jc w:val="both"/>
              <w:outlineLvl w:val="1"/>
              <w:rPr>
                <w:rFonts w:hint="eastAsia" w:ascii="宋体" w:hAnsi="宋体" w:eastAsia="宋体" w:cs="宋体"/>
                <w:b/>
                <w:bCs/>
                <w:color w:val="auto"/>
                <w:spacing w:val="-10"/>
                <w:kern w:val="2"/>
                <w:sz w:val="21"/>
                <w:szCs w:val="21"/>
                <w:highlight w:val="none"/>
                <w:lang w:val="en-US" w:eastAsia="zh-CN" w:bidi="ar-SA"/>
              </w:rPr>
            </w:pPr>
          </w:p>
        </w:tc>
      </w:tr>
      <w:tr w14:paraId="1D5D6A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25" w:hRule="atLeast"/>
          <w:jc w:val="center"/>
        </w:trPr>
        <w:tc>
          <w:tcPr>
            <w:tcW w:w="746" w:type="dxa"/>
            <w:noWrap w:val="0"/>
            <w:tcMar>
              <w:left w:w="28" w:type="dxa"/>
              <w:right w:w="28" w:type="dxa"/>
            </w:tcMar>
            <w:vAlign w:val="center"/>
          </w:tcPr>
          <w:p w14:paraId="21FC1CDD">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4F48F09B">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607B91B9">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666D8171">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7CE8354F">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22DD25E9">
            <w:pPr>
              <w:adjustRightInd/>
              <w:snapToGrid/>
              <w:spacing w:line="240" w:lineRule="auto"/>
              <w:jc w:val="center"/>
              <w:rPr>
                <w:rFonts w:ascii="宋体" w:hAnsi="宋体" w:cs="宋体"/>
                <w:bCs/>
                <w:color w:val="auto"/>
                <w:sz w:val="21"/>
                <w:szCs w:val="21"/>
                <w:highlight w:val="none"/>
              </w:rPr>
            </w:pPr>
            <w:r>
              <w:rPr>
                <w:rFonts w:hint="eastAsia" w:ascii="宋体" w:hAnsi="宋体" w:cs="宋体"/>
                <w:bCs/>
                <w:color w:val="auto"/>
                <w:sz w:val="21"/>
                <w:szCs w:val="21"/>
                <w:highlight w:val="none"/>
              </w:rPr>
              <w:t>措施</w:t>
            </w:r>
          </w:p>
        </w:tc>
        <w:tc>
          <w:tcPr>
            <w:tcW w:w="8162" w:type="dxa"/>
            <w:noWrap w:val="0"/>
            <w:vAlign w:val="center"/>
          </w:tcPr>
          <w:p w14:paraId="17728503">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（一）</w:t>
            </w:r>
            <w:r>
              <w:rPr>
                <w:rFonts w:hint="default" w:ascii="Times New Roman" w:hAnsi="Times New Roman" w:eastAsia="宋体" w:cs="Times New Roman"/>
                <w:b/>
                <w:bCs w:val="0"/>
                <w:color w:val="auto"/>
                <w:kern w:val="2"/>
                <w:sz w:val="21"/>
                <w:szCs w:val="21"/>
                <w:highlight w:val="none"/>
                <w:lang w:val="en-US" w:eastAsia="zh-CN" w:bidi="ar-SA"/>
              </w:rPr>
              <w:t>废气</w:t>
            </w:r>
          </w:p>
          <w:p w14:paraId="62EF4F1D">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1</w:t>
            </w:r>
            <w:r>
              <w:rPr>
                <w:rFonts w:hint="eastAsia" w:cs="Times New Roman"/>
                <w:b w:val="0"/>
                <w:bCs/>
                <w:color w:val="auto"/>
                <w:kern w:val="2"/>
                <w:sz w:val="21"/>
                <w:szCs w:val="21"/>
                <w:highlight w:val="none"/>
                <w:lang w:val="en-US" w:eastAsia="zh-CN" w:bidi="ar-SA"/>
              </w:rPr>
              <w:t>、治理设施情况</w:t>
            </w:r>
          </w:p>
          <w:p w14:paraId="4DAF4C69">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本项目废气主要为甘氨酸螯合物一车间</w:t>
            </w:r>
            <w:r>
              <w:rPr>
                <w:rFonts w:hint="default" w:ascii="Times New Roman" w:hAnsi="Times New Roman" w:eastAsia="宋体" w:cs="Times New Roman"/>
                <w:b w:val="0"/>
                <w:bCs/>
                <w:color w:val="auto"/>
                <w:kern w:val="2"/>
                <w:sz w:val="21"/>
                <w:szCs w:val="21"/>
                <w:highlight w:val="none"/>
                <w:lang w:val="en-US" w:eastAsia="zh-CN" w:bidi="ar-SA"/>
              </w:rPr>
              <w:t>废气</w:t>
            </w:r>
            <w:r>
              <w:rPr>
                <w:rFonts w:hint="eastAsia" w:ascii="Times New Roman" w:hAnsi="Times New Roman" w:eastAsia="宋体" w:cs="Times New Roman"/>
                <w:b w:val="0"/>
                <w:bCs/>
                <w:color w:val="auto"/>
                <w:kern w:val="2"/>
                <w:sz w:val="21"/>
                <w:szCs w:val="21"/>
                <w:highlight w:val="none"/>
                <w:lang w:val="en-US" w:eastAsia="zh-CN" w:bidi="ar-SA"/>
              </w:rPr>
              <w:t>（颗粒物）</w:t>
            </w:r>
            <w:r>
              <w:rPr>
                <w:rFonts w:hint="eastAsia" w:cs="Times New Roman"/>
                <w:b w:val="0"/>
                <w:bCs/>
                <w:color w:val="auto"/>
                <w:kern w:val="2"/>
                <w:sz w:val="21"/>
                <w:szCs w:val="21"/>
                <w:highlight w:val="none"/>
                <w:lang w:val="en-US" w:eastAsia="zh-CN" w:bidi="ar-SA"/>
              </w:rPr>
              <w:t>以及污水处理站产生的恶臭气体（氨、硫化氢、臭气浓度），甘氨酸螯合物一车间投料、喷雾干燥、粉碎及包装工序有粉尘产生，除喷雾工序全密闭外，其余环节均设置集气罩+软帘。投料、粉碎及包装工序废气经集气罩+软帘收集+布袋除尘器处理，喷雾干燥工序废气经密闭管道收集后+水洗塔+酸洗塔处理，两路废气分别处理达标后一并经通过一根25m高排气筒（DA028）排放；污水处理站废气依托现有，采用</w:t>
            </w:r>
            <w:r>
              <w:rPr>
                <w:rFonts w:hint="default" w:ascii="Times New Roman" w:hAnsi="Times New Roman" w:eastAsia="宋体" w:cs="Times New Roman"/>
                <w:b w:val="0"/>
                <w:bCs/>
                <w:color w:val="auto"/>
                <w:kern w:val="2"/>
                <w:sz w:val="21"/>
                <w:szCs w:val="21"/>
                <w:highlight w:val="none"/>
                <w:lang w:val="en-US" w:eastAsia="zh-CN" w:bidi="ar-SA"/>
              </w:rPr>
              <w:t>各污水处理池上方已加装玻璃钢罩进行收集，废气经管线引至现有</w:t>
            </w:r>
            <w:r>
              <w:rPr>
                <w:rFonts w:hint="eastAsia" w:cs="Times New Roman"/>
                <w:b w:val="0"/>
                <w:bCs/>
                <w:color w:val="auto"/>
                <w:kern w:val="2"/>
                <w:sz w:val="21"/>
                <w:szCs w:val="21"/>
                <w:highlight w:val="none"/>
                <w:lang w:val="en-US" w:eastAsia="zh-CN" w:bidi="ar-SA"/>
              </w:rPr>
              <w:t>“水吸收+恒温多级生物滤池”</w:t>
            </w:r>
            <w:r>
              <w:rPr>
                <w:rFonts w:hint="default" w:ascii="Times New Roman" w:hAnsi="Times New Roman" w:eastAsia="宋体" w:cs="Times New Roman"/>
                <w:b w:val="0"/>
                <w:bCs/>
                <w:color w:val="auto"/>
                <w:kern w:val="2"/>
                <w:sz w:val="21"/>
                <w:szCs w:val="21"/>
                <w:highlight w:val="none"/>
                <w:lang w:val="en-US" w:eastAsia="zh-CN" w:bidi="ar-SA"/>
              </w:rPr>
              <w:t>装置处理后经1根15m排气筒</w:t>
            </w:r>
            <w:r>
              <w:rPr>
                <w:rFonts w:hint="eastAsia" w:cs="Times New Roman"/>
                <w:b w:val="0"/>
                <w:bCs/>
                <w:color w:val="auto"/>
                <w:kern w:val="2"/>
                <w:sz w:val="21"/>
                <w:szCs w:val="21"/>
                <w:highlight w:val="none"/>
                <w:lang w:val="en-US" w:eastAsia="zh-CN" w:bidi="ar-SA"/>
              </w:rPr>
              <w:t>（DA010）</w:t>
            </w:r>
            <w:r>
              <w:rPr>
                <w:rFonts w:hint="default" w:ascii="Times New Roman" w:hAnsi="Times New Roman" w:eastAsia="宋体" w:cs="Times New Roman"/>
                <w:b w:val="0"/>
                <w:bCs/>
                <w:color w:val="auto"/>
                <w:kern w:val="2"/>
                <w:sz w:val="21"/>
                <w:szCs w:val="21"/>
                <w:highlight w:val="none"/>
                <w:lang w:val="en-US" w:eastAsia="zh-CN" w:bidi="ar-SA"/>
              </w:rPr>
              <w:t>排放。</w:t>
            </w:r>
          </w:p>
          <w:p w14:paraId="5252B790">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本项目废气治理措施见下表。</w:t>
            </w:r>
          </w:p>
          <w:p w14:paraId="4DCA68DE">
            <w:pPr>
              <w:pStyle w:val="23"/>
              <w:keepNext w:val="0"/>
              <w:keepLines w:val="0"/>
              <w:pageBreakBefore w:val="0"/>
              <w:widowControl w:val="0"/>
              <w:numPr>
                <w:ilvl w:val="0"/>
                <w:numId w:val="0"/>
              </w:numPr>
              <w:kinsoku/>
              <w:wordWrap/>
              <w:overflowPunct/>
              <w:topLinePunct w:val="0"/>
              <w:autoSpaceDE/>
              <w:autoSpaceDN/>
              <w:bidi w:val="0"/>
              <w:adjustRightInd/>
              <w:snapToGrid/>
              <w:spacing w:before="0" w:after="0" w:line="240" w:lineRule="auto"/>
              <w:ind w:leftChars="0" w:right="0" w:rightChars="0"/>
              <w:jc w:val="center"/>
              <w:textAlignment w:val="auto"/>
              <w:rPr>
                <w:rFonts w:hint="eastAsia" w:ascii="宋体" w:hAnsi="宋体" w:eastAsia="宋体" w:cs="宋体"/>
                <w:b/>
                <w:bCs/>
                <w:color w:val="auto"/>
                <w:sz w:val="21"/>
                <w:szCs w:val="21"/>
                <w:highlight w:val="none"/>
              </w:rPr>
            </w:pPr>
            <w:r>
              <w:rPr>
                <w:rFonts w:hint="default" w:ascii="Times New Roman" w:hAnsi="Times New Roman" w:cs="Times New Roman"/>
                <w:b/>
                <w:bCs/>
                <w:color w:val="auto"/>
                <w:sz w:val="21"/>
                <w:szCs w:val="21"/>
                <w:highlight w:val="none"/>
                <w:lang w:val="en-US" w:eastAsia="zh-CN"/>
              </w:rPr>
              <w:t>表 4-</w:t>
            </w:r>
            <w:r>
              <w:rPr>
                <w:rFonts w:hint="eastAsia" w:ascii="Times New Roman" w:hAnsi="Times New Roman" w:cs="Times New Roman"/>
                <w:b/>
                <w:bCs/>
                <w:color w:val="auto"/>
                <w:sz w:val="21"/>
                <w:szCs w:val="21"/>
                <w:highlight w:val="none"/>
                <w:lang w:val="en-US" w:eastAsia="zh-CN"/>
              </w:rPr>
              <w:t>1</w:t>
            </w:r>
            <w:r>
              <w:rPr>
                <w:rFonts w:hint="default" w:ascii="Times New Roman" w:hAnsi="Times New Roman" w:cs="Times New Roman"/>
                <w:b/>
                <w:bCs/>
                <w:color w:val="auto"/>
                <w:sz w:val="21"/>
                <w:szCs w:val="21"/>
                <w:highlight w:val="none"/>
                <w:lang w:val="en-US" w:eastAsia="zh-CN"/>
              </w:rPr>
              <w:t xml:space="preserve">  </w:t>
            </w:r>
            <w:r>
              <w:rPr>
                <w:rFonts w:hint="eastAsia" w:ascii="宋体" w:hAnsi="宋体" w:cs="宋体"/>
                <w:b/>
                <w:bCs/>
                <w:color w:val="auto"/>
                <w:sz w:val="21"/>
                <w:szCs w:val="21"/>
                <w:highlight w:val="none"/>
                <w:lang w:val="en-US" w:eastAsia="zh-CN"/>
              </w:rPr>
              <w:t>废气</w:t>
            </w:r>
            <w:r>
              <w:rPr>
                <w:rFonts w:hint="eastAsia" w:ascii="宋体" w:hAnsi="宋体" w:eastAsia="宋体" w:cs="宋体"/>
                <w:b/>
                <w:bCs/>
                <w:color w:val="auto"/>
                <w:sz w:val="21"/>
                <w:szCs w:val="21"/>
                <w:highlight w:val="none"/>
              </w:rPr>
              <w:t>治理措施一览表</w:t>
            </w:r>
          </w:p>
          <w:tbl>
            <w:tblPr>
              <w:tblStyle w:val="26"/>
              <w:tblW w:w="5000" w:type="pct"/>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36"/>
              <w:gridCol w:w="383"/>
              <w:gridCol w:w="767"/>
              <w:gridCol w:w="850"/>
              <w:gridCol w:w="959"/>
              <w:gridCol w:w="994"/>
              <w:gridCol w:w="996"/>
              <w:gridCol w:w="1083"/>
              <w:gridCol w:w="500"/>
              <w:gridCol w:w="464"/>
              <w:gridCol w:w="604"/>
            </w:tblGrid>
            <w:tr w14:paraId="68C68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restart"/>
                  <w:noWrap w:val="0"/>
                  <w:vAlign w:val="center"/>
                </w:tcPr>
                <w:p w14:paraId="2D428D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序号</w:t>
                  </w:r>
                </w:p>
              </w:tc>
              <w:tc>
                <w:tcPr>
                  <w:tcW w:w="724" w:type="pct"/>
                  <w:gridSpan w:val="2"/>
                  <w:vMerge w:val="restart"/>
                  <w:noWrap w:val="0"/>
                  <w:vAlign w:val="center"/>
                </w:tcPr>
                <w:p w14:paraId="25C7404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产排污</w:t>
                  </w:r>
                </w:p>
                <w:p w14:paraId="5043EDB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环节</w:t>
                  </w:r>
                </w:p>
              </w:tc>
              <w:tc>
                <w:tcPr>
                  <w:tcW w:w="535" w:type="pct"/>
                  <w:vMerge w:val="restart"/>
                  <w:noWrap w:val="0"/>
                  <w:vAlign w:val="center"/>
                </w:tcPr>
                <w:p w14:paraId="731CA35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污染物</w:t>
                  </w:r>
                </w:p>
                <w:p w14:paraId="717DA62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种类</w:t>
                  </w:r>
                </w:p>
              </w:tc>
              <w:tc>
                <w:tcPr>
                  <w:tcW w:w="604" w:type="pct"/>
                  <w:vMerge w:val="restart"/>
                  <w:noWrap w:val="0"/>
                  <w:vAlign w:val="center"/>
                </w:tcPr>
                <w:p w14:paraId="58AC60E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r>
                    <w:rPr>
                      <w:rFonts w:hint="default" w:ascii="Times New Roman" w:hAnsi="Times New Roman" w:eastAsia="宋体" w:cs="Times New Roman"/>
                      <w:color w:val="auto"/>
                      <w:sz w:val="21"/>
                      <w:szCs w:val="21"/>
                      <w:highlight w:val="none"/>
                      <w:lang w:val="zh-CN"/>
                    </w:rPr>
                    <w:t>排放</w:t>
                  </w:r>
                </w:p>
                <w:p w14:paraId="68E50A1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r>
                    <w:rPr>
                      <w:rFonts w:hint="default" w:ascii="Times New Roman" w:hAnsi="Times New Roman" w:eastAsia="宋体" w:cs="Times New Roman"/>
                      <w:color w:val="auto"/>
                      <w:sz w:val="21"/>
                      <w:szCs w:val="21"/>
                      <w:highlight w:val="none"/>
                      <w:lang w:val="zh-CN"/>
                    </w:rPr>
                    <w:t>形式</w:t>
                  </w:r>
                </w:p>
              </w:tc>
              <w:tc>
                <w:tcPr>
                  <w:tcW w:w="2924" w:type="pct"/>
                  <w:gridSpan w:val="6"/>
                  <w:noWrap w:val="0"/>
                  <w:vAlign w:val="center"/>
                </w:tcPr>
                <w:p w14:paraId="71F5C65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治理设施</w:t>
                  </w:r>
                </w:p>
              </w:tc>
            </w:tr>
            <w:tr w14:paraId="2F282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continue"/>
                  <w:noWrap w:val="0"/>
                  <w:vAlign w:val="center"/>
                </w:tcPr>
                <w:p w14:paraId="319FDD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24" w:type="pct"/>
                  <w:gridSpan w:val="2"/>
                  <w:vMerge w:val="continue"/>
                  <w:noWrap w:val="0"/>
                  <w:vAlign w:val="center"/>
                </w:tcPr>
                <w:p w14:paraId="779FD60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535" w:type="pct"/>
                  <w:vMerge w:val="continue"/>
                  <w:noWrap w:val="0"/>
                  <w:vAlign w:val="center"/>
                </w:tcPr>
                <w:p w14:paraId="1FF28B6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604" w:type="pct"/>
                  <w:vMerge w:val="continue"/>
                  <w:noWrap w:val="0"/>
                  <w:vAlign w:val="center"/>
                </w:tcPr>
                <w:p w14:paraId="565CCA0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p>
              </w:tc>
              <w:tc>
                <w:tcPr>
                  <w:tcW w:w="1253" w:type="pct"/>
                  <w:gridSpan w:val="2"/>
                  <w:vMerge w:val="restart"/>
                  <w:noWrap w:val="0"/>
                  <w:vAlign w:val="center"/>
                </w:tcPr>
                <w:p w14:paraId="0F5E8EA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治理工艺</w:t>
                  </w:r>
                </w:p>
              </w:tc>
              <w:tc>
                <w:tcPr>
                  <w:tcW w:w="682" w:type="pct"/>
                  <w:noWrap w:val="0"/>
                  <w:vAlign w:val="center"/>
                </w:tcPr>
                <w:p w14:paraId="3AC2458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处理</w:t>
                  </w:r>
                </w:p>
                <w:p w14:paraId="3B5319C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能力</w:t>
                  </w:r>
                </w:p>
              </w:tc>
              <w:tc>
                <w:tcPr>
                  <w:tcW w:w="315" w:type="pct"/>
                  <w:noWrap w:val="0"/>
                  <w:vAlign w:val="center"/>
                </w:tcPr>
                <w:p w14:paraId="2138EA4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收集</w:t>
                  </w:r>
                </w:p>
                <w:p w14:paraId="536DFA1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效率</w:t>
                  </w:r>
                </w:p>
              </w:tc>
              <w:tc>
                <w:tcPr>
                  <w:tcW w:w="292" w:type="pct"/>
                  <w:noWrap w:val="0"/>
                  <w:vAlign w:val="center"/>
                </w:tcPr>
                <w:p w14:paraId="59A50B5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去除</w:t>
                  </w:r>
                </w:p>
                <w:p w14:paraId="223A7AD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效率</w:t>
                  </w:r>
                </w:p>
              </w:tc>
              <w:tc>
                <w:tcPr>
                  <w:tcW w:w="380" w:type="pct"/>
                  <w:vMerge w:val="restart"/>
                  <w:noWrap w:val="0"/>
                  <w:vAlign w:val="center"/>
                </w:tcPr>
                <w:p w14:paraId="04E73C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是否为可行技术</w:t>
                  </w:r>
                </w:p>
              </w:tc>
            </w:tr>
            <w:tr w14:paraId="78BAE0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continue"/>
                  <w:noWrap w:val="0"/>
                  <w:vAlign w:val="center"/>
                </w:tcPr>
                <w:p w14:paraId="17E5800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24" w:type="pct"/>
                  <w:gridSpan w:val="2"/>
                  <w:vMerge w:val="continue"/>
                  <w:noWrap w:val="0"/>
                  <w:vAlign w:val="center"/>
                </w:tcPr>
                <w:p w14:paraId="7001DED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535" w:type="pct"/>
                  <w:vMerge w:val="continue"/>
                  <w:noWrap w:val="0"/>
                  <w:vAlign w:val="center"/>
                </w:tcPr>
                <w:p w14:paraId="4668AAF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604" w:type="pct"/>
                  <w:vMerge w:val="continue"/>
                  <w:noWrap w:val="0"/>
                  <w:vAlign w:val="center"/>
                </w:tcPr>
                <w:p w14:paraId="0F054E0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p>
              </w:tc>
              <w:tc>
                <w:tcPr>
                  <w:tcW w:w="1253" w:type="pct"/>
                  <w:gridSpan w:val="2"/>
                  <w:vMerge w:val="continue"/>
                  <w:noWrap w:val="0"/>
                  <w:vAlign w:val="center"/>
                </w:tcPr>
                <w:p w14:paraId="0FCA6E7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682" w:type="pct"/>
                  <w:noWrap w:val="0"/>
                  <w:vAlign w:val="center"/>
                </w:tcPr>
                <w:p w14:paraId="3DEAE80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/h</w:t>
                  </w:r>
                </w:p>
              </w:tc>
              <w:tc>
                <w:tcPr>
                  <w:tcW w:w="315" w:type="pct"/>
                  <w:noWrap w:val="0"/>
                  <w:vAlign w:val="center"/>
                </w:tcPr>
                <w:p w14:paraId="4A0A981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292" w:type="pct"/>
                  <w:noWrap w:val="0"/>
                  <w:vAlign w:val="center"/>
                </w:tcPr>
                <w:p w14:paraId="3F543FC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w:t>
                  </w:r>
                </w:p>
              </w:tc>
              <w:tc>
                <w:tcPr>
                  <w:tcW w:w="380" w:type="pct"/>
                  <w:vMerge w:val="continue"/>
                  <w:noWrap w:val="0"/>
                  <w:vAlign w:val="center"/>
                </w:tcPr>
                <w:p w14:paraId="5F4E887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r>
            <w:tr w14:paraId="763E9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restart"/>
                  <w:noWrap w:val="0"/>
                  <w:vAlign w:val="center"/>
                </w:tcPr>
                <w:p w14:paraId="301160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w:t>
                  </w:r>
                </w:p>
              </w:tc>
              <w:tc>
                <w:tcPr>
                  <w:tcW w:w="241" w:type="pct"/>
                  <w:vMerge w:val="restart"/>
                  <w:noWrap w:val="0"/>
                  <w:vAlign w:val="center"/>
                </w:tcPr>
                <w:p w14:paraId="218D019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甘氨酸螯合物一车间</w:t>
                  </w:r>
                </w:p>
              </w:tc>
              <w:tc>
                <w:tcPr>
                  <w:tcW w:w="483" w:type="pct"/>
                  <w:noWrap w:val="0"/>
                  <w:vAlign w:val="center"/>
                </w:tcPr>
                <w:p w14:paraId="41670A2A">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投料和粉碎包装工序</w:t>
                  </w:r>
                </w:p>
              </w:tc>
              <w:tc>
                <w:tcPr>
                  <w:tcW w:w="535" w:type="pct"/>
                  <w:noWrap w:val="0"/>
                  <w:vAlign w:val="center"/>
                </w:tcPr>
                <w:p w14:paraId="612ADF5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颗粒物</w:t>
                  </w:r>
                </w:p>
              </w:tc>
              <w:tc>
                <w:tcPr>
                  <w:tcW w:w="604" w:type="pct"/>
                  <w:noWrap w:val="0"/>
                  <w:vAlign w:val="center"/>
                </w:tcPr>
                <w:p w14:paraId="6505605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有组织</w:t>
                  </w:r>
                </w:p>
              </w:tc>
              <w:tc>
                <w:tcPr>
                  <w:tcW w:w="626" w:type="pct"/>
                  <w:noWrap w:val="0"/>
                  <w:vAlign w:val="center"/>
                </w:tcPr>
                <w:p w14:paraId="25B4686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设置集气罩+软帘收集+布袋除尘器</w:t>
                  </w:r>
                </w:p>
              </w:tc>
              <w:tc>
                <w:tcPr>
                  <w:tcW w:w="627" w:type="pct"/>
                  <w:vMerge w:val="restart"/>
                  <w:noWrap w:val="0"/>
                  <w:vAlign w:val="center"/>
                </w:tcPr>
                <w:p w14:paraId="5D88615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两路废气分别处理达标后，一并通过一根25m高排气筒（DA028）排放</w:t>
                  </w:r>
                </w:p>
                <w:p w14:paraId="55ED91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b w:val="0"/>
                      <w:bCs/>
                      <w:color w:val="auto"/>
                      <w:kern w:val="2"/>
                      <w:sz w:val="21"/>
                      <w:szCs w:val="21"/>
                      <w:highlight w:val="none"/>
                      <w:lang w:val="en-US" w:eastAsia="zh-CN" w:bidi="ar-SA"/>
                    </w:rPr>
                  </w:pPr>
                </w:p>
              </w:tc>
              <w:tc>
                <w:tcPr>
                  <w:tcW w:w="682" w:type="pct"/>
                  <w:noWrap w:val="0"/>
                  <w:vAlign w:val="center"/>
                </w:tcPr>
                <w:p w14:paraId="3524413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2000</w:t>
                  </w:r>
                </w:p>
              </w:tc>
              <w:tc>
                <w:tcPr>
                  <w:tcW w:w="315" w:type="pct"/>
                  <w:noWrap w:val="0"/>
                  <w:vAlign w:val="center"/>
                </w:tcPr>
                <w:p w14:paraId="758E27F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90</w:t>
                  </w:r>
                </w:p>
              </w:tc>
              <w:tc>
                <w:tcPr>
                  <w:tcW w:w="292" w:type="pct"/>
                  <w:noWrap w:val="0"/>
                  <w:vAlign w:val="center"/>
                </w:tcPr>
                <w:p w14:paraId="38A839C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99</w:t>
                  </w:r>
                </w:p>
              </w:tc>
              <w:tc>
                <w:tcPr>
                  <w:tcW w:w="380" w:type="pct"/>
                  <w:noWrap w:val="0"/>
                  <w:vAlign w:val="center"/>
                </w:tcPr>
                <w:p w14:paraId="1AEFB89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是</w:t>
                  </w:r>
                </w:p>
              </w:tc>
            </w:tr>
            <w:tr w14:paraId="6F1E0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continue"/>
                  <w:noWrap w:val="0"/>
                  <w:vAlign w:val="center"/>
                </w:tcPr>
                <w:p w14:paraId="598957E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p>
              </w:tc>
              <w:tc>
                <w:tcPr>
                  <w:tcW w:w="241" w:type="pct"/>
                  <w:vMerge w:val="continue"/>
                  <w:noWrap w:val="0"/>
                  <w:vAlign w:val="center"/>
                </w:tcPr>
                <w:p w14:paraId="1151F15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 w:val="0"/>
                      <w:bCs/>
                      <w:color w:val="auto"/>
                      <w:kern w:val="2"/>
                      <w:sz w:val="21"/>
                      <w:szCs w:val="21"/>
                      <w:highlight w:val="none"/>
                      <w:lang w:val="en-US" w:eastAsia="zh-CN" w:bidi="ar-SA"/>
                    </w:rPr>
                  </w:pPr>
                </w:p>
              </w:tc>
              <w:tc>
                <w:tcPr>
                  <w:tcW w:w="483" w:type="pct"/>
                  <w:noWrap w:val="0"/>
                  <w:vAlign w:val="center"/>
                </w:tcPr>
                <w:p w14:paraId="567181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喷雾干燥工序</w:t>
                  </w:r>
                </w:p>
              </w:tc>
              <w:tc>
                <w:tcPr>
                  <w:tcW w:w="535" w:type="pct"/>
                  <w:noWrap w:val="0"/>
                  <w:vAlign w:val="center"/>
                </w:tcPr>
                <w:p w14:paraId="0BFBC01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颗粒物</w:t>
                  </w:r>
                </w:p>
              </w:tc>
              <w:tc>
                <w:tcPr>
                  <w:tcW w:w="604" w:type="pct"/>
                  <w:noWrap w:val="0"/>
                  <w:vAlign w:val="center"/>
                </w:tcPr>
                <w:p w14:paraId="7183F2D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有组织</w:t>
                  </w:r>
                </w:p>
              </w:tc>
              <w:tc>
                <w:tcPr>
                  <w:tcW w:w="626" w:type="pct"/>
                  <w:noWrap w:val="0"/>
                  <w:vAlign w:val="center"/>
                </w:tcPr>
                <w:p w14:paraId="533682D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 w:val="0"/>
                      <w:bCs/>
                      <w:color w:val="auto"/>
                      <w:kern w:val="2"/>
                      <w:sz w:val="21"/>
                      <w:szCs w:val="21"/>
                      <w:highlight w:val="none"/>
                      <w:lang w:val="en-US" w:eastAsia="zh-CN" w:bidi="ar-SA"/>
                    </w:rPr>
                  </w:pPr>
                  <w:r>
                    <w:rPr>
                      <w:rStyle w:val="27"/>
                      <w:rFonts w:hint="eastAsia" w:ascii="宋体" w:hAnsi="宋体" w:cs="Times New Roman"/>
                      <w:color w:val="auto"/>
                      <w:kern w:val="2"/>
                      <w:sz w:val="21"/>
                      <w:highlight w:val="none"/>
                      <w:lang w:val="en-US" w:eastAsia="zh-CN" w:bidi="ar-SA"/>
                    </w:rPr>
                    <w:t>密闭管道收集+</w:t>
                  </w:r>
                  <w:r>
                    <w:rPr>
                      <w:rStyle w:val="27"/>
                      <w:rFonts w:hint="eastAsia" w:ascii="宋体" w:hAnsi="宋体" w:eastAsia="宋体" w:cs="Times New Roman"/>
                      <w:color w:val="auto"/>
                      <w:kern w:val="2"/>
                      <w:sz w:val="21"/>
                      <w:highlight w:val="none"/>
                      <w:lang w:val="en-US" w:eastAsia="zh-CN" w:bidi="ar-SA"/>
                    </w:rPr>
                    <w:t>水吸</w:t>
                  </w:r>
                  <w:r>
                    <w:rPr>
                      <w:rStyle w:val="27"/>
                      <w:rFonts w:hint="eastAsia" w:ascii="宋体" w:hAnsi="宋体" w:cs="Times New Roman"/>
                      <w:color w:val="auto"/>
                      <w:kern w:val="2"/>
                      <w:sz w:val="21"/>
                      <w:highlight w:val="none"/>
                      <w:lang w:val="en-US" w:eastAsia="zh-CN" w:bidi="ar-SA"/>
                    </w:rPr>
                    <w:t>塔</w:t>
                  </w:r>
                  <w:r>
                    <w:rPr>
                      <w:rStyle w:val="27"/>
                      <w:rFonts w:hint="eastAsia" w:ascii="宋体" w:hAnsi="宋体" w:eastAsia="宋体" w:cs="Times New Roman"/>
                      <w:color w:val="auto"/>
                      <w:kern w:val="2"/>
                      <w:sz w:val="21"/>
                      <w:highlight w:val="none"/>
                      <w:lang w:val="en-US" w:eastAsia="zh-CN" w:bidi="ar-SA"/>
                    </w:rPr>
                    <w:t>+酸吸</w:t>
                  </w:r>
                  <w:r>
                    <w:rPr>
                      <w:rStyle w:val="27"/>
                      <w:rFonts w:hint="eastAsia" w:ascii="宋体" w:hAnsi="宋体" w:cs="Times New Roman"/>
                      <w:color w:val="auto"/>
                      <w:kern w:val="2"/>
                      <w:sz w:val="21"/>
                      <w:highlight w:val="none"/>
                      <w:lang w:val="en-US" w:eastAsia="zh-CN" w:bidi="ar-SA"/>
                    </w:rPr>
                    <w:t>塔</w:t>
                  </w:r>
                </w:p>
              </w:tc>
              <w:tc>
                <w:tcPr>
                  <w:tcW w:w="627" w:type="pct"/>
                  <w:vMerge w:val="continue"/>
                  <w:noWrap w:val="0"/>
                  <w:vAlign w:val="center"/>
                </w:tcPr>
                <w:p w14:paraId="6A8D99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 w:val="0"/>
                      <w:bCs/>
                      <w:color w:val="auto"/>
                      <w:kern w:val="2"/>
                      <w:sz w:val="21"/>
                      <w:szCs w:val="21"/>
                      <w:highlight w:val="none"/>
                      <w:lang w:val="en-US" w:eastAsia="zh-CN" w:bidi="ar-SA"/>
                    </w:rPr>
                  </w:pPr>
                </w:p>
              </w:tc>
              <w:tc>
                <w:tcPr>
                  <w:tcW w:w="682" w:type="pct"/>
                  <w:noWrap w:val="0"/>
                  <w:vAlign w:val="center"/>
                </w:tcPr>
                <w:p w14:paraId="7417A1F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9000</w:t>
                  </w:r>
                </w:p>
              </w:tc>
              <w:tc>
                <w:tcPr>
                  <w:tcW w:w="315" w:type="pct"/>
                  <w:noWrap w:val="0"/>
                  <w:vAlign w:val="center"/>
                </w:tcPr>
                <w:p w14:paraId="3F31BE8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100</w:t>
                  </w:r>
                </w:p>
              </w:tc>
              <w:tc>
                <w:tcPr>
                  <w:tcW w:w="292" w:type="pct"/>
                  <w:noWrap w:val="0"/>
                  <w:vAlign w:val="center"/>
                </w:tcPr>
                <w:p w14:paraId="5FDE5F8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95</w:t>
                  </w:r>
                </w:p>
              </w:tc>
              <w:tc>
                <w:tcPr>
                  <w:tcW w:w="380" w:type="pct"/>
                  <w:noWrap w:val="0"/>
                  <w:vAlign w:val="center"/>
                </w:tcPr>
                <w:p w14:paraId="117E67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是</w:t>
                  </w:r>
                </w:p>
              </w:tc>
            </w:tr>
            <w:tr w14:paraId="43A77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restart"/>
                  <w:noWrap w:val="0"/>
                  <w:vAlign w:val="center"/>
                </w:tcPr>
                <w:p w14:paraId="56923C3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2</w:t>
                  </w:r>
                </w:p>
              </w:tc>
              <w:tc>
                <w:tcPr>
                  <w:tcW w:w="724" w:type="pct"/>
                  <w:gridSpan w:val="2"/>
                  <w:vMerge w:val="restart"/>
                  <w:noWrap w:val="0"/>
                  <w:vAlign w:val="center"/>
                </w:tcPr>
                <w:p w14:paraId="39A3EEF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污水处理站</w:t>
                  </w:r>
                </w:p>
              </w:tc>
              <w:tc>
                <w:tcPr>
                  <w:tcW w:w="535" w:type="pct"/>
                  <w:noWrap w:val="0"/>
                  <w:vAlign w:val="center"/>
                </w:tcPr>
                <w:p w14:paraId="08D6D6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氨</w:t>
                  </w:r>
                </w:p>
              </w:tc>
              <w:tc>
                <w:tcPr>
                  <w:tcW w:w="604" w:type="pct"/>
                  <w:vMerge w:val="restart"/>
                  <w:noWrap w:val="0"/>
                  <w:vAlign w:val="center"/>
                </w:tcPr>
                <w:p w14:paraId="347BBBC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r>
                    <w:rPr>
                      <w:rFonts w:hint="eastAsia" w:ascii="Times New Roman" w:hAnsi="Times New Roman" w:eastAsia="宋体" w:cs="Times New Roman"/>
                      <w:color w:val="auto"/>
                      <w:sz w:val="21"/>
                      <w:szCs w:val="21"/>
                      <w:highlight w:val="none"/>
                      <w:lang w:val="zh-CN"/>
                    </w:rPr>
                    <w:t>有组织</w:t>
                  </w:r>
                </w:p>
              </w:tc>
              <w:tc>
                <w:tcPr>
                  <w:tcW w:w="1253" w:type="pct"/>
                  <w:gridSpan w:val="2"/>
                  <w:vMerge w:val="restart"/>
                  <w:noWrap w:val="0"/>
                  <w:vAlign w:val="center"/>
                </w:tcPr>
                <w:p w14:paraId="01C1E4F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r>
                    <w:rPr>
                      <w:rFonts w:hint="eastAsia" w:cs="Times New Roman"/>
                      <w:b w:val="0"/>
                      <w:bCs/>
                      <w:color w:val="auto"/>
                      <w:kern w:val="2"/>
                      <w:sz w:val="21"/>
                      <w:szCs w:val="21"/>
                      <w:highlight w:val="none"/>
                      <w:lang w:val="en-US" w:eastAsia="zh-CN" w:bidi="ar-SA"/>
                    </w:rPr>
                    <w:t>水吸收+恒温多级生物滤池</w:t>
                  </w:r>
                  <w:r>
                    <w:rPr>
                      <w:rFonts w:hint="default" w:ascii="Times New Roman" w:hAnsi="Times New Roman" w:eastAsia="宋体" w:cs="Times New Roman"/>
                      <w:b w:val="0"/>
                      <w:bCs/>
                      <w:color w:val="auto"/>
                      <w:kern w:val="2"/>
                      <w:sz w:val="21"/>
                      <w:szCs w:val="21"/>
                      <w:highlight w:val="none"/>
                      <w:lang w:val="en-US" w:eastAsia="zh-CN" w:bidi="ar-SA"/>
                    </w:rPr>
                    <w:t>装置处理后经1根15m排气筒</w:t>
                  </w:r>
                  <w:r>
                    <w:rPr>
                      <w:rFonts w:hint="eastAsia" w:cs="Times New Roman"/>
                      <w:b w:val="0"/>
                      <w:bCs/>
                      <w:color w:val="auto"/>
                      <w:kern w:val="2"/>
                      <w:sz w:val="21"/>
                      <w:szCs w:val="21"/>
                      <w:highlight w:val="none"/>
                      <w:lang w:val="en-US" w:eastAsia="zh-CN" w:bidi="ar-SA"/>
                    </w:rPr>
                    <w:t>（DA010）</w:t>
                  </w:r>
                  <w:r>
                    <w:rPr>
                      <w:rFonts w:hint="default" w:ascii="Times New Roman" w:hAnsi="Times New Roman" w:eastAsia="宋体" w:cs="Times New Roman"/>
                      <w:b w:val="0"/>
                      <w:bCs/>
                      <w:color w:val="auto"/>
                      <w:kern w:val="2"/>
                      <w:sz w:val="21"/>
                      <w:szCs w:val="21"/>
                      <w:highlight w:val="none"/>
                      <w:lang w:val="en-US" w:eastAsia="zh-CN" w:bidi="ar-SA"/>
                    </w:rPr>
                    <w:t>排放</w:t>
                  </w:r>
                </w:p>
              </w:tc>
              <w:tc>
                <w:tcPr>
                  <w:tcW w:w="682" w:type="pct"/>
                  <w:vMerge w:val="restart"/>
                  <w:noWrap w:val="0"/>
                  <w:vAlign w:val="center"/>
                </w:tcPr>
                <w:p w14:paraId="2E77DD2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20000</w:t>
                  </w:r>
                </w:p>
              </w:tc>
              <w:tc>
                <w:tcPr>
                  <w:tcW w:w="315" w:type="pct"/>
                  <w:vMerge w:val="restart"/>
                  <w:noWrap w:val="0"/>
                  <w:vAlign w:val="center"/>
                </w:tcPr>
                <w:p w14:paraId="54C8E1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w:t>
                  </w:r>
                  <w:r>
                    <w:rPr>
                      <w:rFonts w:hint="eastAsia" w:cs="Times New Roman"/>
                      <w:color w:val="auto"/>
                      <w:sz w:val="21"/>
                      <w:szCs w:val="21"/>
                      <w:highlight w:val="none"/>
                      <w:lang w:val="en-US" w:eastAsia="zh-CN"/>
                    </w:rPr>
                    <w:t>5</w:t>
                  </w:r>
                </w:p>
              </w:tc>
              <w:tc>
                <w:tcPr>
                  <w:tcW w:w="292" w:type="pct"/>
                  <w:vMerge w:val="restart"/>
                  <w:noWrap w:val="0"/>
                  <w:vAlign w:val="center"/>
                </w:tcPr>
                <w:p w14:paraId="38CF1AE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90</w:t>
                  </w:r>
                </w:p>
              </w:tc>
              <w:tc>
                <w:tcPr>
                  <w:tcW w:w="380" w:type="pct"/>
                  <w:vMerge w:val="restart"/>
                  <w:noWrap w:val="0"/>
                  <w:vAlign w:val="center"/>
                </w:tcPr>
                <w:p w14:paraId="3FA08F5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是</w:t>
                  </w:r>
                </w:p>
              </w:tc>
            </w:tr>
            <w:tr w14:paraId="7502A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continue"/>
                  <w:noWrap w:val="0"/>
                  <w:vAlign w:val="center"/>
                </w:tcPr>
                <w:p w14:paraId="6D927E5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24" w:type="pct"/>
                  <w:gridSpan w:val="2"/>
                  <w:vMerge w:val="continue"/>
                  <w:noWrap w:val="0"/>
                  <w:vAlign w:val="center"/>
                </w:tcPr>
                <w:p w14:paraId="0F1255F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535" w:type="pct"/>
                  <w:noWrap w:val="0"/>
                  <w:vAlign w:val="center"/>
                </w:tcPr>
                <w:p w14:paraId="71FFB47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硫化氢</w:t>
                  </w:r>
                </w:p>
              </w:tc>
              <w:tc>
                <w:tcPr>
                  <w:tcW w:w="604" w:type="pct"/>
                  <w:vMerge w:val="continue"/>
                  <w:noWrap w:val="0"/>
                  <w:vAlign w:val="center"/>
                </w:tcPr>
                <w:p w14:paraId="4576A45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p>
              </w:tc>
              <w:tc>
                <w:tcPr>
                  <w:tcW w:w="1253" w:type="pct"/>
                  <w:gridSpan w:val="2"/>
                  <w:vMerge w:val="continue"/>
                  <w:noWrap w:val="0"/>
                  <w:vAlign w:val="center"/>
                </w:tcPr>
                <w:p w14:paraId="5ED7E00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682" w:type="pct"/>
                  <w:vMerge w:val="continue"/>
                  <w:noWrap w:val="0"/>
                  <w:vAlign w:val="center"/>
                </w:tcPr>
                <w:p w14:paraId="3C309C2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315" w:type="pct"/>
                  <w:vMerge w:val="continue"/>
                  <w:noWrap w:val="0"/>
                  <w:vAlign w:val="center"/>
                </w:tcPr>
                <w:p w14:paraId="51712FF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92" w:type="pct"/>
                  <w:vMerge w:val="continue"/>
                  <w:noWrap w:val="0"/>
                  <w:vAlign w:val="center"/>
                </w:tcPr>
                <w:p w14:paraId="07CED2A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380" w:type="pct"/>
                  <w:vMerge w:val="continue"/>
                  <w:noWrap w:val="0"/>
                  <w:vAlign w:val="center"/>
                </w:tcPr>
                <w:p w14:paraId="3B2939D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r>
            <w:tr w14:paraId="7112A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211" w:type="pct"/>
                  <w:vMerge w:val="continue"/>
                  <w:noWrap w:val="0"/>
                  <w:vAlign w:val="center"/>
                </w:tcPr>
                <w:p w14:paraId="07B03B5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724" w:type="pct"/>
                  <w:gridSpan w:val="2"/>
                  <w:vMerge w:val="continue"/>
                  <w:noWrap w:val="0"/>
                  <w:vAlign w:val="center"/>
                </w:tcPr>
                <w:p w14:paraId="48C5F0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535" w:type="pct"/>
                  <w:noWrap w:val="0"/>
                  <w:vAlign w:val="center"/>
                </w:tcPr>
                <w:p w14:paraId="504C53D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臭气浓度</w:t>
                  </w:r>
                </w:p>
              </w:tc>
              <w:tc>
                <w:tcPr>
                  <w:tcW w:w="604" w:type="pct"/>
                  <w:vMerge w:val="continue"/>
                  <w:noWrap w:val="0"/>
                  <w:vAlign w:val="center"/>
                </w:tcPr>
                <w:p w14:paraId="5EAD0DE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zh-CN"/>
                    </w:rPr>
                  </w:pPr>
                </w:p>
              </w:tc>
              <w:tc>
                <w:tcPr>
                  <w:tcW w:w="1253" w:type="pct"/>
                  <w:gridSpan w:val="2"/>
                  <w:vMerge w:val="continue"/>
                  <w:noWrap w:val="0"/>
                  <w:vAlign w:val="center"/>
                </w:tcPr>
                <w:p w14:paraId="2B6D78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682" w:type="pct"/>
                  <w:vMerge w:val="continue"/>
                  <w:noWrap w:val="0"/>
                  <w:vAlign w:val="center"/>
                </w:tcPr>
                <w:p w14:paraId="17F294B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315" w:type="pct"/>
                  <w:vMerge w:val="continue"/>
                  <w:noWrap w:val="0"/>
                  <w:vAlign w:val="center"/>
                </w:tcPr>
                <w:p w14:paraId="41E5ADC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292" w:type="pct"/>
                  <w:vMerge w:val="continue"/>
                  <w:noWrap w:val="0"/>
                  <w:vAlign w:val="center"/>
                </w:tcPr>
                <w:p w14:paraId="0CF8676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c>
                <w:tcPr>
                  <w:tcW w:w="380" w:type="pct"/>
                  <w:vMerge w:val="continue"/>
                  <w:noWrap w:val="0"/>
                  <w:vAlign w:val="center"/>
                </w:tcPr>
                <w:p w14:paraId="21B399B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rPr>
                  </w:pPr>
                </w:p>
              </w:tc>
            </w:tr>
          </w:tbl>
          <w:p w14:paraId="1ECFEE03">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2、废气量计算</w:t>
            </w:r>
          </w:p>
          <w:p w14:paraId="345494CA">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本项目投料、粉碎包装工序分别设置集气罩+软帘进行废气的收集。</w:t>
            </w:r>
          </w:p>
          <w:p w14:paraId="5137154B">
            <w:pPr>
              <w:spacing w:line="360" w:lineRule="auto"/>
              <w:ind w:firstLine="420" w:firstLineChars="200"/>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本项目设置有</w:t>
            </w:r>
            <w:r>
              <w:rPr>
                <w:rFonts w:hint="eastAsia" w:cs="Times New Roman"/>
                <w:color w:val="auto"/>
                <w:kern w:val="2"/>
                <w:sz w:val="21"/>
                <w:szCs w:val="21"/>
                <w:highlight w:val="none"/>
                <w:lang w:val="en-US" w:eastAsia="zh-CN" w:bidi="ar-SA"/>
              </w:rPr>
              <w:t>4</w:t>
            </w:r>
            <w:r>
              <w:rPr>
                <w:rFonts w:hint="default" w:ascii="Times New Roman" w:hAnsi="Times New Roman" w:eastAsia="宋体" w:cs="Times New Roman"/>
                <w:color w:val="auto"/>
                <w:kern w:val="2"/>
                <w:sz w:val="21"/>
                <w:szCs w:val="21"/>
                <w:highlight w:val="none"/>
                <w:lang w:val="en-US" w:eastAsia="zh-CN" w:bidi="ar-SA"/>
              </w:rPr>
              <w:t>台</w:t>
            </w:r>
            <w:r>
              <w:rPr>
                <w:rFonts w:hint="eastAsia" w:ascii="Times New Roman" w:hAnsi="Times New Roman" w:eastAsia="宋体" w:cs="Times New Roman"/>
                <w:color w:val="auto"/>
                <w:kern w:val="2"/>
                <w:sz w:val="21"/>
                <w:szCs w:val="21"/>
                <w:highlight w:val="none"/>
                <w:lang w:val="en-US" w:eastAsia="zh-CN" w:bidi="ar-SA"/>
              </w:rPr>
              <w:t>反应釜、1</w:t>
            </w:r>
            <w:r>
              <w:rPr>
                <w:rFonts w:hint="eastAsia" w:cs="Times New Roman"/>
                <w:color w:val="auto"/>
                <w:kern w:val="2"/>
                <w:sz w:val="21"/>
                <w:szCs w:val="21"/>
                <w:highlight w:val="none"/>
                <w:lang w:val="en-US" w:eastAsia="zh-CN" w:bidi="ar-SA"/>
              </w:rPr>
              <w:t>个粉碎包装工位</w:t>
            </w:r>
            <w:r>
              <w:rPr>
                <w:rFonts w:hint="default"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color w:val="auto"/>
                <w:kern w:val="2"/>
                <w:sz w:val="21"/>
                <w:szCs w:val="21"/>
                <w:highlight w:val="none"/>
                <w:lang w:val="en-US" w:eastAsia="zh-CN" w:bidi="ar-SA"/>
              </w:rPr>
              <w:t>反应釜投料口</w:t>
            </w:r>
            <w:r>
              <w:rPr>
                <w:rFonts w:hint="default" w:ascii="Times New Roman" w:hAnsi="Times New Roman" w:eastAsia="宋体" w:cs="Times New Roman"/>
                <w:color w:val="auto"/>
                <w:kern w:val="2"/>
                <w:sz w:val="21"/>
                <w:szCs w:val="21"/>
                <w:highlight w:val="none"/>
                <w:lang w:val="en-US" w:eastAsia="zh-CN" w:bidi="ar-SA"/>
              </w:rPr>
              <w:t>每台设备集气罩面积为0.</w:t>
            </w:r>
            <w:r>
              <w:rPr>
                <w:rFonts w:hint="eastAsia" w:ascii="Times New Roman" w:hAnsi="Times New Roman" w:eastAsia="宋体" w:cs="Times New Roman"/>
                <w:color w:val="auto"/>
                <w:kern w:val="2"/>
                <w:sz w:val="21"/>
                <w:szCs w:val="21"/>
                <w:highlight w:val="none"/>
                <w:lang w:val="en-US" w:eastAsia="zh-CN" w:bidi="ar-SA"/>
              </w:rPr>
              <w:t>2</w:t>
            </w:r>
            <w:r>
              <w:rPr>
                <w:rFonts w:hint="eastAsia" w:cs="Times New Roman"/>
                <w:color w:val="auto"/>
                <w:kern w:val="2"/>
                <w:sz w:val="21"/>
                <w:szCs w:val="21"/>
                <w:highlight w:val="none"/>
                <w:lang w:val="en-US" w:eastAsia="zh-CN" w:bidi="ar-SA"/>
              </w:rPr>
              <w:t>5</w:t>
            </w:r>
            <w:r>
              <w:rPr>
                <w:rFonts w:hint="default" w:ascii="Times New Roman" w:hAnsi="Times New Roman" w:eastAsia="宋体" w:cs="Times New Roman"/>
                <w:color w:val="auto"/>
                <w:kern w:val="2"/>
                <w:sz w:val="21"/>
                <w:szCs w:val="21"/>
                <w:highlight w:val="none"/>
                <w:lang w:val="en-US" w:eastAsia="zh-CN" w:bidi="ar-SA"/>
              </w:rPr>
              <w:t>m×0.</w:t>
            </w:r>
            <w:r>
              <w:rPr>
                <w:rFonts w:hint="eastAsia" w:cs="Times New Roman"/>
                <w:color w:val="auto"/>
                <w:kern w:val="2"/>
                <w:sz w:val="21"/>
                <w:szCs w:val="21"/>
                <w:highlight w:val="none"/>
                <w:lang w:val="en-US" w:eastAsia="zh-CN" w:bidi="ar-SA"/>
              </w:rPr>
              <w:t>3</w:t>
            </w:r>
            <w:r>
              <w:rPr>
                <w:rFonts w:hint="default" w:ascii="Times New Roman" w:hAnsi="Times New Roman" w:eastAsia="宋体" w:cs="Times New Roman"/>
                <w:color w:val="auto"/>
                <w:kern w:val="2"/>
                <w:sz w:val="21"/>
                <w:szCs w:val="21"/>
                <w:highlight w:val="none"/>
                <w:lang w:val="en-US" w:eastAsia="zh-CN" w:bidi="ar-SA"/>
              </w:rPr>
              <w:t>m，</w:t>
            </w:r>
            <w:r>
              <w:rPr>
                <w:rFonts w:hint="eastAsia" w:ascii="Times New Roman" w:hAnsi="Times New Roman" w:eastAsia="宋体" w:cs="Times New Roman"/>
                <w:color w:val="auto"/>
                <w:kern w:val="2"/>
                <w:sz w:val="21"/>
                <w:szCs w:val="21"/>
                <w:highlight w:val="none"/>
                <w:lang w:val="en-US" w:eastAsia="zh-CN" w:bidi="ar-SA"/>
              </w:rPr>
              <w:t>粉碎</w:t>
            </w:r>
            <w:r>
              <w:rPr>
                <w:rFonts w:hint="eastAsia" w:cs="Times New Roman"/>
                <w:color w:val="auto"/>
                <w:kern w:val="2"/>
                <w:sz w:val="21"/>
                <w:szCs w:val="21"/>
                <w:highlight w:val="none"/>
                <w:lang w:val="en-US" w:eastAsia="zh-CN" w:bidi="ar-SA"/>
              </w:rPr>
              <w:t>包装工位</w:t>
            </w:r>
            <w:r>
              <w:rPr>
                <w:rFonts w:hint="default" w:ascii="Times New Roman" w:hAnsi="Times New Roman" w:eastAsia="宋体" w:cs="Times New Roman"/>
                <w:color w:val="auto"/>
                <w:kern w:val="2"/>
                <w:sz w:val="21"/>
                <w:szCs w:val="21"/>
                <w:highlight w:val="none"/>
                <w:lang w:val="en-US" w:eastAsia="zh-CN" w:bidi="ar-SA"/>
              </w:rPr>
              <w:t>上方</w:t>
            </w:r>
            <w:r>
              <w:rPr>
                <w:rFonts w:hint="eastAsia" w:ascii="Times New Roman" w:hAnsi="Times New Roman" w:eastAsia="宋体" w:cs="Times New Roman"/>
                <w:color w:val="auto"/>
                <w:kern w:val="2"/>
                <w:sz w:val="21"/>
                <w:szCs w:val="21"/>
                <w:highlight w:val="none"/>
                <w:lang w:val="en-US" w:eastAsia="zh-CN" w:bidi="ar-SA"/>
              </w:rPr>
              <w:t>均</w:t>
            </w:r>
            <w:r>
              <w:rPr>
                <w:rFonts w:hint="default" w:ascii="Times New Roman" w:hAnsi="Times New Roman" w:eastAsia="宋体" w:cs="Times New Roman"/>
                <w:color w:val="auto"/>
                <w:kern w:val="2"/>
                <w:sz w:val="21"/>
                <w:szCs w:val="21"/>
                <w:highlight w:val="none"/>
                <w:lang w:val="en-US" w:eastAsia="zh-CN" w:bidi="ar-SA"/>
              </w:rPr>
              <w:t>设置集气罩</w:t>
            </w:r>
            <w:r>
              <w:rPr>
                <w:rFonts w:hint="eastAsia" w:cs="Times New Roman"/>
                <w:color w:val="auto"/>
                <w:kern w:val="2"/>
                <w:sz w:val="21"/>
                <w:szCs w:val="21"/>
                <w:highlight w:val="none"/>
                <w:lang w:val="en-US" w:eastAsia="zh-CN" w:bidi="ar-SA"/>
              </w:rPr>
              <w:t>面积为</w:t>
            </w:r>
            <w:r>
              <w:rPr>
                <w:rFonts w:hint="default" w:ascii="Times New Roman" w:hAnsi="Times New Roman" w:eastAsia="宋体" w:cs="Times New Roman"/>
                <w:color w:val="auto"/>
                <w:kern w:val="2"/>
                <w:sz w:val="21"/>
                <w:szCs w:val="21"/>
                <w:highlight w:val="none"/>
                <w:lang w:val="en-US" w:eastAsia="zh-CN" w:bidi="ar-SA"/>
              </w:rPr>
              <w:t>0.</w:t>
            </w:r>
            <w:r>
              <w:rPr>
                <w:rFonts w:hint="eastAsia" w:cs="Times New Roman"/>
                <w:color w:val="auto"/>
                <w:kern w:val="2"/>
                <w:sz w:val="21"/>
                <w:szCs w:val="21"/>
                <w:highlight w:val="none"/>
                <w:lang w:val="en-US" w:eastAsia="zh-CN" w:bidi="ar-SA"/>
              </w:rPr>
              <w:t>4</w:t>
            </w:r>
            <w:r>
              <w:rPr>
                <w:rFonts w:hint="default" w:ascii="Times New Roman" w:hAnsi="Times New Roman" w:eastAsia="宋体" w:cs="Times New Roman"/>
                <w:color w:val="auto"/>
                <w:kern w:val="2"/>
                <w:sz w:val="21"/>
                <w:szCs w:val="21"/>
                <w:highlight w:val="none"/>
                <w:lang w:val="en-US" w:eastAsia="zh-CN" w:bidi="ar-SA"/>
              </w:rPr>
              <w:t>m×0.</w:t>
            </w:r>
            <w:r>
              <w:rPr>
                <w:rFonts w:hint="eastAsia" w:cs="Times New Roman"/>
                <w:color w:val="auto"/>
                <w:kern w:val="2"/>
                <w:sz w:val="21"/>
                <w:szCs w:val="21"/>
                <w:highlight w:val="none"/>
                <w:lang w:val="en-US" w:eastAsia="zh-CN" w:bidi="ar-SA"/>
              </w:rPr>
              <w:t>4</w:t>
            </w:r>
            <w:r>
              <w:rPr>
                <w:rFonts w:hint="default" w:ascii="Times New Roman" w:hAnsi="Times New Roman" w:eastAsia="宋体" w:cs="Times New Roman"/>
                <w:color w:val="auto"/>
                <w:kern w:val="2"/>
                <w:sz w:val="21"/>
                <w:szCs w:val="21"/>
                <w:highlight w:val="none"/>
                <w:lang w:val="en-US" w:eastAsia="zh-CN" w:bidi="ar-SA"/>
              </w:rPr>
              <w:t>m，集气罩总面积为</w:t>
            </w:r>
            <w:r>
              <w:rPr>
                <w:rFonts w:hint="eastAsia" w:cs="Times New Roman"/>
                <w:color w:val="auto"/>
                <w:kern w:val="2"/>
                <w:sz w:val="21"/>
                <w:szCs w:val="21"/>
                <w:highlight w:val="none"/>
                <w:lang w:val="en-US" w:eastAsia="zh-CN" w:bidi="ar-SA"/>
              </w:rPr>
              <w:t>0.46</w:t>
            </w:r>
            <w:r>
              <w:rPr>
                <w:rFonts w:hint="default" w:ascii="Times New Roman" w:hAnsi="Times New Roman" w:eastAsia="宋体" w:cs="Times New Roman"/>
                <w:color w:val="auto"/>
                <w:kern w:val="2"/>
                <w:sz w:val="21"/>
                <w:szCs w:val="21"/>
                <w:highlight w:val="none"/>
                <w:lang w:val="en-US" w:eastAsia="zh-CN" w:bidi="ar-SA"/>
              </w:rPr>
              <w:t>m</w:t>
            </w:r>
            <w:r>
              <w:rPr>
                <w:rFonts w:hint="default" w:ascii="Times New Roman" w:hAnsi="Times New Roman" w:eastAsia="宋体" w:cs="Times New Roman"/>
                <w:color w:val="auto"/>
                <w:kern w:val="2"/>
                <w:sz w:val="21"/>
                <w:szCs w:val="21"/>
                <w:highlight w:val="none"/>
                <w:vertAlign w:val="superscript"/>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w:t>
            </w:r>
            <w:r>
              <w:rPr>
                <w:rFonts w:hint="eastAsia" w:ascii="Times New Roman" w:hAnsi="Times New Roman" w:eastAsia="宋体" w:cs="Times New Roman"/>
                <w:bCs/>
                <w:color w:val="auto"/>
                <w:spacing w:val="-2"/>
                <w:sz w:val="21"/>
                <w:szCs w:val="21"/>
                <w:highlight w:val="none"/>
                <w:lang w:val="en-US" w:eastAsia="zh-CN"/>
              </w:rPr>
              <w:t>集气罩</w:t>
            </w:r>
            <w:r>
              <w:rPr>
                <w:rFonts w:hint="eastAsia" w:cs="Times New Roman"/>
                <w:bCs/>
                <w:color w:val="auto"/>
                <w:spacing w:val="-2"/>
                <w:sz w:val="21"/>
                <w:szCs w:val="21"/>
                <w:highlight w:val="none"/>
                <w:lang w:val="en-US" w:eastAsia="zh-CN"/>
              </w:rPr>
              <w:t>周边风速</w:t>
            </w:r>
            <w:r>
              <w:rPr>
                <w:rFonts w:hint="default" w:ascii="Times New Roman" w:hAnsi="Times New Roman" w:eastAsia="宋体" w:cs="Times New Roman"/>
                <w:b w:val="0"/>
                <w:bCs/>
                <w:color w:val="auto"/>
                <w:kern w:val="2"/>
                <w:sz w:val="21"/>
                <w:szCs w:val="21"/>
                <w:highlight w:val="none"/>
                <w:lang w:val="en-US" w:eastAsia="zh-CN" w:bidi="ar-SA"/>
              </w:rPr>
              <w:t>根据《局部排风设施控制风速检测与评估技术规范》（AQ/T4274-2016）</w:t>
            </w:r>
            <w:r>
              <w:rPr>
                <w:rFonts w:hint="eastAsia" w:ascii="Times New Roman" w:hAnsi="Times New Roman" w:eastAsia="宋体" w:cs="Times New Roman"/>
                <w:b w:val="0"/>
                <w:bCs/>
                <w:color w:val="auto"/>
                <w:kern w:val="2"/>
                <w:sz w:val="21"/>
                <w:szCs w:val="21"/>
                <w:highlight w:val="none"/>
                <w:lang w:val="en-US" w:eastAsia="zh-CN" w:bidi="ar-SA"/>
              </w:rPr>
              <w:t>中相关要求，本项目风速按1.0m/s计，得出风量为：1.0m/s</w:t>
            </w:r>
            <w:r>
              <w:rPr>
                <w:rFonts w:hint="default" w:ascii="Times New Roman" w:hAnsi="Times New Roman" w:eastAsia="宋体" w:cs="Times New Roman"/>
                <w:color w:val="auto"/>
                <w:kern w:val="2"/>
                <w:sz w:val="21"/>
                <w:szCs w:val="21"/>
                <w:highlight w:val="none"/>
                <w:lang w:val="en-US" w:eastAsia="zh-CN" w:bidi="ar-SA"/>
              </w:rPr>
              <w:t>×3600s/h×</w:t>
            </w:r>
            <w:r>
              <w:rPr>
                <w:rFonts w:hint="eastAsia" w:cs="Times New Roman"/>
                <w:color w:val="auto"/>
                <w:kern w:val="2"/>
                <w:sz w:val="21"/>
                <w:szCs w:val="21"/>
                <w:highlight w:val="none"/>
                <w:lang w:val="en-US" w:eastAsia="zh-CN" w:bidi="ar-SA"/>
              </w:rPr>
              <w:t>0.46</w:t>
            </w:r>
            <w:r>
              <w:rPr>
                <w:rFonts w:hint="default" w:ascii="Times New Roman" w:hAnsi="Times New Roman" w:eastAsia="宋体" w:cs="Times New Roman"/>
                <w:color w:val="auto"/>
                <w:kern w:val="2"/>
                <w:sz w:val="21"/>
                <w:szCs w:val="21"/>
                <w:highlight w:val="none"/>
                <w:lang w:val="en-US" w:eastAsia="zh-CN" w:bidi="ar-SA"/>
              </w:rPr>
              <w:t>m</w:t>
            </w:r>
            <w:r>
              <w:rPr>
                <w:rFonts w:hint="default" w:ascii="Times New Roman" w:hAnsi="Times New Roman" w:eastAsia="宋体" w:cs="Times New Roman"/>
                <w:color w:val="auto"/>
                <w:kern w:val="2"/>
                <w:sz w:val="21"/>
                <w:szCs w:val="21"/>
                <w:highlight w:val="none"/>
                <w:vertAlign w:val="superscript"/>
                <w:lang w:val="en-US" w:eastAsia="zh-CN" w:bidi="ar-SA"/>
              </w:rPr>
              <w:t>2</w:t>
            </w:r>
            <w:r>
              <w:rPr>
                <w:rFonts w:hint="default" w:ascii="Times New Roman" w:hAnsi="Times New Roman" w:eastAsia="宋体" w:cs="Times New Roman"/>
                <w:color w:val="auto"/>
                <w:kern w:val="2"/>
                <w:sz w:val="21"/>
                <w:szCs w:val="21"/>
                <w:highlight w:val="none"/>
                <w:lang w:val="en-US" w:eastAsia="zh-CN" w:bidi="ar-SA"/>
              </w:rPr>
              <w:t>=</w:t>
            </w:r>
            <w:r>
              <w:rPr>
                <w:rFonts w:hint="eastAsia" w:cs="Times New Roman"/>
                <w:color w:val="auto"/>
                <w:kern w:val="2"/>
                <w:sz w:val="21"/>
                <w:szCs w:val="21"/>
                <w:highlight w:val="none"/>
                <w:lang w:val="en-US" w:eastAsia="zh-CN" w:bidi="ar-SA"/>
              </w:rPr>
              <w:t>1656</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/h</w:t>
            </w:r>
            <w:r>
              <w:rPr>
                <w:rFonts w:hint="eastAsia" w:ascii="Times New Roman" w:hAnsi="Times New Roman" w:eastAsia="宋体" w:cs="Times New Roman"/>
                <w:color w:val="auto"/>
                <w:sz w:val="21"/>
                <w:szCs w:val="21"/>
                <w:highlight w:val="none"/>
                <w:lang w:val="en-US" w:eastAsia="zh-CN"/>
              </w:rPr>
              <w:t>，则本项目设置2000</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/h</w:t>
            </w:r>
            <w:r>
              <w:rPr>
                <w:rFonts w:hint="eastAsia" w:ascii="Times New Roman" w:hAnsi="Times New Roman" w:eastAsia="宋体" w:cs="Times New Roman"/>
                <w:color w:val="auto"/>
                <w:sz w:val="21"/>
                <w:szCs w:val="21"/>
                <w:highlight w:val="none"/>
                <w:lang w:val="en-US" w:eastAsia="zh-CN"/>
              </w:rPr>
              <w:t>除尘风机可行。</w:t>
            </w:r>
          </w:p>
          <w:p w14:paraId="4251C54E">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color w:val="auto"/>
                <w:spacing w:val="0"/>
                <w:sz w:val="21"/>
                <w:szCs w:val="21"/>
                <w:highlight w:val="none"/>
                <w:lang w:val="en-US" w:eastAsia="zh-CN"/>
              </w:rPr>
            </w:pPr>
            <w:r>
              <w:rPr>
                <w:rFonts w:hint="eastAsia" w:cs="Times New Roman"/>
                <w:color w:val="auto"/>
                <w:spacing w:val="0"/>
                <w:sz w:val="21"/>
                <w:szCs w:val="21"/>
                <w:highlight w:val="none"/>
                <w:lang w:val="en-US" w:eastAsia="zh-CN"/>
              </w:rPr>
              <w:t>喷雾干燥</w:t>
            </w:r>
            <w:r>
              <w:rPr>
                <w:rFonts w:hint="eastAsia" w:cs="Times New Roman"/>
                <w:color w:val="auto"/>
                <w:spacing w:val="0"/>
                <w:sz w:val="21"/>
                <w:szCs w:val="21"/>
                <w:highlight w:val="none"/>
                <w:lang w:val="en-GB" w:eastAsia="zh-CN"/>
              </w:rPr>
              <w:t>工序设置密闭管道，管道的风流量计算公式为：T=R*S*3600（式中：R为风管截面积，单位：m</w:t>
            </w:r>
            <w:r>
              <w:rPr>
                <w:rFonts w:hint="eastAsia" w:cs="Times New Roman"/>
                <w:color w:val="auto"/>
                <w:spacing w:val="0"/>
                <w:sz w:val="21"/>
                <w:szCs w:val="21"/>
                <w:highlight w:val="none"/>
                <w:vertAlign w:val="superscript"/>
                <w:lang w:val="en-GB" w:eastAsia="zh-CN"/>
              </w:rPr>
              <w:t>2</w:t>
            </w:r>
            <w:r>
              <w:rPr>
                <w:rFonts w:hint="eastAsia" w:cs="Times New Roman"/>
                <w:color w:val="auto"/>
                <w:spacing w:val="0"/>
                <w:sz w:val="21"/>
                <w:szCs w:val="21"/>
                <w:highlight w:val="none"/>
                <w:lang w:val="en-GB" w:eastAsia="zh-CN"/>
              </w:rPr>
              <w:t>；S为管道里的气流速度，本次取值</w:t>
            </w:r>
            <w:r>
              <w:rPr>
                <w:rFonts w:hint="eastAsia" w:cs="Times New Roman"/>
                <w:color w:val="auto"/>
                <w:spacing w:val="0"/>
                <w:sz w:val="21"/>
                <w:szCs w:val="21"/>
                <w:highlight w:val="none"/>
                <w:lang w:val="en-US" w:eastAsia="zh-CN"/>
              </w:rPr>
              <w:t>16.6</w:t>
            </w:r>
            <w:r>
              <w:rPr>
                <w:rFonts w:hint="eastAsia" w:cs="Times New Roman"/>
                <w:color w:val="auto"/>
                <w:spacing w:val="0"/>
                <w:sz w:val="21"/>
                <w:szCs w:val="21"/>
                <w:highlight w:val="none"/>
                <w:lang w:val="en-GB" w:eastAsia="zh-CN"/>
              </w:rPr>
              <w:t>m/s），本项目</w:t>
            </w:r>
            <w:r>
              <w:rPr>
                <w:rFonts w:hint="eastAsia" w:cs="Times New Roman"/>
                <w:color w:val="auto"/>
                <w:spacing w:val="0"/>
                <w:sz w:val="21"/>
                <w:szCs w:val="21"/>
                <w:highlight w:val="none"/>
                <w:lang w:val="en-US" w:eastAsia="zh-CN"/>
              </w:rPr>
              <w:t>喷雾干燥尾气密闭管道（进入二级旋风分离器前）</w:t>
            </w:r>
            <w:r>
              <w:rPr>
                <w:rFonts w:hint="eastAsia" w:cs="Times New Roman"/>
                <w:color w:val="auto"/>
                <w:spacing w:val="0"/>
                <w:sz w:val="21"/>
                <w:szCs w:val="21"/>
                <w:highlight w:val="none"/>
                <w:lang w:val="en-GB" w:eastAsia="zh-CN"/>
              </w:rPr>
              <w:t>截面积为</w:t>
            </w:r>
            <w:r>
              <w:rPr>
                <w:rFonts w:hint="eastAsia" w:cs="Times New Roman"/>
                <w:color w:val="auto"/>
                <w:spacing w:val="0"/>
                <w:sz w:val="21"/>
                <w:szCs w:val="21"/>
                <w:highlight w:val="none"/>
                <w:lang w:val="en-US" w:eastAsia="zh-CN"/>
              </w:rPr>
              <w:t>0.1257</w:t>
            </w:r>
            <w:r>
              <w:rPr>
                <w:rFonts w:hint="eastAsia" w:cs="Times New Roman"/>
                <w:color w:val="auto"/>
                <w:spacing w:val="0"/>
                <w:sz w:val="21"/>
                <w:szCs w:val="21"/>
                <w:highlight w:val="none"/>
                <w:lang w:val="en-GB" w:eastAsia="zh-CN"/>
              </w:rPr>
              <w:t>m</w:t>
            </w:r>
            <w:r>
              <w:rPr>
                <w:rFonts w:hint="eastAsia" w:cs="Times New Roman"/>
                <w:color w:val="auto"/>
                <w:spacing w:val="0"/>
                <w:sz w:val="21"/>
                <w:szCs w:val="21"/>
                <w:highlight w:val="none"/>
                <w:vertAlign w:val="superscript"/>
                <w:lang w:val="en-GB" w:eastAsia="zh-CN"/>
              </w:rPr>
              <w:t>2</w:t>
            </w:r>
            <w:r>
              <w:rPr>
                <w:rFonts w:hint="eastAsia" w:cs="Times New Roman"/>
                <w:color w:val="auto"/>
                <w:spacing w:val="0"/>
                <w:sz w:val="21"/>
                <w:szCs w:val="21"/>
                <w:highlight w:val="none"/>
                <w:lang w:val="en-GB" w:eastAsia="zh-CN"/>
              </w:rPr>
              <w:t>。经计算，</w:t>
            </w:r>
            <w:r>
              <w:rPr>
                <w:rFonts w:hint="eastAsia" w:cs="Times New Roman"/>
                <w:color w:val="auto"/>
                <w:spacing w:val="0"/>
                <w:sz w:val="21"/>
                <w:szCs w:val="21"/>
                <w:highlight w:val="none"/>
                <w:lang w:val="en-US" w:eastAsia="zh-CN"/>
              </w:rPr>
              <w:t>喷雾干燥</w:t>
            </w:r>
            <w:r>
              <w:rPr>
                <w:rFonts w:hint="eastAsia" w:cs="Times New Roman"/>
                <w:color w:val="auto"/>
                <w:spacing w:val="0"/>
                <w:sz w:val="21"/>
                <w:szCs w:val="21"/>
                <w:highlight w:val="none"/>
                <w:lang w:val="en-GB" w:eastAsia="zh-CN"/>
              </w:rPr>
              <w:t>工序管道风量为</w:t>
            </w:r>
            <w:r>
              <w:rPr>
                <w:rFonts w:hint="eastAsia" w:cs="Times New Roman"/>
                <w:color w:val="auto"/>
                <w:spacing w:val="0"/>
                <w:sz w:val="21"/>
                <w:szCs w:val="21"/>
                <w:highlight w:val="none"/>
                <w:lang w:val="en-US" w:eastAsia="zh-CN"/>
              </w:rPr>
              <w:t>7500</w:t>
            </w:r>
            <w:r>
              <w:rPr>
                <w:rFonts w:hint="eastAsia" w:ascii="TimesNewRomanPSMT" w:hAnsi="TimesNewRomanPSMT" w:eastAsia="TimesNewRomanPSMT"/>
                <w:color w:val="auto"/>
                <w:sz w:val="21"/>
                <w:szCs w:val="21"/>
                <w:highlight w:val="none"/>
              </w:rPr>
              <w:t>m</w:t>
            </w:r>
            <w:r>
              <w:rPr>
                <w:rFonts w:hint="eastAsia" w:ascii="TimesNewRomanPSMT" w:hAnsi="TimesNewRomanPSMT" w:eastAsia="TimesNewRomanPSMT"/>
                <w:color w:val="auto"/>
                <w:sz w:val="21"/>
                <w:szCs w:val="21"/>
                <w:highlight w:val="none"/>
                <w:vertAlign w:val="superscript"/>
              </w:rPr>
              <w:t>3</w:t>
            </w:r>
            <w:r>
              <w:rPr>
                <w:rFonts w:hint="eastAsia" w:ascii="TimesNewRomanPSMT" w:hAnsi="TimesNewRomanPSMT" w:eastAsia="TimesNewRomanPSMT"/>
                <w:color w:val="auto"/>
                <w:sz w:val="21"/>
                <w:szCs w:val="21"/>
                <w:highlight w:val="none"/>
              </w:rPr>
              <w:t>/h</w:t>
            </w:r>
            <w:r>
              <w:rPr>
                <w:rFonts w:hint="eastAsia" w:ascii="TimesNewRomanPSMT" w:hAnsi="TimesNewRomanPSMT" w:eastAsia="宋体"/>
                <w:color w:val="auto"/>
                <w:sz w:val="21"/>
                <w:szCs w:val="21"/>
                <w:highlight w:val="none"/>
                <w:lang w:eastAsia="zh-CN"/>
              </w:rPr>
              <w:t>，</w:t>
            </w:r>
            <w:r>
              <w:rPr>
                <w:rFonts w:hint="eastAsia" w:ascii="TimesNewRomanPSMT" w:hAnsi="TimesNewRomanPSMT" w:eastAsia="宋体"/>
                <w:color w:val="auto"/>
                <w:sz w:val="21"/>
                <w:szCs w:val="21"/>
                <w:highlight w:val="none"/>
                <w:lang w:val="en-US" w:eastAsia="zh-CN"/>
              </w:rPr>
              <w:t>则本项目设置</w:t>
            </w:r>
            <w:r>
              <w:rPr>
                <w:rFonts w:hint="eastAsia" w:ascii="Times New Roman" w:hAnsi="Times New Roman" w:eastAsia="宋体" w:cs="Times New Roman"/>
                <w:color w:val="auto"/>
                <w:sz w:val="21"/>
                <w:szCs w:val="21"/>
                <w:highlight w:val="none"/>
                <w:lang w:val="en-US" w:eastAsia="zh-CN"/>
              </w:rPr>
              <w:t>9000</w:t>
            </w:r>
            <w:r>
              <w:rPr>
                <w:rFonts w:hint="default" w:ascii="Times New Roman" w:hAnsi="Times New Roman" w:eastAsia="宋体" w:cs="Times New Roman"/>
                <w:color w:val="auto"/>
                <w:sz w:val="21"/>
                <w:szCs w:val="21"/>
                <w:highlight w:val="none"/>
                <w:lang w:val="en-US" w:eastAsia="zh-CN"/>
              </w:rPr>
              <w:t>m</w:t>
            </w:r>
            <w:r>
              <w:rPr>
                <w:rFonts w:hint="default"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lang w:val="en-US" w:eastAsia="zh-CN"/>
              </w:rPr>
              <w:t>/h</w:t>
            </w:r>
            <w:r>
              <w:rPr>
                <w:rFonts w:hint="eastAsia" w:ascii="Times New Roman" w:hAnsi="Times New Roman" w:eastAsia="宋体" w:cs="Times New Roman"/>
                <w:color w:val="auto"/>
                <w:sz w:val="21"/>
                <w:szCs w:val="21"/>
                <w:highlight w:val="none"/>
                <w:lang w:val="en-US" w:eastAsia="zh-CN"/>
              </w:rPr>
              <w:t>尾气风机可行</w:t>
            </w:r>
            <w:r>
              <w:rPr>
                <w:rFonts w:hint="eastAsia" w:ascii="TimesNewRomanPSMT" w:hAnsi="TimesNewRomanPSMT" w:eastAsia="宋体"/>
                <w:color w:val="auto"/>
                <w:sz w:val="21"/>
                <w:szCs w:val="21"/>
                <w:highlight w:val="none"/>
                <w:lang w:eastAsia="zh-CN"/>
              </w:rPr>
              <w:t>。</w:t>
            </w:r>
          </w:p>
          <w:p w14:paraId="3CA12CC9">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ascii="Times New Roman" w:hAnsi="Times New Roman" w:eastAsia="宋体" w:cs="Times New Roman"/>
                <w:color w:val="auto"/>
                <w:spacing w:val="0"/>
                <w:sz w:val="21"/>
                <w:szCs w:val="21"/>
                <w:highlight w:val="none"/>
                <w:lang w:val="en-GB" w:eastAsia="zh-CN"/>
              </w:rPr>
            </w:pPr>
            <w:r>
              <w:rPr>
                <w:rFonts w:hint="eastAsia" w:cs="Times New Roman"/>
                <w:color w:val="auto"/>
                <w:spacing w:val="0"/>
                <w:sz w:val="21"/>
                <w:szCs w:val="21"/>
                <w:highlight w:val="none"/>
                <w:lang w:val="en-GB" w:eastAsia="zh-CN"/>
              </w:rPr>
              <w:t>排气筒风量计算过程如下表。</w:t>
            </w:r>
          </w:p>
          <w:p w14:paraId="58B4B796">
            <w:pPr>
              <w:pStyle w:val="23"/>
              <w:keepNext w:val="0"/>
              <w:keepLines w:val="0"/>
              <w:pageBreakBefore w:val="0"/>
              <w:widowControl w:val="0"/>
              <w:numPr>
                <w:ilvl w:val="0"/>
                <w:numId w:val="0"/>
              </w:numPr>
              <w:kinsoku/>
              <w:wordWrap/>
              <w:overflowPunct/>
              <w:topLinePunct w:val="0"/>
              <w:autoSpaceDE/>
              <w:autoSpaceDN/>
              <w:bidi w:val="0"/>
              <w:adjustRightInd/>
              <w:snapToGrid/>
              <w:spacing w:before="0" w:after="0" w:line="240" w:lineRule="auto"/>
              <w:ind w:leftChars="0" w:right="0" w:rightChars="0"/>
              <w:jc w:val="center"/>
              <w:textAlignment w:val="auto"/>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lang w:val="en-US" w:eastAsia="zh-CN"/>
              </w:rPr>
              <w:t>表 4-</w:t>
            </w:r>
            <w:r>
              <w:rPr>
                <w:rFonts w:hint="eastAsia" w:ascii="Times New Roman" w:hAnsi="Times New Roman" w:cs="Times New Roman"/>
                <w:b/>
                <w:bCs/>
                <w:color w:val="auto"/>
                <w:sz w:val="21"/>
                <w:szCs w:val="21"/>
                <w:highlight w:val="none"/>
                <w:lang w:val="en-US" w:eastAsia="zh-CN"/>
              </w:rPr>
              <w:t>2</w:t>
            </w:r>
            <w:r>
              <w:rPr>
                <w:rFonts w:hint="default" w:ascii="Times New Roman" w:hAnsi="Times New Roman" w:cs="Times New Roman"/>
                <w:b/>
                <w:bCs/>
                <w:color w:val="auto"/>
                <w:sz w:val="21"/>
                <w:szCs w:val="21"/>
                <w:highlight w:val="none"/>
                <w:lang w:val="en-US" w:eastAsia="zh-CN"/>
              </w:rPr>
              <w:t xml:space="preserve">  </w:t>
            </w:r>
            <w:r>
              <w:rPr>
                <w:rFonts w:hint="eastAsia" w:ascii="Times New Roman" w:hAnsi="Times New Roman" w:cs="Times New Roman"/>
                <w:b/>
                <w:bCs/>
                <w:color w:val="auto"/>
                <w:sz w:val="21"/>
                <w:szCs w:val="21"/>
                <w:highlight w:val="none"/>
                <w:lang w:val="en-US" w:eastAsia="zh-CN"/>
              </w:rPr>
              <w:t>各工序废气污染防治措施及废气风量计算</w:t>
            </w:r>
            <w:r>
              <w:rPr>
                <w:rFonts w:hint="default" w:ascii="Times New Roman" w:hAnsi="Times New Roman" w:cs="Times New Roman"/>
                <w:b/>
                <w:bCs/>
                <w:color w:val="auto"/>
                <w:sz w:val="21"/>
                <w:szCs w:val="21"/>
                <w:highlight w:val="none"/>
              </w:rPr>
              <w:t>表</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776"/>
              <w:gridCol w:w="783"/>
              <w:gridCol w:w="1384"/>
              <w:gridCol w:w="1867"/>
              <w:gridCol w:w="1133"/>
              <w:gridCol w:w="1155"/>
            </w:tblGrid>
            <w:tr w14:paraId="38E72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6" w:type="pct"/>
                  <w:vMerge w:val="restart"/>
                  <w:tcBorders>
                    <w:tl2br w:val="nil"/>
                    <w:tr2bl w:val="nil"/>
                  </w:tcBorders>
                  <w:noWrap w:val="0"/>
                  <w:vAlign w:val="center"/>
                </w:tcPr>
                <w:p w14:paraId="7B2C370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废气排放口</w:t>
                  </w:r>
                </w:p>
              </w:tc>
              <w:tc>
                <w:tcPr>
                  <w:tcW w:w="4473" w:type="pct"/>
                  <w:gridSpan w:val="6"/>
                  <w:tcBorders>
                    <w:tl2br w:val="nil"/>
                    <w:tr2bl w:val="nil"/>
                  </w:tcBorders>
                  <w:noWrap w:val="0"/>
                  <w:vAlign w:val="center"/>
                </w:tcPr>
                <w:p w14:paraId="2991BF6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风量计算</w:t>
                  </w:r>
                </w:p>
              </w:tc>
            </w:tr>
            <w:tr w14:paraId="0240A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6" w:type="pct"/>
                  <w:vMerge w:val="continue"/>
                  <w:tcBorders>
                    <w:tl2br w:val="nil"/>
                    <w:tr2bl w:val="nil"/>
                  </w:tcBorders>
                  <w:noWrap w:val="0"/>
                  <w:vAlign w:val="center"/>
                </w:tcPr>
                <w:p w14:paraId="1D1F497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p>
              </w:tc>
              <w:tc>
                <w:tcPr>
                  <w:tcW w:w="489" w:type="pct"/>
                  <w:tcBorders>
                    <w:tl2br w:val="nil"/>
                    <w:tr2bl w:val="nil"/>
                  </w:tcBorders>
                  <w:noWrap w:val="0"/>
                  <w:vAlign w:val="center"/>
                </w:tcPr>
                <w:p w14:paraId="29DAB80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产污环节</w:t>
                  </w:r>
                </w:p>
              </w:tc>
              <w:tc>
                <w:tcPr>
                  <w:tcW w:w="493" w:type="pct"/>
                  <w:tcBorders>
                    <w:tl2br w:val="nil"/>
                    <w:tr2bl w:val="nil"/>
                  </w:tcBorders>
                  <w:noWrap w:val="0"/>
                  <w:vAlign w:val="center"/>
                </w:tcPr>
                <w:p w14:paraId="0EAEA58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集气措施</w:t>
                  </w:r>
                </w:p>
              </w:tc>
              <w:tc>
                <w:tcPr>
                  <w:tcW w:w="872" w:type="pct"/>
                  <w:tcBorders>
                    <w:tl2br w:val="nil"/>
                    <w:tr2bl w:val="nil"/>
                  </w:tcBorders>
                  <w:noWrap w:val="0"/>
                  <w:vAlign w:val="center"/>
                </w:tcPr>
                <w:p w14:paraId="53C9B0F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集气罩面积（m</w:t>
                  </w:r>
                  <w:r>
                    <w:rPr>
                      <w:rFonts w:hint="eastAsia" w:ascii="Times New Roman" w:hAnsi="Times New Roman" w:cs="Times New Roman"/>
                      <w:color w:val="auto"/>
                      <w:kern w:val="0"/>
                      <w:sz w:val="21"/>
                      <w:szCs w:val="21"/>
                      <w:highlight w:val="none"/>
                      <w:vertAlign w:val="superscript"/>
                      <w:lang w:val="en-US" w:eastAsia="zh-CN"/>
                    </w:rPr>
                    <w:t>2</w:t>
                  </w:r>
                  <w:r>
                    <w:rPr>
                      <w:rFonts w:hint="eastAsia" w:ascii="Times New Roman" w:hAnsi="Times New Roman" w:cs="Times New Roman"/>
                      <w:color w:val="auto"/>
                      <w:kern w:val="0"/>
                      <w:sz w:val="21"/>
                      <w:szCs w:val="21"/>
                      <w:highlight w:val="none"/>
                      <w:lang w:val="en-US" w:eastAsia="zh-CN"/>
                    </w:rPr>
                    <w:t>）</w:t>
                  </w:r>
                </w:p>
              </w:tc>
              <w:tc>
                <w:tcPr>
                  <w:tcW w:w="1176" w:type="pct"/>
                  <w:tcBorders>
                    <w:tl2br w:val="nil"/>
                    <w:tr2bl w:val="nil"/>
                  </w:tcBorders>
                  <w:noWrap w:val="0"/>
                  <w:vAlign w:val="center"/>
                </w:tcPr>
                <w:p w14:paraId="4A1BF5C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集气罩数量（个）</w:t>
                  </w:r>
                </w:p>
              </w:tc>
              <w:tc>
                <w:tcPr>
                  <w:tcW w:w="714" w:type="pct"/>
                  <w:tcBorders>
                    <w:tl2br w:val="nil"/>
                    <w:tr2bl w:val="nil"/>
                  </w:tcBorders>
                  <w:noWrap w:val="0"/>
                  <w:vAlign w:val="center"/>
                </w:tcPr>
                <w:p w14:paraId="2B588E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风量计算（m</w:t>
                  </w:r>
                  <w:r>
                    <w:rPr>
                      <w:rFonts w:hint="eastAsia" w:ascii="Times New Roman" w:hAnsi="Times New Roman" w:cs="Times New Roman"/>
                      <w:color w:val="auto"/>
                      <w:kern w:val="0"/>
                      <w:sz w:val="21"/>
                      <w:szCs w:val="21"/>
                      <w:highlight w:val="none"/>
                      <w:vertAlign w:val="superscript"/>
                      <w:lang w:val="en-US" w:eastAsia="zh-CN"/>
                    </w:rPr>
                    <w:t>3</w:t>
                  </w:r>
                  <w:r>
                    <w:rPr>
                      <w:rFonts w:hint="eastAsia" w:ascii="Times New Roman" w:hAnsi="Times New Roman" w:cs="Times New Roman"/>
                      <w:color w:val="auto"/>
                      <w:kern w:val="0"/>
                      <w:sz w:val="21"/>
                      <w:szCs w:val="21"/>
                      <w:highlight w:val="none"/>
                      <w:lang w:val="en-US" w:eastAsia="zh-CN"/>
                    </w:rPr>
                    <w:t>/h）</w:t>
                  </w:r>
                </w:p>
              </w:tc>
              <w:tc>
                <w:tcPr>
                  <w:tcW w:w="727" w:type="pct"/>
                  <w:tcBorders>
                    <w:tl2br w:val="nil"/>
                    <w:tr2bl w:val="nil"/>
                  </w:tcBorders>
                  <w:noWrap w:val="0"/>
                  <w:vAlign w:val="center"/>
                </w:tcPr>
                <w:p w14:paraId="358C805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风机选取</w:t>
                  </w:r>
                  <w:r>
                    <w:rPr>
                      <w:rFonts w:hint="eastAsia" w:ascii="Times New Roman" w:hAnsi="Times New Roman" w:cs="Times New Roman"/>
                      <w:color w:val="auto"/>
                      <w:kern w:val="0"/>
                      <w:sz w:val="21"/>
                      <w:szCs w:val="21"/>
                      <w:highlight w:val="none"/>
                      <w:lang w:val="en-US" w:eastAsia="zh-CN"/>
                    </w:rPr>
                    <w:t>（m</w:t>
                  </w:r>
                  <w:r>
                    <w:rPr>
                      <w:rFonts w:hint="eastAsia" w:ascii="Times New Roman" w:hAnsi="Times New Roman" w:cs="Times New Roman"/>
                      <w:color w:val="auto"/>
                      <w:kern w:val="0"/>
                      <w:sz w:val="21"/>
                      <w:szCs w:val="21"/>
                      <w:highlight w:val="none"/>
                      <w:vertAlign w:val="superscript"/>
                      <w:lang w:val="en-US" w:eastAsia="zh-CN"/>
                    </w:rPr>
                    <w:t>3</w:t>
                  </w:r>
                  <w:r>
                    <w:rPr>
                      <w:rFonts w:hint="eastAsia" w:ascii="Times New Roman" w:hAnsi="Times New Roman" w:cs="Times New Roman"/>
                      <w:color w:val="auto"/>
                      <w:kern w:val="0"/>
                      <w:sz w:val="21"/>
                      <w:szCs w:val="21"/>
                      <w:highlight w:val="none"/>
                      <w:lang w:val="en-US" w:eastAsia="zh-CN"/>
                    </w:rPr>
                    <w:t>/h）</w:t>
                  </w:r>
                </w:p>
              </w:tc>
            </w:tr>
            <w:tr w14:paraId="2207D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6" w:type="pct"/>
                  <w:vMerge w:val="restart"/>
                  <w:tcBorders>
                    <w:tl2br w:val="nil"/>
                    <w:tr2bl w:val="nil"/>
                  </w:tcBorders>
                  <w:noWrap w:val="0"/>
                  <w:vAlign w:val="center"/>
                </w:tcPr>
                <w:p w14:paraId="4CB2BB6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DA0</w:t>
                  </w:r>
                  <w:r>
                    <w:rPr>
                      <w:rFonts w:hint="eastAsia" w:cs="Times New Roman"/>
                      <w:color w:val="auto"/>
                      <w:kern w:val="0"/>
                      <w:sz w:val="21"/>
                      <w:szCs w:val="21"/>
                      <w:highlight w:val="none"/>
                      <w:lang w:val="en-US" w:eastAsia="zh-CN"/>
                    </w:rPr>
                    <w:t>28</w:t>
                  </w:r>
                </w:p>
              </w:tc>
              <w:tc>
                <w:tcPr>
                  <w:tcW w:w="489" w:type="pct"/>
                  <w:tcBorders>
                    <w:tl2br w:val="nil"/>
                    <w:tr2bl w:val="nil"/>
                  </w:tcBorders>
                  <w:noWrap w:val="0"/>
                  <w:vAlign w:val="center"/>
                </w:tcPr>
                <w:p w14:paraId="08D888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投料</w:t>
                  </w:r>
                </w:p>
              </w:tc>
              <w:tc>
                <w:tcPr>
                  <w:tcW w:w="493" w:type="pct"/>
                  <w:tcBorders>
                    <w:tl2br w:val="nil"/>
                    <w:tr2bl w:val="nil"/>
                  </w:tcBorders>
                  <w:noWrap w:val="0"/>
                  <w:vAlign w:val="center"/>
                </w:tcPr>
                <w:p w14:paraId="6BE7145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集气罩</w:t>
                  </w:r>
                  <w:r>
                    <w:rPr>
                      <w:rFonts w:hint="eastAsia" w:cs="Times New Roman"/>
                      <w:color w:val="auto"/>
                      <w:kern w:val="0"/>
                      <w:sz w:val="21"/>
                      <w:szCs w:val="21"/>
                      <w:highlight w:val="none"/>
                      <w:lang w:val="en-US" w:eastAsia="zh-CN"/>
                    </w:rPr>
                    <w:t>+软帘</w:t>
                  </w:r>
                </w:p>
              </w:tc>
              <w:tc>
                <w:tcPr>
                  <w:tcW w:w="872" w:type="pct"/>
                  <w:tcBorders>
                    <w:tl2br w:val="nil"/>
                    <w:tr2bl w:val="nil"/>
                  </w:tcBorders>
                  <w:noWrap w:val="0"/>
                  <w:vAlign w:val="center"/>
                </w:tcPr>
                <w:p w14:paraId="335CE35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0.25</w:t>
                  </w:r>
                  <w:r>
                    <w:rPr>
                      <w:rFonts w:hint="eastAsia" w:ascii="Times New Roman" w:hAnsi="Times New Roman" w:eastAsia="宋体" w:cs="Times New Roman"/>
                      <w:b w:val="0"/>
                      <w:bCs/>
                      <w:color w:val="auto"/>
                      <w:spacing w:val="0"/>
                      <w:sz w:val="21"/>
                      <w:szCs w:val="21"/>
                      <w:highlight w:val="none"/>
                      <w:lang w:val="en-US" w:eastAsia="zh-CN"/>
                    </w:rPr>
                    <w:t>×0.3</w:t>
                  </w:r>
                </w:p>
              </w:tc>
              <w:tc>
                <w:tcPr>
                  <w:tcW w:w="1176" w:type="pct"/>
                  <w:tcBorders>
                    <w:tl2br w:val="nil"/>
                    <w:tr2bl w:val="nil"/>
                  </w:tcBorders>
                  <w:noWrap w:val="0"/>
                  <w:vAlign w:val="center"/>
                </w:tcPr>
                <w:p w14:paraId="710A22A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4</w:t>
                  </w:r>
                </w:p>
              </w:tc>
              <w:tc>
                <w:tcPr>
                  <w:tcW w:w="714" w:type="pct"/>
                  <w:tcBorders>
                    <w:tl2br w:val="nil"/>
                    <w:tr2bl w:val="nil"/>
                  </w:tcBorders>
                  <w:noWrap w:val="0"/>
                  <w:vAlign w:val="center"/>
                </w:tcPr>
                <w:p w14:paraId="11F6815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1080</w:t>
                  </w:r>
                </w:p>
              </w:tc>
              <w:tc>
                <w:tcPr>
                  <w:tcW w:w="727" w:type="pct"/>
                  <w:vMerge w:val="restart"/>
                  <w:tcBorders>
                    <w:tl2br w:val="nil"/>
                    <w:tr2bl w:val="nil"/>
                  </w:tcBorders>
                  <w:noWrap w:val="0"/>
                  <w:vAlign w:val="center"/>
                </w:tcPr>
                <w:p w14:paraId="2E3E9EE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除尘风机2000</w:t>
                  </w:r>
                </w:p>
              </w:tc>
            </w:tr>
            <w:tr w14:paraId="2501C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6" w:type="pct"/>
                  <w:vMerge w:val="continue"/>
                  <w:tcBorders>
                    <w:tl2br w:val="nil"/>
                    <w:tr2bl w:val="nil"/>
                  </w:tcBorders>
                  <w:noWrap w:val="0"/>
                  <w:vAlign w:val="center"/>
                </w:tcPr>
                <w:p w14:paraId="179569D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p>
              </w:tc>
              <w:tc>
                <w:tcPr>
                  <w:tcW w:w="489" w:type="pct"/>
                  <w:tcBorders>
                    <w:tl2br w:val="nil"/>
                    <w:tr2bl w:val="nil"/>
                  </w:tcBorders>
                  <w:noWrap w:val="0"/>
                  <w:vAlign w:val="center"/>
                </w:tcPr>
                <w:p w14:paraId="3B5C83B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粉碎包装</w:t>
                  </w:r>
                </w:p>
              </w:tc>
              <w:tc>
                <w:tcPr>
                  <w:tcW w:w="493" w:type="pct"/>
                  <w:tcBorders>
                    <w:tl2br w:val="nil"/>
                    <w:tr2bl w:val="nil"/>
                  </w:tcBorders>
                  <w:noWrap w:val="0"/>
                  <w:vAlign w:val="center"/>
                </w:tcPr>
                <w:p w14:paraId="29A51F6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集气罩</w:t>
                  </w:r>
                  <w:r>
                    <w:rPr>
                      <w:rFonts w:hint="eastAsia" w:cs="Times New Roman"/>
                      <w:color w:val="auto"/>
                      <w:kern w:val="0"/>
                      <w:sz w:val="21"/>
                      <w:szCs w:val="21"/>
                      <w:highlight w:val="none"/>
                      <w:lang w:val="en-US" w:eastAsia="zh-CN"/>
                    </w:rPr>
                    <w:t>+软帘</w:t>
                  </w:r>
                </w:p>
              </w:tc>
              <w:tc>
                <w:tcPr>
                  <w:tcW w:w="872" w:type="pct"/>
                  <w:tcBorders>
                    <w:tl2br w:val="nil"/>
                    <w:tr2bl w:val="nil"/>
                  </w:tcBorders>
                  <w:noWrap w:val="0"/>
                  <w:vAlign w:val="center"/>
                </w:tcPr>
                <w:p w14:paraId="22285B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0.</w:t>
                  </w:r>
                  <w:r>
                    <w:rPr>
                      <w:rFonts w:hint="eastAsia" w:cs="Times New Roman"/>
                      <w:color w:val="auto"/>
                      <w:sz w:val="21"/>
                      <w:szCs w:val="21"/>
                      <w:highlight w:val="none"/>
                      <w:lang w:val="en-US" w:eastAsia="zh-CN"/>
                    </w:rPr>
                    <w:t>4</w:t>
                  </w:r>
                  <w:r>
                    <w:rPr>
                      <w:rFonts w:hint="eastAsia" w:ascii="Times New Roman" w:hAnsi="Times New Roman" w:eastAsia="宋体" w:cs="Times New Roman"/>
                      <w:b w:val="0"/>
                      <w:bCs/>
                      <w:color w:val="auto"/>
                      <w:spacing w:val="0"/>
                      <w:sz w:val="21"/>
                      <w:szCs w:val="21"/>
                      <w:highlight w:val="none"/>
                      <w:lang w:val="en-US" w:eastAsia="zh-CN"/>
                    </w:rPr>
                    <w:t>×0.</w:t>
                  </w:r>
                  <w:r>
                    <w:rPr>
                      <w:rFonts w:hint="eastAsia" w:cs="Times New Roman"/>
                      <w:b w:val="0"/>
                      <w:bCs/>
                      <w:color w:val="auto"/>
                      <w:spacing w:val="0"/>
                      <w:sz w:val="21"/>
                      <w:szCs w:val="21"/>
                      <w:highlight w:val="none"/>
                      <w:lang w:val="en-US" w:eastAsia="zh-CN"/>
                    </w:rPr>
                    <w:t>4</w:t>
                  </w:r>
                </w:p>
              </w:tc>
              <w:tc>
                <w:tcPr>
                  <w:tcW w:w="1176" w:type="pct"/>
                  <w:tcBorders>
                    <w:tl2br w:val="nil"/>
                    <w:tr2bl w:val="nil"/>
                  </w:tcBorders>
                  <w:noWrap w:val="0"/>
                  <w:vAlign w:val="center"/>
                </w:tcPr>
                <w:p w14:paraId="0475B14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1</w:t>
                  </w:r>
                </w:p>
              </w:tc>
              <w:tc>
                <w:tcPr>
                  <w:tcW w:w="714" w:type="pct"/>
                  <w:tcBorders>
                    <w:tl2br w:val="nil"/>
                    <w:tr2bl w:val="nil"/>
                  </w:tcBorders>
                  <w:noWrap w:val="0"/>
                  <w:vAlign w:val="center"/>
                </w:tcPr>
                <w:p w14:paraId="003C9F2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576</w:t>
                  </w:r>
                </w:p>
              </w:tc>
              <w:tc>
                <w:tcPr>
                  <w:tcW w:w="727" w:type="pct"/>
                  <w:vMerge w:val="continue"/>
                  <w:tcBorders>
                    <w:tl2br w:val="nil"/>
                    <w:tr2bl w:val="nil"/>
                  </w:tcBorders>
                  <w:noWrap w:val="0"/>
                  <w:vAlign w:val="center"/>
                </w:tcPr>
                <w:p w14:paraId="1EC565C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p>
              </w:tc>
            </w:tr>
            <w:tr w14:paraId="524E8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6" w:type="pct"/>
                  <w:vMerge w:val="continue"/>
                  <w:tcBorders>
                    <w:tl2br w:val="nil"/>
                    <w:tr2bl w:val="nil"/>
                  </w:tcBorders>
                  <w:noWrap w:val="0"/>
                  <w:vAlign w:val="center"/>
                </w:tcPr>
                <w:p w14:paraId="054D941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p>
              </w:tc>
              <w:tc>
                <w:tcPr>
                  <w:tcW w:w="3031" w:type="pct"/>
                  <w:gridSpan w:val="4"/>
                  <w:tcBorders>
                    <w:tl2br w:val="nil"/>
                    <w:tr2bl w:val="nil"/>
                  </w:tcBorders>
                  <w:noWrap w:val="0"/>
                  <w:vAlign w:val="center"/>
                </w:tcPr>
                <w:p w14:paraId="3867D32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合计</w:t>
                  </w:r>
                </w:p>
              </w:tc>
              <w:tc>
                <w:tcPr>
                  <w:tcW w:w="714" w:type="pct"/>
                  <w:tcBorders>
                    <w:tl2br w:val="nil"/>
                    <w:tr2bl w:val="nil"/>
                  </w:tcBorders>
                  <w:noWrap w:val="0"/>
                  <w:vAlign w:val="center"/>
                </w:tcPr>
                <w:p w14:paraId="384D214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1656</w:t>
                  </w:r>
                </w:p>
              </w:tc>
              <w:tc>
                <w:tcPr>
                  <w:tcW w:w="727" w:type="pct"/>
                  <w:vMerge w:val="continue"/>
                  <w:tcBorders>
                    <w:tl2br w:val="nil"/>
                    <w:tr2bl w:val="nil"/>
                  </w:tcBorders>
                  <w:noWrap w:val="0"/>
                  <w:vAlign w:val="center"/>
                </w:tcPr>
                <w:p w14:paraId="483F22C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0"/>
                      <w:sz w:val="21"/>
                      <w:szCs w:val="21"/>
                      <w:highlight w:val="none"/>
                      <w:lang w:val="en-US" w:eastAsia="zh-CN"/>
                    </w:rPr>
                  </w:pPr>
                </w:p>
              </w:tc>
            </w:tr>
            <w:tr w14:paraId="2BB39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526" w:type="pct"/>
                  <w:vMerge w:val="continue"/>
                  <w:tcBorders>
                    <w:tl2br w:val="nil"/>
                    <w:tr2bl w:val="nil"/>
                  </w:tcBorders>
                  <w:noWrap w:val="0"/>
                  <w:vAlign w:val="center"/>
                </w:tcPr>
                <w:p w14:paraId="716A050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p>
              </w:tc>
              <w:tc>
                <w:tcPr>
                  <w:tcW w:w="489" w:type="pct"/>
                  <w:tcBorders>
                    <w:tl2br w:val="nil"/>
                    <w:tr2bl w:val="nil"/>
                  </w:tcBorders>
                  <w:noWrap w:val="0"/>
                  <w:vAlign w:val="center"/>
                </w:tcPr>
                <w:p w14:paraId="7F168E8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rPr>
                    <w:t>产污环节</w:t>
                  </w:r>
                </w:p>
              </w:tc>
              <w:tc>
                <w:tcPr>
                  <w:tcW w:w="493" w:type="pct"/>
                  <w:tcBorders>
                    <w:tl2br w:val="nil"/>
                    <w:tr2bl w:val="nil"/>
                  </w:tcBorders>
                  <w:noWrap w:val="0"/>
                  <w:vAlign w:val="center"/>
                </w:tcPr>
                <w:p w14:paraId="5414B21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cs="Times New Roman"/>
                      <w:color w:val="auto"/>
                      <w:kern w:val="0"/>
                      <w:sz w:val="21"/>
                      <w:szCs w:val="21"/>
                      <w:highlight w:val="none"/>
                      <w:lang w:val="en-US" w:eastAsia="zh-CN"/>
                    </w:rPr>
                    <w:t>集气措施</w:t>
                  </w:r>
                </w:p>
              </w:tc>
              <w:tc>
                <w:tcPr>
                  <w:tcW w:w="872" w:type="pct"/>
                  <w:tcBorders>
                    <w:tl2br w:val="nil"/>
                    <w:tr2bl w:val="nil"/>
                  </w:tcBorders>
                  <w:noWrap w:val="0"/>
                  <w:vAlign w:val="center"/>
                </w:tcPr>
                <w:p w14:paraId="1112D27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管道风速（m/s）</w:t>
                  </w:r>
                </w:p>
              </w:tc>
              <w:tc>
                <w:tcPr>
                  <w:tcW w:w="1176" w:type="pct"/>
                  <w:tcBorders>
                    <w:tl2br w:val="nil"/>
                    <w:tr2bl w:val="nil"/>
                  </w:tcBorders>
                  <w:noWrap w:val="0"/>
                  <w:vAlign w:val="center"/>
                </w:tcPr>
                <w:p w14:paraId="7FF049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spacing w:val="0"/>
                      <w:sz w:val="21"/>
                      <w:szCs w:val="21"/>
                      <w:highlight w:val="none"/>
                      <w:lang w:val="en-GB" w:eastAsia="zh-CN"/>
                    </w:rPr>
                    <w:t>（</w:t>
                  </w:r>
                  <w:r>
                    <w:rPr>
                      <w:rFonts w:hint="eastAsia" w:cs="Times New Roman"/>
                      <w:color w:val="auto"/>
                      <w:spacing w:val="0"/>
                      <w:sz w:val="21"/>
                      <w:szCs w:val="21"/>
                      <w:highlight w:val="none"/>
                      <w:lang w:val="en-US" w:eastAsia="zh-CN"/>
                    </w:rPr>
                    <w:t>进入二级旋风分离器前）</w:t>
                  </w:r>
                  <w:r>
                    <w:rPr>
                      <w:rFonts w:hint="eastAsia" w:cs="Times New Roman"/>
                      <w:color w:val="auto"/>
                      <w:spacing w:val="0"/>
                      <w:sz w:val="21"/>
                      <w:szCs w:val="21"/>
                      <w:highlight w:val="none"/>
                      <w:lang w:val="en-GB" w:eastAsia="zh-CN"/>
                    </w:rPr>
                    <w:t>风管截面积（</w:t>
                  </w:r>
                  <w:r>
                    <w:rPr>
                      <w:rFonts w:hint="eastAsia" w:cs="Times New Roman"/>
                      <w:color w:val="auto"/>
                      <w:spacing w:val="0"/>
                      <w:sz w:val="21"/>
                      <w:szCs w:val="21"/>
                      <w:highlight w:val="none"/>
                      <w:lang w:val="en-US" w:eastAsia="zh-CN"/>
                    </w:rPr>
                    <w:t>m</w:t>
                  </w:r>
                  <w:r>
                    <w:rPr>
                      <w:rFonts w:hint="eastAsia" w:cs="Times New Roman"/>
                      <w:color w:val="auto"/>
                      <w:spacing w:val="0"/>
                      <w:sz w:val="21"/>
                      <w:szCs w:val="21"/>
                      <w:highlight w:val="none"/>
                      <w:vertAlign w:val="superscript"/>
                      <w:lang w:val="en-US" w:eastAsia="zh-CN"/>
                    </w:rPr>
                    <w:t>2</w:t>
                  </w:r>
                  <w:r>
                    <w:rPr>
                      <w:rFonts w:hint="eastAsia" w:cs="Times New Roman"/>
                      <w:color w:val="auto"/>
                      <w:spacing w:val="0"/>
                      <w:sz w:val="21"/>
                      <w:szCs w:val="21"/>
                      <w:highlight w:val="none"/>
                      <w:lang w:val="en-GB" w:eastAsia="zh-CN"/>
                    </w:rPr>
                    <w:t>）</w:t>
                  </w:r>
                </w:p>
              </w:tc>
              <w:tc>
                <w:tcPr>
                  <w:tcW w:w="714" w:type="pct"/>
                  <w:tcBorders>
                    <w:tl2br w:val="nil"/>
                    <w:tr2bl w:val="nil"/>
                  </w:tcBorders>
                  <w:noWrap w:val="0"/>
                  <w:vAlign w:val="center"/>
                </w:tcPr>
                <w:p w14:paraId="249D909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风量计算（m</w:t>
                  </w:r>
                  <w:r>
                    <w:rPr>
                      <w:rFonts w:hint="eastAsia" w:ascii="Times New Roman" w:hAnsi="Times New Roman" w:cs="Times New Roman"/>
                      <w:color w:val="auto"/>
                      <w:kern w:val="0"/>
                      <w:sz w:val="21"/>
                      <w:szCs w:val="21"/>
                      <w:highlight w:val="none"/>
                      <w:vertAlign w:val="superscript"/>
                      <w:lang w:val="en-US" w:eastAsia="zh-CN"/>
                    </w:rPr>
                    <w:t>3</w:t>
                  </w:r>
                  <w:r>
                    <w:rPr>
                      <w:rFonts w:hint="eastAsia" w:ascii="Times New Roman" w:hAnsi="Times New Roman" w:cs="Times New Roman"/>
                      <w:color w:val="auto"/>
                      <w:kern w:val="0"/>
                      <w:sz w:val="21"/>
                      <w:szCs w:val="21"/>
                      <w:highlight w:val="none"/>
                      <w:lang w:val="en-US" w:eastAsia="zh-CN"/>
                    </w:rPr>
                    <w:t>/h）</w:t>
                  </w:r>
                </w:p>
              </w:tc>
              <w:tc>
                <w:tcPr>
                  <w:tcW w:w="727" w:type="pct"/>
                  <w:tcBorders>
                    <w:tl2br w:val="nil"/>
                    <w:tr2bl w:val="nil"/>
                  </w:tcBorders>
                  <w:noWrap w:val="0"/>
                  <w:vAlign w:val="center"/>
                </w:tcPr>
                <w:p w14:paraId="5D1EB54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风机选取</w:t>
                  </w:r>
                  <w:r>
                    <w:rPr>
                      <w:rFonts w:hint="eastAsia" w:ascii="Times New Roman" w:hAnsi="Times New Roman" w:cs="Times New Roman"/>
                      <w:color w:val="auto"/>
                      <w:kern w:val="0"/>
                      <w:sz w:val="21"/>
                      <w:szCs w:val="21"/>
                      <w:highlight w:val="none"/>
                      <w:lang w:val="en-US" w:eastAsia="zh-CN"/>
                    </w:rPr>
                    <w:t>（m</w:t>
                  </w:r>
                  <w:r>
                    <w:rPr>
                      <w:rFonts w:hint="eastAsia" w:ascii="Times New Roman" w:hAnsi="Times New Roman" w:cs="Times New Roman"/>
                      <w:color w:val="auto"/>
                      <w:kern w:val="0"/>
                      <w:sz w:val="21"/>
                      <w:szCs w:val="21"/>
                      <w:highlight w:val="none"/>
                      <w:vertAlign w:val="superscript"/>
                      <w:lang w:val="en-US" w:eastAsia="zh-CN"/>
                    </w:rPr>
                    <w:t>3</w:t>
                  </w:r>
                  <w:r>
                    <w:rPr>
                      <w:rFonts w:hint="eastAsia" w:ascii="Times New Roman" w:hAnsi="Times New Roman" w:cs="Times New Roman"/>
                      <w:color w:val="auto"/>
                      <w:kern w:val="0"/>
                      <w:sz w:val="21"/>
                      <w:szCs w:val="21"/>
                      <w:highlight w:val="none"/>
                      <w:lang w:val="en-US" w:eastAsia="zh-CN"/>
                    </w:rPr>
                    <w:t>/h）</w:t>
                  </w:r>
                </w:p>
              </w:tc>
            </w:tr>
            <w:tr w14:paraId="453B46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26" w:type="pct"/>
                  <w:vMerge w:val="continue"/>
                  <w:tcBorders>
                    <w:tl2br w:val="nil"/>
                    <w:tr2bl w:val="nil"/>
                  </w:tcBorders>
                  <w:noWrap w:val="0"/>
                  <w:vAlign w:val="center"/>
                </w:tcPr>
                <w:p w14:paraId="23348C4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p>
              </w:tc>
              <w:tc>
                <w:tcPr>
                  <w:tcW w:w="489" w:type="pct"/>
                  <w:tcBorders>
                    <w:tl2br w:val="nil"/>
                    <w:tr2bl w:val="nil"/>
                  </w:tcBorders>
                  <w:noWrap w:val="0"/>
                  <w:vAlign w:val="center"/>
                </w:tcPr>
                <w:p w14:paraId="3CD991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喷雾干燥</w:t>
                  </w:r>
                </w:p>
              </w:tc>
              <w:tc>
                <w:tcPr>
                  <w:tcW w:w="493" w:type="pct"/>
                  <w:tcBorders>
                    <w:tl2br w:val="nil"/>
                    <w:tr2bl w:val="nil"/>
                  </w:tcBorders>
                  <w:noWrap w:val="0"/>
                  <w:vAlign w:val="center"/>
                </w:tcPr>
                <w:p w14:paraId="71465CD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rPr>
                    <w:t>密闭管道</w:t>
                  </w:r>
                </w:p>
              </w:tc>
              <w:tc>
                <w:tcPr>
                  <w:tcW w:w="872" w:type="pct"/>
                  <w:tcBorders>
                    <w:tl2br w:val="nil"/>
                    <w:tr2bl w:val="nil"/>
                  </w:tcBorders>
                  <w:noWrap w:val="0"/>
                  <w:vAlign w:val="center"/>
                </w:tcPr>
                <w:p w14:paraId="3996992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16.6</w:t>
                  </w:r>
                </w:p>
              </w:tc>
              <w:tc>
                <w:tcPr>
                  <w:tcW w:w="1176" w:type="pct"/>
                  <w:tcBorders>
                    <w:tl2br w:val="nil"/>
                    <w:tr2bl w:val="nil"/>
                  </w:tcBorders>
                  <w:noWrap w:val="0"/>
                  <w:vAlign w:val="center"/>
                </w:tcPr>
                <w:p w14:paraId="6980499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0.1257</w:t>
                  </w:r>
                </w:p>
              </w:tc>
              <w:tc>
                <w:tcPr>
                  <w:tcW w:w="714" w:type="pct"/>
                  <w:tcBorders>
                    <w:tl2br w:val="nil"/>
                    <w:tr2bl w:val="nil"/>
                  </w:tcBorders>
                  <w:noWrap w:val="0"/>
                  <w:vAlign w:val="center"/>
                </w:tcPr>
                <w:p w14:paraId="3FF9FE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7500</w:t>
                  </w:r>
                </w:p>
              </w:tc>
              <w:tc>
                <w:tcPr>
                  <w:tcW w:w="727" w:type="pct"/>
                  <w:tcBorders>
                    <w:tl2br w:val="nil"/>
                    <w:tr2bl w:val="nil"/>
                  </w:tcBorders>
                  <w:noWrap w:val="0"/>
                  <w:vAlign w:val="center"/>
                </w:tcPr>
                <w:p w14:paraId="7C2F7A2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尾气风机</w:t>
                  </w:r>
                  <w:r>
                    <w:rPr>
                      <w:rFonts w:hint="eastAsia" w:cs="Times New Roman"/>
                      <w:color w:val="auto"/>
                      <w:kern w:val="0"/>
                      <w:sz w:val="21"/>
                      <w:szCs w:val="21"/>
                      <w:highlight w:val="none"/>
                      <w:lang w:val="en-US" w:eastAsia="zh-CN"/>
                    </w:rPr>
                    <w:t>9000</w:t>
                  </w:r>
                </w:p>
              </w:tc>
            </w:tr>
            <w:tr w14:paraId="67B2C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57" w:type="pct"/>
                  <w:gridSpan w:val="5"/>
                  <w:tcBorders>
                    <w:tl2br w:val="nil"/>
                    <w:tr2bl w:val="nil"/>
                  </w:tcBorders>
                  <w:noWrap w:val="0"/>
                  <w:vAlign w:val="center"/>
                </w:tcPr>
                <w:p w14:paraId="4486C9C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DA0</w:t>
                  </w:r>
                  <w:r>
                    <w:rPr>
                      <w:rFonts w:hint="eastAsia" w:cs="Times New Roman"/>
                      <w:color w:val="auto"/>
                      <w:kern w:val="0"/>
                      <w:sz w:val="21"/>
                      <w:szCs w:val="21"/>
                      <w:highlight w:val="none"/>
                      <w:lang w:val="en-US" w:eastAsia="zh-CN"/>
                    </w:rPr>
                    <w:t>28排放口风量</w:t>
                  </w:r>
                  <w:r>
                    <w:rPr>
                      <w:rFonts w:hint="eastAsia" w:ascii="Times New Roman" w:hAnsi="Times New Roman" w:cs="Times New Roman"/>
                      <w:color w:val="auto"/>
                      <w:kern w:val="0"/>
                      <w:sz w:val="21"/>
                      <w:szCs w:val="21"/>
                      <w:highlight w:val="none"/>
                      <w:lang w:val="en-US" w:eastAsia="zh-CN"/>
                    </w:rPr>
                    <w:t>合计</w:t>
                  </w:r>
                </w:p>
              </w:tc>
              <w:tc>
                <w:tcPr>
                  <w:tcW w:w="714" w:type="pct"/>
                  <w:tcBorders>
                    <w:tl2br w:val="nil"/>
                    <w:tr2bl w:val="nil"/>
                  </w:tcBorders>
                  <w:noWrap w:val="0"/>
                  <w:vAlign w:val="center"/>
                </w:tcPr>
                <w:p w14:paraId="50DE3D8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9156</w:t>
                  </w:r>
                </w:p>
              </w:tc>
              <w:tc>
                <w:tcPr>
                  <w:tcW w:w="727" w:type="pct"/>
                  <w:tcBorders>
                    <w:tl2br w:val="nil"/>
                    <w:tr2bl w:val="nil"/>
                  </w:tcBorders>
                  <w:noWrap w:val="0"/>
                  <w:vAlign w:val="center"/>
                </w:tcPr>
                <w:p w14:paraId="166950B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0"/>
                      <w:sz w:val="21"/>
                      <w:szCs w:val="21"/>
                      <w:highlight w:val="none"/>
                      <w:lang w:val="en-US" w:eastAsia="zh-CN"/>
                    </w:rPr>
                  </w:pPr>
                  <w:r>
                    <w:rPr>
                      <w:rFonts w:hint="eastAsia" w:cs="Times New Roman"/>
                      <w:color w:val="auto"/>
                      <w:kern w:val="0"/>
                      <w:sz w:val="21"/>
                      <w:szCs w:val="21"/>
                      <w:highlight w:val="none"/>
                      <w:lang w:val="en-US" w:eastAsia="zh-CN"/>
                    </w:rPr>
                    <w:t>11000</w:t>
                  </w:r>
                </w:p>
              </w:tc>
            </w:tr>
          </w:tbl>
          <w:p w14:paraId="1E115A5B">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color w:val="auto"/>
                <w:spacing w:val="0"/>
                <w:sz w:val="21"/>
                <w:szCs w:val="21"/>
                <w:highlight w:val="none"/>
                <w:lang w:val="en-US" w:eastAsia="zh-CN"/>
              </w:rPr>
            </w:pPr>
            <w:r>
              <w:rPr>
                <w:rFonts w:hint="eastAsia" w:ascii="Times New Roman" w:hAnsi="Times New Roman" w:cs="Times New Roman"/>
                <w:color w:val="auto"/>
                <w:spacing w:val="0"/>
                <w:sz w:val="21"/>
                <w:szCs w:val="21"/>
                <w:highlight w:val="none"/>
                <w:lang w:val="en-GB" w:eastAsia="zh-CN"/>
              </w:rPr>
              <w:t>根据</w:t>
            </w:r>
            <w:r>
              <w:rPr>
                <w:rFonts w:hint="eastAsia" w:cs="Times New Roman"/>
                <w:color w:val="auto"/>
                <w:spacing w:val="0"/>
                <w:sz w:val="21"/>
                <w:szCs w:val="21"/>
                <w:highlight w:val="none"/>
                <w:lang w:val="en-GB" w:eastAsia="zh-CN"/>
              </w:rPr>
              <w:t>以上</w:t>
            </w:r>
            <w:r>
              <w:rPr>
                <w:rFonts w:hint="eastAsia" w:ascii="Times New Roman" w:hAnsi="Times New Roman" w:cs="Times New Roman"/>
                <w:color w:val="auto"/>
                <w:spacing w:val="0"/>
                <w:sz w:val="21"/>
                <w:szCs w:val="21"/>
                <w:highlight w:val="none"/>
                <w:lang w:val="en-GB" w:eastAsia="zh-CN"/>
              </w:rPr>
              <w:t>风量计算结果，</w:t>
            </w:r>
            <w:r>
              <w:rPr>
                <w:rFonts w:hint="eastAsia" w:ascii="Times New Roman" w:hAnsi="Times New Roman" w:cs="Times New Roman"/>
                <w:color w:val="auto"/>
                <w:spacing w:val="0"/>
                <w:sz w:val="21"/>
                <w:szCs w:val="21"/>
                <w:highlight w:val="none"/>
                <w:lang w:val="en-US" w:eastAsia="zh-CN"/>
              </w:rPr>
              <w:t>DA0</w:t>
            </w:r>
            <w:r>
              <w:rPr>
                <w:rFonts w:hint="eastAsia" w:cs="Times New Roman"/>
                <w:color w:val="auto"/>
                <w:spacing w:val="0"/>
                <w:sz w:val="21"/>
                <w:szCs w:val="21"/>
                <w:highlight w:val="none"/>
                <w:lang w:val="en-US" w:eastAsia="zh-CN"/>
              </w:rPr>
              <w:t>28</w:t>
            </w:r>
            <w:r>
              <w:rPr>
                <w:rFonts w:hint="eastAsia" w:cs="Times New Roman"/>
                <w:color w:val="auto"/>
                <w:kern w:val="0"/>
                <w:sz w:val="21"/>
                <w:szCs w:val="21"/>
                <w:highlight w:val="none"/>
                <w:lang w:val="en-US" w:eastAsia="zh-CN"/>
              </w:rPr>
              <w:t>排放口</w:t>
            </w:r>
            <w:r>
              <w:rPr>
                <w:rFonts w:hint="eastAsia" w:ascii="Times New Roman" w:hAnsi="Times New Roman" w:cs="Times New Roman"/>
                <w:color w:val="auto"/>
                <w:spacing w:val="0"/>
                <w:sz w:val="21"/>
                <w:szCs w:val="21"/>
                <w:highlight w:val="none"/>
                <w:lang w:val="en-US" w:eastAsia="zh-CN"/>
              </w:rPr>
              <w:t>风量</w:t>
            </w:r>
            <w:r>
              <w:rPr>
                <w:rFonts w:hint="eastAsia" w:cs="Times New Roman"/>
                <w:color w:val="auto"/>
                <w:spacing w:val="0"/>
                <w:sz w:val="21"/>
                <w:szCs w:val="21"/>
                <w:highlight w:val="none"/>
                <w:lang w:val="en-US" w:eastAsia="zh-CN"/>
              </w:rPr>
              <w:t>合计约</w:t>
            </w:r>
            <w:r>
              <w:rPr>
                <w:rFonts w:hint="eastAsia" w:ascii="Times New Roman" w:hAnsi="Times New Roman" w:cs="Times New Roman"/>
                <w:color w:val="auto"/>
                <w:spacing w:val="0"/>
                <w:sz w:val="21"/>
                <w:szCs w:val="21"/>
                <w:highlight w:val="none"/>
                <w:lang w:val="en-US" w:eastAsia="zh-CN"/>
              </w:rPr>
              <w:t>为</w:t>
            </w:r>
            <w:r>
              <w:rPr>
                <w:rFonts w:hint="eastAsia" w:cs="Times New Roman"/>
                <w:color w:val="auto"/>
                <w:spacing w:val="0"/>
                <w:sz w:val="21"/>
                <w:szCs w:val="21"/>
                <w:highlight w:val="none"/>
                <w:lang w:val="en-US" w:eastAsia="zh-CN"/>
              </w:rPr>
              <w:t>9156</w:t>
            </w:r>
            <w:r>
              <w:rPr>
                <w:rFonts w:hint="eastAsia" w:ascii="Times New Roman" w:hAnsi="Times New Roman" w:eastAsia="宋体" w:cs="Times New Roman"/>
                <w:color w:val="auto"/>
                <w:spacing w:val="0"/>
                <w:sz w:val="21"/>
                <w:szCs w:val="21"/>
                <w:highlight w:val="none"/>
                <w:lang w:val="en-US" w:eastAsia="zh-CN"/>
              </w:rPr>
              <w:t>m</w:t>
            </w:r>
            <w:r>
              <w:rPr>
                <w:rFonts w:hint="eastAsia" w:ascii="Times New Roman" w:hAnsi="Times New Roman" w:eastAsia="宋体" w:cs="Times New Roman"/>
                <w:color w:val="auto"/>
                <w:spacing w:val="0"/>
                <w:sz w:val="21"/>
                <w:szCs w:val="21"/>
                <w:highlight w:val="none"/>
                <w:vertAlign w:val="superscript"/>
                <w:lang w:val="en-US" w:eastAsia="zh-CN"/>
              </w:rPr>
              <w:t>3</w:t>
            </w:r>
            <w:r>
              <w:rPr>
                <w:rFonts w:hint="eastAsia" w:ascii="Times New Roman" w:hAnsi="Times New Roman" w:eastAsia="宋体" w:cs="Times New Roman"/>
                <w:color w:val="auto"/>
                <w:spacing w:val="0"/>
                <w:sz w:val="21"/>
                <w:szCs w:val="21"/>
                <w:highlight w:val="none"/>
                <w:lang w:val="en-US" w:eastAsia="zh-CN"/>
              </w:rPr>
              <w:t>/h</w:t>
            </w:r>
            <w:r>
              <w:rPr>
                <w:rFonts w:hint="eastAsia" w:cs="Times New Roman"/>
                <w:color w:val="auto"/>
                <w:spacing w:val="0"/>
                <w:sz w:val="21"/>
                <w:szCs w:val="21"/>
                <w:highlight w:val="none"/>
                <w:lang w:val="en-US" w:eastAsia="zh-CN"/>
              </w:rPr>
              <w:t>，选取2000</w:t>
            </w:r>
            <w:r>
              <w:rPr>
                <w:rFonts w:hint="eastAsia" w:ascii="Times New Roman" w:hAnsi="Times New Roman" w:eastAsia="宋体" w:cs="Times New Roman"/>
                <w:color w:val="auto"/>
                <w:spacing w:val="0"/>
                <w:sz w:val="21"/>
                <w:szCs w:val="21"/>
                <w:highlight w:val="none"/>
                <w:lang w:val="en-US" w:eastAsia="zh-CN"/>
              </w:rPr>
              <w:t>m</w:t>
            </w:r>
            <w:r>
              <w:rPr>
                <w:rFonts w:hint="eastAsia" w:ascii="Times New Roman" w:hAnsi="Times New Roman" w:eastAsia="宋体" w:cs="Times New Roman"/>
                <w:color w:val="auto"/>
                <w:spacing w:val="0"/>
                <w:sz w:val="21"/>
                <w:szCs w:val="21"/>
                <w:highlight w:val="none"/>
                <w:vertAlign w:val="superscript"/>
                <w:lang w:val="en-US" w:eastAsia="zh-CN"/>
              </w:rPr>
              <w:t>3</w:t>
            </w:r>
            <w:r>
              <w:rPr>
                <w:rFonts w:hint="eastAsia" w:ascii="Times New Roman" w:hAnsi="Times New Roman" w:eastAsia="宋体" w:cs="Times New Roman"/>
                <w:color w:val="auto"/>
                <w:spacing w:val="0"/>
                <w:sz w:val="21"/>
                <w:szCs w:val="21"/>
                <w:highlight w:val="none"/>
                <w:lang w:val="en-US" w:eastAsia="zh-CN"/>
              </w:rPr>
              <w:t>/h</w:t>
            </w:r>
            <w:r>
              <w:rPr>
                <w:rFonts w:hint="eastAsia" w:cs="Times New Roman"/>
                <w:color w:val="auto"/>
                <w:spacing w:val="0"/>
                <w:sz w:val="21"/>
                <w:szCs w:val="21"/>
                <w:highlight w:val="none"/>
                <w:lang w:val="en-US" w:eastAsia="zh-CN"/>
              </w:rPr>
              <w:t>除尘风机和9000</w:t>
            </w:r>
            <w:r>
              <w:rPr>
                <w:rFonts w:hint="eastAsia" w:ascii="Times New Roman" w:hAnsi="Times New Roman" w:eastAsia="宋体" w:cs="Times New Roman"/>
                <w:color w:val="auto"/>
                <w:spacing w:val="0"/>
                <w:sz w:val="21"/>
                <w:szCs w:val="21"/>
                <w:highlight w:val="none"/>
                <w:lang w:val="en-US" w:eastAsia="zh-CN"/>
              </w:rPr>
              <w:t>m</w:t>
            </w:r>
            <w:r>
              <w:rPr>
                <w:rFonts w:hint="eastAsia" w:ascii="Times New Roman" w:hAnsi="Times New Roman" w:eastAsia="宋体" w:cs="Times New Roman"/>
                <w:color w:val="auto"/>
                <w:spacing w:val="0"/>
                <w:sz w:val="21"/>
                <w:szCs w:val="21"/>
                <w:highlight w:val="none"/>
                <w:vertAlign w:val="superscript"/>
                <w:lang w:val="en-US" w:eastAsia="zh-CN"/>
              </w:rPr>
              <w:t>3</w:t>
            </w:r>
            <w:r>
              <w:rPr>
                <w:rFonts w:hint="eastAsia" w:ascii="Times New Roman" w:hAnsi="Times New Roman" w:eastAsia="宋体" w:cs="Times New Roman"/>
                <w:color w:val="auto"/>
                <w:spacing w:val="0"/>
                <w:sz w:val="21"/>
                <w:szCs w:val="21"/>
                <w:highlight w:val="none"/>
                <w:lang w:val="en-US" w:eastAsia="zh-CN"/>
              </w:rPr>
              <w:t>/h尾气风机</w:t>
            </w:r>
            <w:r>
              <w:rPr>
                <w:rFonts w:hint="eastAsia" w:cs="Times New Roman"/>
                <w:color w:val="auto"/>
                <w:spacing w:val="0"/>
                <w:sz w:val="21"/>
                <w:szCs w:val="21"/>
                <w:highlight w:val="none"/>
                <w:lang w:val="en-US" w:eastAsia="zh-CN"/>
              </w:rPr>
              <w:t>，可以满足要求</w:t>
            </w:r>
            <w:r>
              <w:rPr>
                <w:rFonts w:hint="eastAsia" w:ascii="Times New Roman" w:hAnsi="Times New Roman" w:eastAsia="宋体" w:cs="Times New Roman"/>
                <w:color w:val="auto"/>
                <w:spacing w:val="0"/>
                <w:sz w:val="21"/>
                <w:szCs w:val="21"/>
                <w:highlight w:val="none"/>
                <w:lang w:val="en-US" w:eastAsia="zh-CN"/>
              </w:rPr>
              <w:t>。</w:t>
            </w:r>
          </w:p>
          <w:p w14:paraId="3627503D">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3</w:t>
            </w:r>
            <w:r>
              <w:rPr>
                <w:rFonts w:hint="eastAsia" w:ascii="Times New Roman" w:hAnsi="Times New Roman" w:eastAsia="宋体"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废气污染物源强核算</w:t>
            </w:r>
          </w:p>
          <w:p w14:paraId="77DECC4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本项目运营期</w:t>
            </w:r>
            <w:r>
              <w:rPr>
                <w:rFonts w:hint="eastAsia" w:cs="Times New Roman"/>
                <w:b w:val="0"/>
                <w:bCs/>
                <w:color w:val="auto"/>
                <w:kern w:val="2"/>
                <w:sz w:val="21"/>
                <w:szCs w:val="21"/>
                <w:highlight w:val="none"/>
                <w:lang w:val="en-US" w:eastAsia="zh-CN" w:bidi="ar-SA"/>
              </w:rPr>
              <w:t>有组织</w:t>
            </w:r>
            <w:r>
              <w:rPr>
                <w:rFonts w:hint="eastAsia" w:ascii="Times New Roman" w:hAnsi="Times New Roman" w:eastAsia="宋体" w:cs="Times New Roman"/>
                <w:b w:val="0"/>
                <w:bCs/>
                <w:color w:val="auto"/>
                <w:kern w:val="2"/>
                <w:sz w:val="21"/>
                <w:szCs w:val="21"/>
                <w:highlight w:val="none"/>
                <w:lang w:val="en-US" w:eastAsia="zh-CN" w:bidi="ar-SA"/>
              </w:rPr>
              <w:t>废气主要为</w:t>
            </w:r>
            <w:r>
              <w:rPr>
                <w:rFonts w:hint="eastAsia" w:cs="Times New Roman"/>
                <w:b w:val="0"/>
                <w:bCs/>
                <w:color w:val="auto"/>
                <w:kern w:val="2"/>
                <w:sz w:val="21"/>
                <w:szCs w:val="21"/>
                <w:highlight w:val="none"/>
                <w:lang w:val="en-US" w:eastAsia="zh-CN" w:bidi="ar-SA"/>
              </w:rPr>
              <w:t>甘氨酸螯合物一车间</w:t>
            </w:r>
            <w:r>
              <w:rPr>
                <w:rFonts w:hint="default" w:ascii="Times New Roman" w:hAnsi="Times New Roman" w:eastAsia="宋体" w:cs="Times New Roman"/>
                <w:b w:val="0"/>
                <w:bCs/>
                <w:color w:val="auto"/>
                <w:kern w:val="2"/>
                <w:sz w:val="21"/>
                <w:szCs w:val="21"/>
                <w:highlight w:val="none"/>
                <w:lang w:val="en-US" w:eastAsia="zh-CN" w:bidi="ar-SA"/>
              </w:rPr>
              <w:t>废气</w:t>
            </w:r>
            <w:r>
              <w:rPr>
                <w:rFonts w:hint="eastAsia" w:ascii="Times New Roman" w:hAnsi="Times New Roman" w:eastAsia="宋体" w:cs="Times New Roman"/>
                <w:b w:val="0"/>
                <w:bCs/>
                <w:color w:val="auto"/>
                <w:kern w:val="2"/>
                <w:sz w:val="21"/>
                <w:szCs w:val="21"/>
                <w:highlight w:val="none"/>
                <w:lang w:val="en-US" w:eastAsia="zh-CN" w:bidi="ar-SA"/>
              </w:rPr>
              <w:t>（颗粒物）</w:t>
            </w:r>
            <w:r>
              <w:rPr>
                <w:rFonts w:hint="eastAsia" w:cs="Times New Roman"/>
                <w:b w:val="0"/>
                <w:bCs/>
                <w:color w:val="auto"/>
                <w:kern w:val="2"/>
                <w:sz w:val="21"/>
                <w:szCs w:val="21"/>
                <w:highlight w:val="none"/>
                <w:lang w:val="en-US" w:eastAsia="zh-CN" w:bidi="ar-SA"/>
              </w:rPr>
              <w:t>以及污水处理站产生的恶臭气体（氨、硫化氢、臭气浓度）</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无组织废气为</w:t>
            </w:r>
            <w:r>
              <w:rPr>
                <w:rFonts w:hint="eastAsia" w:ascii="Times New Roman" w:hAnsi="Times New Roman" w:eastAsia="宋体" w:cs="Times New Roman"/>
                <w:b w:val="0"/>
                <w:bCs/>
                <w:color w:val="auto"/>
                <w:kern w:val="2"/>
                <w:sz w:val="21"/>
                <w:szCs w:val="21"/>
                <w:highlight w:val="none"/>
                <w:lang w:val="en-US" w:eastAsia="zh-CN" w:bidi="ar-SA"/>
              </w:rPr>
              <w:t>厂区内逸散的无组织废气</w:t>
            </w:r>
            <w:r>
              <w:rPr>
                <w:rFonts w:hint="eastAsia" w:cs="Times New Roman"/>
                <w:b w:val="0"/>
                <w:bCs/>
                <w:color w:val="auto"/>
                <w:kern w:val="2"/>
                <w:sz w:val="21"/>
                <w:szCs w:val="21"/>
                <w:highlight w:val="none"/>
                <w:lang w:val="en-US" w:eastAsia="zh-CN" w:bidi="ar-SA"/>
              </w:rPr>
              <w:t>（颗粒物、氨、硫化氢、臭气浓度）</w:t>
            </w:r>
            <w:r>
              <w:rPr>
                <w:rFonts w:hint="eastAsia" w:ascii="Times New Roman" w:hAnsi="Times New Roman" w:eastAsia="宋体" w:cs="Times New Roman"/>
                <w:b w:val="0"/>
                <w:bCs/>
                <w:color w:val="auto"/>
                <w:kern w:val="2"/>
                <w:sz w:val="21"/>
                <w:szCs w:val="21"/>
                <w:highlight w:val="none"/>
                <w:lang w:val="en-US" w:eastAsia="zh-CN" w:bidi="ar-SA"/>
              </w:rPr>
              <w:t>。</w:t>
            </w:r>
          </w:p>
          <w:p w14:paraId="4C8072E9">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（1）</w:t>
            </w:r>
            <w:r>
              <w:rPr>
                <w:rFonts w:hint="eastAsia" w:cs="Times New Roman"/>
                <w:b w:val="0"/>
                <w:bCs/>
                <w:color w:val="auto"/>
                <w:kern w:val="2"/>
                <w:sz w:val="21"/>
                <w:szCs w:val="21"/>
                <w:highlight w:val="none"/>
                <w:lang w:val="en-US" w:eastAsia="zh-CN" w:bidi="ar-SA"/>
              </w:rPr>
              <w:t>甘氨酸螯合物一车间</w:t>
            </w:r>
            <w:r>
              <w:rPr>
                <w:rFonts w:hint="default" w:ascii="Times New Roman" w:hAnsi="Times New Roman" w:eastAsia="宋体" w:cs="Times New Roman"/>
                <w:b w:val="0"/>
                <w:bCs/>
                <w:color w:val="auto"/>
                <w:kern w:val="2"/>
                <w:sz w:val="21"/>
                <w:szCs w:val="21"/>
                <w:highlight w:val="none"/>
                <w:lang w:val="en-US" w:eastAsia="zh-CN" w:bidi="ar-SA"/>
              </w:rPr>
              <w:t>废气</w:t>
            </w:r>
          </w:p>
          <w:p w14:paraId="2CE7B560">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①</w:t>
            </w:r>
            <w:r>
              <w:rPr>
                <w:rFonts w:hint="eastAsia" w:ascii="Times New Roman" w:hAnsi="Times New Roman" w:eastAsia="宋体" w:cs="Times New Roman"/>
                <w:b w:val="0"/>
                <w:bCs/>
                <w:color w:val="auto"/>
                <w:kern w:val="2"/>
                <w:sz w:val="21"/>
                <w:szCs w:val="21"/>
                <w:highlight w:val="none"/>
                <w:lang w:val="en-US" w:eastAsia="zh-CN" w:bidi="ar-SA"/>
              </w:rPr>
              <w:t>颗粒物</w:t>
            </w:r>
          </w:p>
          <w:p w14:paraId="5381166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w:t>
            </w:r>
            <w:r>
              <w:rPr>
                <w:rFonts w:hint="eastAsia"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投料、喷雾干燥、粉碎及灌装工序有粉尘产生，除喷雾工序和粉碎工序全密闭外，其余环节均设置集气罩+软帘。投料、粉碎及包装工序废气经集气罩+软帘收集+布袋除尘器处理，喷雾干燥工序废气经密闭管道收集后+水洗塔+酸洗塔处理，两路废气分别处理达标后一并经通过一根25m高排气筒（DA028）排放；集气罩+软帘收集效率为90%，水洗塔+酸洗塔处理效率为95%，布袋除尘器处理效率99%。</w:t>
            </w:r>
          </w:p>
          <w:p w14:paraId="1CDA1FB3">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因现有工程甘氨酸亚铁生产过程未考虑投料和粉碎包装工序颗粒物，所以本</w:t>
            </w:r>
            <w:r>
              <w:rPr>
                <w:rFonts w:hint="eastAsia"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投料工序废气源强</w:t>
            </w:r>
            <w:r>
              <w:rPr>
                <w:rFonts w:hint="default" w:ascii="Times New Roman" w:hAnsi="Times New Roman" w:eastAsia="宋体" w:cs="Times New Roman"/>
                <w:b w:val="0"/>
                <w:bCs/>
                <w:color w:val="auto"/>
                <w:kern w:val="2"/>
                <w:sz w:val="21"/>
                <w:szCs w:val="21"/>
                <w:highlight w:val="none"/>
                <w:lang w:val="en-US" w:eastAsia="zh-CN" w:bidi="ar-SA"/>
              </w:rPr>
              <w:t>根据《环境影响评价使用技术指南》（李爱贞等编著）：“四、无组织排放源强的确定（一）估算法：配料、投料、混料粉尘产生量按粉末状原料用量0.1%~0.4%计算</w:t>
            </w:r>
            <w:r>
              <w:rPr>
                <w:rFonts w:hint="eastAsia" w:ascii="Times New Roman" w:hAnsi="Times New Roman" w:eastAsia="宋体" w:cs="Times New Roman"/>
                <w:b w:val="0"/>
                <w:bCs/>
                <w:color w:val="auto"/>
                <w:kern w:val="2"/>
                <w:sz w:val="21"/>
                <w:szCs w:val="21"/>
                <w:highlight w:val="none"/>
                <w:lang w:val="en-US" w:eastAsia="zh-CN" w:bidi="ar-SA"/>
              </w:rPr>
              <w:t>”，本项目逸散的粉尘以0.4%计算</w:t>
            </w:r>
            <w:r>
              <w:rPr>
                <w:rFonts w:hint="default" w:ascii="Times New Roman" w:hAnsi="Times New Roman" w:eastAsia="宋体" w:cs="Times New Roman"/>
                <w:b w:val="0"/>
                <w:bCs/>
                <w:color w:val="auto"/>
                <w:kern w:val="2"/>
                <w:sz w:val="21"/>
                <w:szCs w:val="21"/>
                <w:highlight w:val="none"/>
                <w:lang w:val="en-US" w:eastAsia="zh-CN" w:bidi="ar-SA"/>
              </w:rPr>
              <w:t>。本</w:t>
            </w:r>
            <w:r>
              <w:rPr>
                <w:rFonts w:hint="eastAsia" w:ascii="Times New Roman" w:hAnsi="Times New Roman" w:eastAsia="宋体" w:cs="Times New Roman"/>
                <w:b w:val="0"/>
                <w:bCs/>
                <w:color w:val="auto"/>
                <w:kern w:val="2"/>
                <w:sz w:val="21"/>
                <w:szCs w:val="21"/>
                <w:highlight w:val="none"/>
                <w:lang w:val="en-US" w:eastAsia="zh-CN" w:bidi="ar-SA"/>
              </w:rPr>
              <w:t>项目粉末状原料用量约为284.5t/a，则投料颗粒物产生量为1.138t/a，</w:t>
            </w:r>
            <w:r>
              <w:rPr>
                <w:rFonts w:hint="eastAsia" w:cs="Times New Roman"/>
                <w:b w:val="0"/>
                <w:bCs/>
                <w:color w:val="auto"/>
                <w:kern w:val="2"/>
                <w:sz w:val="21"/>
                <w:szCs w:val="21"/>
                <w:highlight w:val="none"/>
                <w:lang w:val="en-US" w:eastAsia="zh-CN" w:bidi="ar-SA"/>
              </w:rPr>
              <w:t>颗粒物最大产生浓度为79.0mg/m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，颗粒物产生速率为0.158kg/h</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snapToGrid w:val="0"/>
                <w:color w:val="auto"/>
                <w:kern w:val="2"/>
                <w:sz w:val="21"/>
                <w:szCs w:val="21"/>
                <w:highlight w:val="none"/>
                <w:lang w:val="en-US" w:eastAsia="zh-CN" w:bidi="ar-SA"/>
              </w:rPr>
              <w:t>粉碎</w:t>
            </w:r>
            <w:r>
              <w:rPr>
                <w:rFonts w:hint="default" w:ascii="Times New Roman" w:hAnsi="Times New Roman" w:eastAsia="宋体" w:cs="Times New Roman"/>
                <w:b w:val="0"/>
                <w:bCs/>
                <w:snapToGrid w:val="0"/>
                <w:color w:val="auto"/>
                <w:kern w:val="2"/>
                <w:sz w:val="21"/>
                <w:szCs w:val="21"/>
                <w:highlight w:val="none"/>
                <w:lang w:val="en-US" w:eastAsia="zh-CN" w:bidi="ar-SA"/>
              </w:rPr>
              <w:t>包装</w:t>
            </w:r>
            <w:r>
              <w:rPr>
                <w:rFonts w:hint="eastAsia" w:ascii="Times New Roman" w:hAnsi="Times New Roman" w:eastAsia="宋体" w:cs="Times New Roman"/>
                <w:b w:val="0"/>
                <w:bCs/>
                <w:snapToGrid w:val="0"/>
                <w:color w:val="auto"/>
                <w:kern w:val="2"/>
                <w:sz w:val="21"/>
                <w:szCs w:val="21"/>
                <w:highlight w:val="none"/>
                <w:lang w:val="en-US" w:eastAsia="zh-CN" w:bidi="ar-SA"/>
              </w:rPr>
              <w:t>工序</w:t>
            </w:r>
            <w:r>
              <w:rPr>
                <w:rFonts w:hint="default" w:ascii="Times New Roman" w:hAnsi="Times New Roman" w:eastAsia="宋体" w:cs="Times New Roman"/>
                <w:b w:val="0"/>
                <w:bCs/>
                <w:snapToGrid w:val="0"/>
                <w:color w:val="auto"/>
                <w:kern w:val="2"/>
                <w:sz w:val="21"/>
                <w:szCs w:val="21"/>
                <w:highlight w:val="none"/>
                <w:lang w:val="en-US" w:eastAsia="zh-CN" w:bidi="ar-SA"/>
              </w:rPr>
              <w:t>参照《逸散性工业粉尘控制技术》精细粉料密闭包装产尘系数 1.0～1.8kg/t 产品，项目粉碎与包装密闭管路直连、无中间敞口转运，包装工位</w:t>
            </w:r>
            <w:r>
              <w:rPr>
                <w:rFonts w:hint="eastAsia" w:ascii="Times New Roman" w:hAnsi="Times New Roman" w:eastAsia="宋体" w:cs="Times New Roman"/>
                <w:b w:val="0"/>
                <w:bCs/>
                <w:snapToGrid w:val="0"/>
                <w:color w:val="auto"/>
                <w:kern w:val="2"/>
                <w:sz w:val="21"/>
                <w:szCs w:val="21"/>
                <w:highlight w:val="none"/>
                <w:lang w:val="en-US" w:eastAsia="zh-CN" w:bidi="ar-SA"/>
              </w:rPr>
              <w:t>设置</w:t>
            </w:r>
            <w:r>
              <w:rPr>
                <w:rFonts w:hint="default" w:ascii="Times New Roman" w:hAnsi="Times New Roman" w:eastAsia="宋体" w:cs="Times New Roman"/>
                <w:b w:val="0"/>
                <w:bCs/>
                <w:snapToGrid w:val="0"/>
                <w:color w:val="auto"/>
                <w:kern w:val="2"/>
                <w:sz w:val="21"/>
                <w:szCs w:val="21"/>
                <w:highlight w:val="none"/>
                <w:lang w:val="en-US" w:eastAsia="zh-CN" w:bidi="ar-SA"/>
              </w:rPr>
              <w:t>局部负压集气、布置于</w:t>
            </w:r>
            <w:r>
              <w:rPr>
                <w:rFonts w:hint="eastAsia" w:ascii="Times New Roman" w:hAnsi="Times New Roman" w:eastAsia="宋体" w:cs="Times New Roman"/>
                <w:b w:val="0"/>
                <w:bCs/>
                <w:snapToGrid w:val="0"/>
                <w:color w:val="auto"/>
                <w:kern w:val="2"/>
                <w:sz w:val="21"/>
                <w:szCs w:val="21"/>
                <w:highlight w:val="none"/>
                <w:lang w:val="en-US" w:eastAsia="zh-CN" w:bidi="ar-SA"/>
              </w:rPr>
              <w:t>D</w:t>
            </w:r>
            <w:r>
              <w:rPr>
                <w:rFonts w:hint="default" w:ascii="Times New Roman" w:hAnsi="Times New Roman" w:eastAsia="宋体" w:cs="Times New Roman"/>
                <w:b w:val="0"/>
                <w:bCs/>
                <w:snapToGrid w:val="0"/>
                <w:color w:val="auto"/>
                <w:kern w:val="2"/>
                <w:sz w:val="21"/>
                <w:szCs w:val="21"/>
                <w:highlight w:val="none"/>
                <w:lang w:val="en-US" w:eastAsia="zh-CN" w:bidi="ar-SA"/>
              </w:rPr>
              <w:t>级洁净区，包装产尘系数取1.</w:t>
            </w:r>
            <w:r>
              <w:rPr>
                <w:rFonts w:hint="eastAsia" w:ascii="Times New Roman" w:hAnsi="Times New Roman" w:eastAsia="宋体" w:cs="Times New Roman"/>
                <w:b w:val="0"/>
                <w:bCs/>
                <w:snapToGrid w:val="0"/>
                <w:color w:val="auto"/>
                <w:kern w:val="2"/>
                <w:sz w:val="21"/>
                <w:szCs w:val="21"/>
                <w:highlight w:val="none"/>
                <w:lang w:val="en-US" w:eastAsia="zh-CN" w:bidi="ar-SA"/>
              </w:rPr>
              <w:t>8</w:t>
            </w:r>
            <w:r>
              <w:rPr>
                <w:rFonts w:hint="default" w:ascii="Times New Roman" w:hAnsi="Times New Roman" w:eastAsia="宋体" w:cs="Times New Roman"/>
                <w:b w:val="0"/>
                <w:bCs/>
                <w:snapToGrid w:val="0"/>
                <w:color w:val="auto"/>
                <w:kern w:val="2"/>
                <w:sz w:val="21"/>
                <w:szCs w:val="21"/>
                <w:highlight w:val="none"/>
                <w:lang w:val="en-US" w:eastAsia="zh-CN" w:bidi="ar-SA"/>
              </w:rPr>
              <w:t>kg/t 产品（0.1</w:t>
            </w:r>
            <w:r>
              <w:rPr>
                <w:rFonts w:hint="eastAsia" w:ascii="Times New Roman" w:hAnsi="Times New Roman" w:eastAsia="宋体" w:cs="Times New Roman"/>
                <w:b w:val="0"/>
                <w:bCs/>
                <w:snapToGrid w:val="0"/>
                <w:color w:val="auto"/>
                <w:kern w:val="2"/>
                <w:sz w:val="21"/>
                <w:szCs w:val="21"/>
                <w:highlight w:val="none"/>
                <w:lang w:val="en-US" w:eastAsia="zh-CN" w:bidi="ar-SA"/>
              </w:rPr>
              <w:t>8</w:t>
            </w:r>
            <w:r>
              <w:rPr>
                <w:rFonts w:hint="default" w:ascii="Times New Roman" w:hAnsi="Times New Roman" w:eastAsia="宋体" w:cs="Times New Roman"/>
                <w:b w:val="0"/>
                <w:bCs/>
                <w:snapToGrid w:val="0"/>
                <w:color w:val="auto"/>
                <w:kern w:val="2"/>
                <w:sz w:val="21"/>
                <w:szCs w:val="21"/>
                <w:highlight w:val="none"/>
                <w:lang w:val="en-US" w:eastAsia="zh-CN" w:bidi="ar-SA"/>
              </w:rPr>
              <w:t>%）。</w:t>
            </w:r>
            <w:r>
              <w:rPr>
                <w:rFonts w:hint="eastAsia" w:ascii="Times New Roman" w:hAnsi="Times New Roman" w:eastAsia="宋体" w:cs="Times New Roman"/>
                <w:b w:val="0"/>
                <w:bCs/>
                <w:snapToGrid w:val="0"/>
                <w:color w:val="auto"/>
                <w:kern w:val="2"/>
                <w:sz w:val="21"/>
                <w:szCs w:val="21"/>
                <w:highlight w:val="none"/>
                <w:lang w:val="en-US" w:eastAsia="zh-CN" w:bidi="ar-SA"/>
              </w:rPr>
              <w:t>本项目产品产量300t/a，</w:t>
            </w:r>
            <w:r>
              <w:rPr>
                <w:rFonts w:hint="eastAsia" w:ascii="Times New Roman" w:hAnsi="Times New Roman" w:eastAsia="宋体" w:cs="Times New Roman"/>
                <w:b w:val="0"/>
                <w:bCs/>
                <w:color w:val="auto"/>
                <w:kern w:val="2"/>
                <w:sz w:val="21"/>
                <w:szCs w:val="21"/>
                <w:highlight w:val="none"/>
                <w:lang w:val="en-US" w:eastAsia="zh-CN" w:bidi="ar-SA"/>
              </w:rPr>
              <w:t>则粉碎包装工序颗粒物产生量为0.540t/a，</w:t>
            </w:r>
            <w:r>
              <w:rPr>
                <w:rFonts w:hint="eastAsia" w:cs="Times New Roman"/>
                <w:b w:val="0"/>
                <w:bCs/>
                <w:color w:val="auto"/>
                <w:kern w:val="2"/>
                <w:sz w:val="21"/>
                <w:szCs w:val="21"/>
                <w:highlight w:val="none"/>
                <w:lang w:val="en-US" w:eastAsia="zh-CN" w:bidi="ar-SA"/>
              </w:rPr>
              <w:t>颗粒物最大产生浓度为37.5mg/m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，颗粒物产生速率为0.075kg/h.</w:t>
            </w: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投料、</w:t>
            </w:r>
            <w:r>
              <w:rPr>
                <w:rFonts w:hint="eastAsia" w:ascii="Times New Roman" w:hAnsi="Times New Roman" w:eastAsia="宋体" w:cs="Times New Roman"/>
                <w:b w:val="0"/>
                <w:bCs/>
                <w:color w:val="auto"/>
                <w:kern w:val="2"/>
                <w:sz w:val="21"/>
                <w:szCs w:val="21"/>
                <w:highlight w:val="none"/>
                <w:lang w:val="en-US" w:eastAsia="zh-CN" w:bidi="ar-SA"/>
              </w:rPr>
              <w:t>粉碎包装工序废气</w:t>
            </w:r>
            <w:r>
              <w:rPr>
                <w:rFonts w:hint="eastAsia" w:cs="Times New Roman"/>
                <w:b w:val="0"/>
                <w:bCs/>
                <w:color w:val="auto"/>
                <w:kern w:val="2"/>
                <w:sz w:val="21"/>
                <w:szCs w:val="21"/>
                <w:highlight w:val="none"/>
                <w:lang w:val="en-US" w:eastAsia="zh-CN" w:bidi="ar-SA"/>
              </w:rPr>
              <w:t>经集气罩+软帘收集+布袋除尘器处理后</w:t>
            </w:r>
            <w:r>
              <w:rPr>
                <w:rFonts w:hint="eastAsia" w:ascii="Times New Roman" w:hAnsi="Times New Roman" w:eastAsia="宋体" w:cs="Times New Roman"/>
                <w:b w:val="0"/>
                <w:bCs/>
                <w:color w:val="auto"/>
                <w:kern w:val="2"/>
                <w:sz w:val="21"/>
                <w:szCs w:val="21"/>
                <w:highlight w:val="none"/>
                <w:lang w:val="en-US" w:eastAsia="zh-CN" w:bidi="ar-SA"/>
              </w:rPr>
              <w:t>颗粒物排放量为0.015t/a，</w:t>
            </w:r>
            <w:r>
              <w:rPr>
                <w:rFonts w:hint="eastAsia" w:cs="Times New Roman"/>
                <w:b w:val="0"/>
                <w:bCs/>
                <w:color w:val="auto"/>
                <w:kern w:val="2"/>
                <w:sz w:val="21"/>
                <w:szCs w:val="21"/>
                <w:highlight w:val="none"/>
                <w:lang w:val="en-US" w:eastAsia="zh-CN" w:bidi="ar-SA"/>
              </w:rPr>
              <w:t>颗粒物最大排放浓度为1.0mg/m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，颗粒物排放速率为0.0021kg/h。</w:t>
            </w:r>
          </w:p>
          <w:p w14:paraId="70006B15">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snapToGrid w:val="0"/>
                <w:color w:val="auto"/>
                <w:kern w:val="2"/>
                <w:sz w:val="21"/>
                <w:szCs w:val="21"/>
                <w:highlight w:val="none"/>
                <w:lang w:val="en-US" w:eastAsia="zh-CN" w:bidi="ar-SA"/>
              </w:rPr>
            </w:pPr>
            <w:r>
              <w:rPr>
                <w:rFonts w:hint="default" w:ascii="Times New Roman" w:hAnsi="Times New Roman" w:eastAsia="宋体" w:cs="Times New Roman"/>
                <w:b w:val="0"/>
                <w:bCs w:val="0"/>
                <w:color w:val="auto"/>
                <w:sz w:val="21"/>
                <w:szCs w:val="21"/>
              </w:rPr>
              <w:t>本次喷雾干燥颗粒物源强采用</w:t>
            </w:r>
            <w:r>
              <w:rPr>
                <w:rStyle w:val="28"/>
                <w:rFonts w:hint="default" w:ascii="Times New Roman" w:hAnsi="Times New Roman" w:eastAsia="宋体" w:cs="Times New Roman"/>
                <w:b w:val="0"/>
                <w:bCs w:val="0"/>
                <w:color w:val="auto"/>
                <w:sz w:val="21"/>
                <w:szCs w:val="21"/>
              </w:rPr>
              <w:t>物料衡算法</w:t>
            </w:r>
            <w:r>
              <w:rPr>
                <w:rFonts w:hint="default" w:ascii="Times New Roman" w:hAnsi="Times New Roman" w:eastAsia="宋体" w:cs="Times New Roman"/>
                <w:b w:val="0"/>
                <w:bCs w:val="0"/>
                <w:color w:val="auto"/>
                <w:sz w:val="21"/>
                <w:szCs w:val="21"/>
              </w:rPr>
              <w:t>核算：结合喷雾干燥产品收率核算颗粒物产生量</w:t>
            </w:r>
            <w:r>
              <w:rPr>
                <w:rFonts w:hint="eastAsia" w:ascii="Times New Roman" w:hAnsi="Times New Roman" w:eastAsia="宋体" w:cs="Times New Roman"/>
                <w:b w:val="0"/>
                <w:bCs w:val="0"/>
                <w:color w:val="auto"/>
                <w:sz w:val="21"/>
                <w:szCs w:val="21"/>
                <w:lang w:val="en-US" w:eastAsia="zh-CN"/>
              </w:rPr>
              <w:t>，具体见物料平衡图</w:t>
            </w:r>
            <w:r>
              <w:rPr>
                <w:rFonts w:hint="default" w:ascii="Times New Roman" w:hAnsi="Times New Roman" w:eastAsia="宋体" w:cs="Times New Roman"/>
                <w:b w:val="0"/>
                <w:bCs w:val="0"/>
                <w:color w:val="auto"/>
                <w:sz w:val="21"/>
                <w:szCs w:val="21"/>
              </w:rPr>
              <w:t>，再根据水喷淋+酸喷淋对颗粒物综合去除效率（取值</w:t>
            </w:r>
            <w:r>
              <w:rPr>
                <w:rFonts w:hint="eastAsia" w:ascii="Times New Roman" w:hAnsi="Times New Roman" w:eastAsia="宋体" w:cs="Times New Roman"/>
                <w:b w:val="0"/>
                <w:bCs w:val="0"/>
                <w:color w:val="auto"/>
                <w:sz w:val="21"/>
                <w:szCs w:val="21"/>
                <w:lang w:val="en-US" w:eastAsia="zh-CN"/>
              </w:rPr>
              <w:t>95</w:t>
            </w:r>
            <w:r>
              <w:rPr>
                <w:rFonts w:hint="default" w:ascii="Times New Roman" w:hAnsi="Times New Roman" w:eastAsia="宋体" w:cs="Times New Roman"/>
                <w:b w:val="0"/>
                <w:bCs w:val="0"/>
                <w:color w:val="auto"/>
                <w:sz w:val="21"/>
                <w:szCs w:val="21"/>
              </w:rPr>
              <w:t>%）核算排放量；本项目喷雾干燥风机风量 9000m³/h，经核算颗粒物</w:t>
            </w:r>
            <w:r>
              <w:rPr>
                <w:rFonts w:hint="eastAsia" w:ascii="Times New Roman" w:hAnsi="Times New Roman" w:eastAsia="宋体" w:cs="Times New Roman"/>
                <w:b w:val="0"/>
                <w:bCs w:val="0"/>
                <w:color w:val="auto"/>
                <w:sz w:val="21"/>
                <w:szCs w:val="21"/>
                <w:lang w:val="en-US" w:eastAsia="zh-CN"/>
              </w:rPr>
              <w:t>产生</w:t>
            </w:r>
            <w:r>
              <w:rPr>
                <w:rFonts w:hint="default" w:ascii="Times New Roman" w:hAnsi="Times New Roman" w:eastAsia="宋体" w:cs="Times New Roman"/>
                <w:b w:val="0"/>
                <w:bCs w:val="0"/>
                <w:color w:val="auto"/>
                <w:sz w:val="21"/>
                <w:szCs w:val="21"/>
              </w:rPr>
              <w:t>浓度</w:t>
            </w:r>
            <w:r>
              <w:rPr>
                <w:rFonts w:hint="eastAsia" w:ascii="Times New Roman" w:hAnsi="Times New Roman" w:eastAsia="宋体" w:cs="Times New Roman"/>
                <w:b w:val="0"/>
                <w:bCs w:val="0"/>
                <w:color w:val="auto"/>
                <w:sz w:val="21"/>
                <w:szCs w:val="21"/>
                <w:lang w:val="en-US" w:eastAsia="zh-CN"/>
              </w:rPr>
              <w:t>383.2</w:t>
            </w:r>
            <w:r>
              <w:rPr>
                <w:rFonts w:hint="default" w:ascii="Times New Roman" w:hAnsi="Times New Roman" w:eastAsia="宋体" w:cs="Times New Roman"/>
                <w:b w:val="0"/>
                <w:bCs w:val="0"/>
                <w:color w:val="auto"/>
                <w:sz w:val="21"/>
                <w:szCs w:val="21"/>
              </w:rPr>
              <w:t xml:space="preserve"> mg/m³、</w:t>
            </w:r>
            <w:r>
              <w:rPr>
                <w:rFonts w:hint="eastAsia" w:ascii="Times New Roman" w:hAnsi="Times New Roman" w:eastAsia="宋体" w:cs="Times New Roman"/>
                <w:b w:val="0"/>
                <w:bCs w:val="0"/>
                <w:color w:val="auto"/>
                <w:sz w:val="21"/>
                <w:szCs w:val="21"/>
                <w:lang w:val="en-US" w:eastAsia="zh-CN"/>
              </w:rPr>
              <w:t>产生</w:t>
            </w:r>
            <w:r>
              <w:rPr>
                <w:rFonts w:hint="default" w:ascii="Times New Roman" w:hAnsi="Times New Roman" w:eastAsia="宋体" w:cs="Times New Roman"/>
                <w:b w:val="0"/>
                <w:bCs w:val="0"/>
                <w:color w:val="auto"/>
                <w:sz w:val="21"/>
                <w:szCs w:val="21"/>
              </w:rPr>
              <w:t>速率</w:t>
            </w:r>
            <w:r>
              <w:rPr>
                <w:rFonts w:hint="eastAsia" w:ascii="Times New Roman" w:hAnsi="Times New Roman" w:eastAsia="宋体" w:cs="Times New Roman"/>
                <w:b w:val="0"/>
                <w:bCs w:val="0"/>
                <w:color w:val="auto"/>
                <w:sz w:val="21"/>
                <w:szCs w:val="21"/>
                <w:lang w:val="en-US" w:eastAsia="zh-CN"/>
              </w:rPr>
              <w:t>3.449</w:t>
            </w:r>
            <w:r>
              <w:rPr>
                <w:rFonts w:hint="default" w:ascii="Times New Roman" w:hAnsi="Times New Roman" w:eastAsia="宋体" w:cs="Times New Roman"/>
                <w:b w:val="0"/>
                <w:bCs w:val="0"/>
                <w:color w:val="auto"/>
                <w:sz w:val="21"/>
                <w:szCs w:val="21"/>
              </w:rPr>
              <w:t>kg/h、</w:t>
            </w:r>
            <w:r>
              <w:rPr>
                <w:rFonts w:hint="eastAsia" w:ascii="Times New Roman" w:hAnsi="Times New Roman" w:eastAsia="宋体" w:cs="Times New Roman"/>
                <w:b w:val="0"/>
                <w:bCs w:val="0"/>
                <w:color w:val="auto"/>
                <w:sz w:val="21"/>
                <w:szCs w:val="21"/>
                <w:lang w:val="en-US" w:eastAsia="zh-CN"/>
              </w:rPr>
              <w:t>产生</w:t>
            </w:r>
            <w:r>
              <w:rPr>
                <w:rFonts w:hint="default" w:ascii="Times New Roman" w:hAnsi="Times New Roman" w:eastAsia="宋体" w:cs="Times New Roman"/>
                <w:b w:val="0"/>
                <w:bCs w:val="0"/>
                <w:color w:val="auto"/>
                <w:sz w:val="21"/>
                <w:szCs w:val="21"/>
              </w:rPr>
              <w:t>量</w:t>
            </w:r>
            <w:r>
              <w:rPr>
                <w:rFonts w:hint="eastAsia" w:ascii="Times New Roman" w:hAnsi="Times New Roman" w:eastAsia="宋体" w:cs="Times New Roman"/>
                <w:b w:val="0"/>
                <w:bCs w:val="0"/>
                <w:color w:val="auto"/>
                <w:sz w:val="21"/>
                <w:szCs w:val="21"/>
                <w:lang w:val="en-US" w:eastAsia="zh-CN"/>
              </w:rPr>
              <w:t>24.832</w:t>
            </w:r>
            <w:r>
              <w:rPr>
                <w:rFonts w:hint="default" w:ascii="Times New Roman" w:hAnsi="Times New Roman" w:eastAsia="宋体" w:cs="Times New Roman"/>
                <w:b w:val="0"/>
                <w:bCs w:val="0"/>
                <w:color w:val="auto"/>
                <w:sz w:val="21"/>
                <w:szCs w:val="21"/>
              </w:rPr>
              <w:t>t/a</w:t>
            </w:r>
            <w:r>
              <w:rPr>
                <w:rFonts w:hint="eastAsia" w:ascii="Times New Roman" w:hAnsi="Times New Roman" w:eastAsia="宋体" w:cs="Times New Roman"/>
                <w:b w:val="0"/>
                <w:bCs w:val="0"/>
                <w:color w:val="auto"/>
                <w:sz w:val="21"/>
                <w:szCs w:val="21"/>
                <w:lang w:eastAsia="zh-CN"/>
              </w:rPr>
              <w:t>；</w:t>
            </w:r>
            <w:r>
              <w:rPr>
                <w:rFonts w:hint="eastAsia" w:ascii="Times New Roman" w:hAnsi="Times New Roman" w:eastAsia="宋体" w:cs="Times New Roman"/>
                <w:b w:val="0"/>
                <w:bCs w:val="0"/>
                <w:color w:val="auto"/>
                <w:sz w:val="21"/>
                <w:szCs w:val="21"/>
                <w:lang w:val="en-US" w:eastAsia="zh-CN"/>
              </w:rPr>
              <w:t>颗粒物排放浓度19.2</w:t>
            </w:r>
            <w:r>
              <w:rPr>
                <w:rFonts w:hint="eastAsia" w:cs="Times New Roman"/>
                <w:b w:val="0"/>
                <w:bCs/>
                <w:color w:val="auto"/>
                <w:kern w:val="2"/>
                <w:sz w:val="21"/>
                <w:szCs w:val="21"/>
                <w:highlight w:val="none"/>
                <w:lang w:val="en-US" w:eastAsia="zh-CN" w:bidi="ar-SA"/>
              </w:rPr>
              <w:t>mg/m</w:t>
            </w:r>
            <w:r>
              <w:rPr>
                <w:rFonts w:hint="eastAsia" w:cs="Times New Roman"/>
                <w:b w:val="0"/>
                <w:bCs/>
                <w:color w:val="auto"/>
                <w:kern w:val="2"/>
                <w:sz w:val="21"/>
                <w:szCs w:val="21"/>
                <w:highlight w:val="none"/>
                <w:vertAlign w:val="superscript"/>
                <w:lang w:val="en-US" w:eastAsia="zh-CN" w:bidi="ar-SA"/>
              </w:rPr>
              <w:t>3</w:t>
            </w:r>
            <w:r>
              <w:rPr>
                <w:rFonts w:hint="eastAsia" w:cs="Times New Roman"/>
                <w:b w:val="0"/>
                <w:bCs/>
                <w:color w:val="auto"/>
                <w:kern w:val="2"/>
                <w:sz w:val="21"/>
                <w:szCs w:val="21"/>
                <w:highlight w:val="none"/>
                <w:lang w:val="en-US" w:eastAsia="zh-CN" w:bidi="ar-SA"/>
              </w:rPr>
              <w:t>，颗粒物排放速率为0.172kg/h，颗粒物排放量为1.242t/a。</w:t>
            </w:r>
          </w:p>
          <w:p w14:paraId="54B7759C">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cs="Times New Roman"/>
                <w:b w:val="0"/>
                <w:bCs/>
                <w:color w:val="auto"/>
                <w:kern w:val="2"/>
                <w:sz w:val="21"/>
                <w:szCs w:val="21"/>
                <w:highlight w:val="none"/>
                <w:lang w:val="en-US" w:eastAsia="zh-CN" w:bidi="ar-SA"/>
              </w:rPr>
            </w:pPr>
            <w:bookmarkStart w:id="36" w:name="OLE_LINK94"/>
            <w:r>
              <w:rPr>
                <w:rFonts w:hint="eastAsia" w:cs="Times New Roman"/>
                <w:b w:val="0"/>
                <w:bCs/>
                <w:color w:val="auto"/>
                <w:kern w:val="2"/>
                <w:sz w:val="21"/>
                <w:szCs w:val="21"/>
                <w:highlight w:val="none"/>
                <w:lang w:val="en-US" w:eastAsia="zh-CN" w:bidi="ar-SA"/>
              </w:rPr>
              <w:t>具体源强分析见下表。</w:t>
            </w:r>
            <w:bookmarkEnd w:id="36"/>
          </w:p>
          <w:p w14:paraId="701C73FC">
            <w:pPr>
              <w:adjustRightInd/>
              <w:snapToGrid/>
              <w:spacing w:beforeLines="0" w:afterLines="0" w:line="360" w:lineRule="auto"/>
              <w:rPr>
                <w:rFonts w:hint="eastAsia" w:ascii="宋体" w:hAnsi="宋体" w:eastAsia="宋体" w:cs="宋体"/>
                <w:bCs/>
                <w:color w:val="auto"/>
                <w:spacing w:val="-10"/>
                <w:sz w:val="21"/>
                <w:szCs w:val="21"/>
                <w:highlight w:val="none"/>
                <w:lang w:val="en-US" w:eastAsia="zh-CN"/>
              </w:rPr>
            </w:pPr>
          </w:p>
          <w:p w14:paraId="4B2FE27B">
            <w:pPr>
              <w:adjustRightInd/>
              <w:snapToGrid/>
              <w:spacing w:beforeLines="0" w:afterLines="0" w:line="360" w:lineRule="auto"/>
              <w:rPr>
                <w:rFonts w:hint="eastAsia" w:ascii="宋体" w:hAnsi="宋体" w:eastAsia="宋体" w:cs="宋体"/>
                <w:bCs/>
                <w:color w:val="auto"/>
                <w:spacing w:val="-10"/>
                <w:sz w:val="21"/>
                <w:szCs w:val="21"/>
                <w:highlight w:val="none"/>
                <w:lang w:val="en-US" w:eastAsia="zh-CN"/>
              </w:rPr>
            </w:pPr>
          </w:p>
          <w:p w14:paraId="59E4DBC0">
            <w:pPr>
              <w:adjustRightInd/>
              <w:snapToGrid/>
              <w:spacing w:beforeLines="0" w:afterLines="0" w:line="360" w:lineRule="auto"/>
              <w:rPr>
                <w:rFonts w:hint="eastAsia" w:ascii="宋体" w:hAnsi="宋体" w:eastAsia="宋体" w:cs="宋体"/>
                <w:bCs/>
                <w:color w:val="auto"/>
                <w:spacing w:val="-10"/>
                <w:sz w:val="21"/>
                <w:szCs w:val="21"/>
                <w:highlight w:val="none"/>
                <w:lang w:val="en-US" w:eastAsia="zh-CN"/>
              </w:rPr>
            </w:pPr>
          </w:p>
        </w:tc>
      </w:tr>
    </w:tbl>
    <w:p w14:paraId="598FC6BE">
      <w:pPr>
        <w:rPr>
          <w:color w:val="auto"/>
          <w:highlight w:val="none"/>
        </w:rPr>
        <w:sectPr>
          <w:pgSz w:w="11907" w:h="16840"/>
          <w:pgMar w:top="1701" w:right="1531" w:bottom="1644"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p w14:paraId="01B9D117">
      <w:pPr>
        <w:rPr>
          <w:color w:val="auto"/>
          <w:highlight w:val="none"/>
        </w:rPr>
      </w:pPr>
    </w:p>
    <w:tbl>
      <w:tblPr>
        <w:tblStyle w:val="25"/>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46"/>
        <w:gridCol w:w="12562"/>
      </w:tblGrid>
      <w:tr w14:paraId="45CB7C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8" w:type="pct"/>
            <w:noWrap w:val="0"/>
            <w:vAlign w:val="center"/>
          </w:tcPr>
          <w:p w14:paraId="3ABAC75E">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28B56781">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207A3F44">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776EC5F2">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569C0611">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5CD9BAF1">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bCs/>
                <w:color w:val="auto"/>
                <w:sz w:val="21"/>
                <w:szCs w:val="21"/>
                <w:highlight w:val="none"/>
              </w:rPr>
              <w:t>措施</w:t>
            </w:r>
          </w:p>
        </w:tc>
        <w:tc>
          <w:tcPr>
            <w:tcW w:w="4581" w:type="pct"/>
            <w:noWrap w:val="0"/>
            <w:vAlign w:val="center"/>
          </w:tcPr>
          <w:p w14:paraId="0E043F4E">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0" w:firstLineChars="0"/>
              <w:jc w:val="center"/>
              <w:textAlignment w:val="baseline"/>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 4-</w:t>
            </w:r>
            <w:r>
              <w:rPr>
                <w:rFonts w:hint="eastAsia" w:ascii="Times New Roman" w:hAnsi="Times New Roman" w:cs="Times New Roman"/>
                <w:b/>
                <w:bCs w:val="0"/>
                <w:color w:val="auto"/>
                <w:kern w:val="2"/>
                <w:sz w:val="21"/>
                <w:szCs w:val="21"/>
                <w:highlight w:val="none"/>
                <w:lang w:val="en-US" w:eastAsia="zh-CN" w:bidi="ar-SA"/>
              </w:rPr>
              <w:t>3</w:t>
            </w:r>
            <w:r>
              <w:rPr>
                <w:rFonts w:hint="default" w:ascii="Times New Roman" w:hAnsi="Times New Roman" w:eastAsia="宋体" w:cs="Times New Roman"/>
                <w:b/>
                <w:bCs w:val="0"/>
                <w:color w:val="auto"/>
                <w:kern w:val="2"/>
                <w:sz w:val="21"/>
                <w:szCs w:val="21"/>
                <w:highlight w:val="none"/>
                <w:lang w:val="en-US" w:eastAsia="zh-CN" w:bidi="ar-SA"/>
              </w:rPr>
              <w:t xml:space="preserve"> </w:t>
            </w:r>
            <w:r>
              <w:rPr>
                <w:rFonts w:hint="eastAsia" w:ascii="Times New Roman" w:hAnsi="Times New Roman" w:cs="Times New Roman"/>
                <w:b/>
                <w:bCs w:val="0"/>
                <w:color w:val="auto"/>
                <w:kern w:val="2"/>
                <w:sz w:val="21"/>
                <w:szCs w:val="21"/>
                <w:highlight w:val="none"/>
                <w:lang w:val="en-US" w:eastAsia="zh-CN" w:bidi="ar-SA"/>
              </w:rPr>
              <w:t>本项目</w:t>
            </w:r>
            <w:r>
              <w:rPr>
                <w:rFonts w:hint="default" w:ascii="Times New Roman" w:hAnsi="Times New Roman" w:eastAsia="宋体" w:cs="Times New Roman"/>
                <w:b/>
                <w:bCs w:val="0"/>
                <w:color w:val="auto"/>
                <w:kern w:val="2"/>
                <w:sz w:val="21"/>
                <w:szCs w:val="21"/>
                <w:highlight w:val="none"/>
                <w:lang w:val="en-US" w:eastAsia="zh-CN" w:bidi="ar-SA"/>
              </w:rPr>
              <w:t>废</w:t>
            </w:r>
            <w:r>
              <w:rPr>
                <w:rFonts w:hint="eastAsia" w:ascii="Times New Roman" w:hAnsi="Times New Roman" w:cs="Times New Roman"/>
                <w:b/>
                <w:bCs w:val="0"/>
                <w:color w:val="auto"/>
                <w:kern w:val="2"/>
                <w:sz w:val="21"/>
                <w:szCs w:val="21"/>
                <w:highlight w:val="none"/>
                <w:lang w:val="en-US" w:eastAsia="zh-CN" w:bidi="ar-SA"/>
              </w:rPr>
              <w:t>气</w:t>
            </w:r>
            <w:r>
              <w:rPr>
                <w:rFonts w:hint="default" w:ascii="Times New Roman" w:hAnsi="Times New Roman" w:eastAsia="宋体" w:cs="Times New Roman"/>
                <w:b/>
                <w:bCs w:val="0"/>
                <w:color w:val="auto"/>
                <w:kern w:val="2"/>
                <w:sz w:val="21"/>
                <w:szCs w:val="21"/>
                <w:highlight w:val="none"/>
                <w:lang w:val="en-US" w:eastAsia="zh-CN" w:bidi="ar-SA"/>
              </w:rPr>
              <w:t>污染物排放情况一览表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3"/>
              <w:gridCol w:w="467"/>
              <w:gridCol w:w="861"/>
              <w:gridCol w:w="1028"/>
              <w:gridCol w:w="1218"/>
              <w:gridCol w:w="1242"/>
              <w:gridCol w:w="613"/>
              <w:gridCol w:w="613"/>
              <w:gridCol w:w="1278"/>
              <w:gridCol w:w="1528"/>
              <w:gridCol w:w="1278"/>
              <w:gridCol w:w="1324"/>
              <w:gridCol w:w="473"/>
            </w:tblGrid>
            <w:tr w14:paraId="320BC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3" w:type="dxa"/>
                  <w:noWrap w:val="0"/>
                  <w:vAlign w:val="center"/>
                </w:tcPr>
                <w:p w14:paraId="24DE47BB">
                  <w:pPr>
                    <w:keepNext w:val="0"/>
                    <w:keepLines w:val="0"/>
                    <w:widowControl/>
                    <w:suppressLineNumbers w:val="0"/>
                    <w:spacing w:line="240" w:lineRule="auto"/>
                    <w:jc w:val="center"/>
                    <w:textAlignment w:val="bottom"/>
                    <w:rPr>
                      <w:rFonts w:hint="eastAsia" w:ascii="Times New Roman" w:hAnsi="Times New Roman" w:eastAsia="宋体" w:cs="Times New Roman"/>
                      <w:i w:val="0"/>
                      <w:iCs w:val="0"/>
                      <w:color w:val="auto"/>
                      <w:spacing w:val="-10"/>
                      <w:kern w:val="2"/>
                      <w:sz w:val="21"/>
                      <w:szCs w:val="21"/>
                      <w:highlight w:val="none"/>
                      <w:u w:val="none"/>
                      <w:lang w:val="en-US" w:eastAsia="zh-CN" w:bidi="ar"/>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序号</w:t>
                  </w:r>
                </w:p>
              </w:tc>
              <w:tc>
                <w:tcPr>
                  <w:tcW w:w="467" w:type="dxa"/>
                  <w:noWrap w:val="0"/>
                  <w:vAlign w:val="center"/>
                </w:tcPr>
                <w:p w14:paraId="125321F1">
                  <w:pPr>
                    <w:keepNext w:val="0"/>
                    <w:keepLines w:val="0"/>
                    <w:widowControl/>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环节</w:t>
                  </w:r>
                </w:p>
              </w:tc>
              <w:tc>
                <w:tcPr>
                  <w:tcW w:w="861" w:type="dxa"/>
                  <w:noWrap w:val="0"/>
                  <w:vAlign w:val="center"/>
                </w:tcPr>
                <w:p w14:paraId="33668AED">
                  <w:pPr>
                    <w:widowControl/>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eastAsia" w:ascii="Times New Roman" w:hAnsi="Times New Roman" w:cs="Times New Roman"/>
                      <w:color w:val="auto"/>
                      <w:sz w:val="21"/>
                      <w:szCs w:val="21"/>
                      <w:highlight w:val="none"/>
                      <w:lang w:val="en-US" w:eastAsia="zh-CN"/>
                    </w:rPr>
                    <w:t>产生量</w:t>
                  </w:r>
                  <w:r>
                    <w:rPr>
                      <w:rFonts w:hint="eastAsia" w:ascii="Times New Roman" w:hAnsi="Times New Roman" w:cs="Times New Roman"/>
                      <w:color w:val="auto"/>
                      <w:sz w:val="21"/>
                      <w:szCs w:val="21"/>
                      <w:highlight w:val="none"/>
                      <w:lang w:eastAsia="zh-CN"/>
                    </w:rPr>
                    <w:t>（</w:t>
                  </w:r>
                  <w:r>
                    <w:rPr>
                      <w:rFonts w:hint="eastAsia" w:cs="Times New Roman"/>
                      <w:color w:val="auto"/>
                      <w:sz w:val="21"/>
                      <w:szCs w:val="21"/>
                      <w:highlight w:val="none"/>
                      <w:lang w:val="en-US" w:eastAsia="zh-CN"/>
                    </w:rPr>
                    <w:t>t</w:t>
                  </w:r>
                  <w:r>
                    <w:rPr>
                      <w:rFonts w:hint="eastAsia" w:ascii="Times New Roman" w:hAnsi="Times New Roman" w:cs="Times New Roman"/>
                      <w:color w:val="auto"/>
                      <w:sz w:val="21"/>
                      <w:szCs w:val="21"/>
                      <w:highlight w:val="none"/>
                      <w:lang w:val="en-US" w:eastAsia="zh-CN"/>
                    </w:rPr>
                    <w:t>/a</w:t>
                  </w:r>
                  <w:r>
                    <w:rPr>
                      <w:rFonts w:hint="eastAsia" w:ascii="Times New Roman" w:hAnsi="Times New Roman" w:cs="Times New Roman"/>
                      <w:color w:val="auto"/>
                      <w:sz w:val="21"/>
                      <w:szCs w:val="21"/>
                      <w:highlight w:val="none"/>
                      <w:lang w:eastAsia="zh-CN"/>
                    </w:rPr>
                    <w:t>）</w:t>
                  </w:r>
                </w:p>
              </w:tc>
              <w:tc>
                <w:tcPr>
                  <w:tcW w:w="1028" w:type="dxa"/>
                  <w:noWrap w:val="0"/>
                  <w:vAlign w:val="center"/>
                </w:tcPr>
                <w:p w14:paraId="54FA4B17">
                  <w:pPr>
                    <w:widowControl/>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default" w:ascii="Times New Roman" w:hAnsi="Times New Roman" w:cs="Times New Roman"/>
                      <w:color w:val="auto"/>
                      <w:sz w:val="21"/>
                      <w:szCs w:val="21"/>
                      <w:highlight w:val="none"/>
                    </w:rPr>
                    <w:t>产生速率</w:t>
                  </w:r>
                  <w:r>
                    <w:rPr>
                      <w:rFonts w:hint="eastAsia" w:ascii="Times New Roman" w:hAnsi="Times New Roman" w:cs="Times New Roman"/>
                      <w:color w:val="auto"/>
                      <w:sz w:val="21"/>
                      <w:szCs w:val="21"/>
                      <w:highlight w:val="none"/>
                      <w:lang w:eastAsia="zh-CN"/>
                    </w:rPr>
                    <w:t>（</w:t>
                  </w:r>
                  <w:r>
                    <w:rPr>
                      <w:rFonts w:ascii="Times New Roman" w:hAnsi="Times New Roman" w:cs="Times New Roman"/>
                      <w:color w:val="auto"/>
                      <w:sz w:val="21"/>
                      <w:szCs w:val="21"/>
                      <w:highlight w:val="none"/>
                    </w:rPr>
                    <w:t>kg/h</w:t>
                  </w:r>
                  <w:r>
                    <w:rPr>
                      <w:rFonts w:hint="eastAsia" w:ascii="Times New Roman" w:hAnsi="Times New Roman" w:cs="Times New Roman"/>
                      <w:color w:val="auto"/>
                      <w:sz w:val="21"/>
                      <w:szCs w:val="21"/>
                      <w:highlight w:val="none"/>
                      <w:lang w:eastAsia="zh-CN"/>
                    </w:rPr>
                    <w:t>）</w:t>
                  </w:r>
                </w:p>
              </w:tc>
              <w:tc>
                <w:tcPr>
                  <w:tcW w:w="1218" w:type="dxa"/>
                  <w:noWrap w:val="0"/>
                  <w:vAlign w:val="center"/>
                </w:tcPr>
                <w:p w14:paraId="50304BB6">
                  <w:pPr>
                    <w:widowControl/>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default" w:ascii="Times New Roman" w:hAnsi="Times New Roman" w:cs="Times New Roman"/>
                      <w:color w:val="auto"/>
                      <w:sz w:val="21"/>
                      <w:szCs w:val="21"/>
                      <w:highlight w:val="none"/>
                    </w:rPr>
                    <w:t>产生浓度</w:t>
                  </w:r>
                  <w:r>
                    <w:rPr>
                      <w:rFonts w:hint="eastAsia" w:ascii="Times New Roman" w:hAnsi="Times New Roman" w:cs="Times New Roman"/>
                      <w:color w:val="auto"/>
                      <w:sz w:val="21"/>
                      <w:szCs w:val="21"/>
                      <w:highlight w:val="none"/>
                      <w:lang w:eastAsia="zh-CN"/>
                    </w:rPr>
                    <w:t>（</w:t>
                  </w:r>
                  <w:r>
                    <w:rPr>
                      <w:rFonts w:ascii="Times New Roman" w:hAnsi="Times New Roman" w:cs="Times New Roman"/>
                      <w:color w:val="auto"/>
                      <w:sz w:val="21"/>
                      <w:szCs w:val="21"/>
                      <w:highlight w:val="none"/>
                    </w:rPr>
                    <w:t>mg/m</w:t>
                  </w:r>
                  <w:r>
                    <w:rPr>
                      <w:rFonts w:ascii="Times New Roman" w:hAnsi="Times New Roman" w:cs="Times New Roman"/>
                      <w:color w:val="auto"/>
                      <w:sz w:val="21"/>
                      <w:szCs w:val="21"/>
                      <w:highlight w:val="none"/>
                      <w:vertAlign w:val="superscript"/>
                    </w:rPr>
                    <w:t>3</w:t>
                  </w:r>
                  <w:r>
                    <w:rPr>
                      <w:rFonts w:hint="eastAsia" w:ascii="Times New Roman" w:hAnsi="Times New Roman" w:cs="Times New Roman"/>
                      <w:color w:val="auto"/>
                      <w:sz w:val="21"/>
                      <w:szCs w:val="21"/>
                      <w:highlight w:val="none"/>
                      <w:lang w:eastAsia="zh-CN"/>
                    </w:rPr>
                    <w:t>）</w:t>
                  </w:r>
                </w:p>
              </w:tc>
              <w:tc>
                <w:tcPr>
                  <w:tcW w:w="1242" w:type="dxa"/>
                  <w:noWrap w:val="0"/>
                  <w:vAlign w:val="center"/>
                </w:tcPr>
                <w:p w14:paraId="28FC66E4">
                  <w:pPr>
                    <w:widowControl/>
                    <w:spacing w:line="240" w:lineRule="auto"/>
                    <w:jc w:val="center"/>
                    <w:textAlignment w:val="bottom"/>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rPr>
                    <w:t>废气产生量</w:t>
                  </w:r>
                  <w:r>
                    <w:rPr>
                      <w:rFonts w:hint="eastAsia" w:ascii="Times New Roman" w:hAnsi="Times New Roman" w:cs="Times New Roman"/>
                      <w:color w:val="auto"/>
                      <w:sz w:val="21"/>
                      <w:szCs w:val="21"/>
                      <w:highlight w:val="none"/>
                      <w:lang w:eastAsia="zh-CN"/>
                    </w:rPr>
                    <w:t>（</w:t>
                  </w:r>
                  <w:r>
                    <w:rPr>
                      <w:rFonts w:ascii="Times New Roman" w:hAnsi="Times New Roman" w:cs="Times New Roman"/>
                      <w:color w:val="auto"/>
                      <w:sz w:val="21"/>
                      <w:szCs w:val="21"/>
                      <w:highlight w:val="none"/>
                    </w:rPr>
                    <w:t>m</w:t>
                  </w:r>
                  <w:r>
                    <w:rPr>
                      <w:rFonts w:ascii="Times New Roman" w:hAnsi="Times New Roman" w:cs="Times New Roman"/>
                      <w:color w:val="auto"/>
                      <w:sz w:val="21"/>
                      <w:szCs w:val="21"/>
                      <w:highlight w:val="none"/>
                      <w:vertAlign w:val="superscript"/>
                    </w:rPr>
                    <w:t>3</w:t>
                  </w:r>
                  <w:r>
                    <w:rPr>
                      <w:rFonts w:ascii="Times New Roman" w:hAnsi="Times New Roman" w:cs="Times New Roman"/>
                      <w:color w:val="auto"/>
                      <w:sz w:val="21"/>
                      <w:szCs w:val="21"/>
                      <w:highlight w:val="none"/>
                    </w:rPr>
                    <w:t>/h</w:t>
                  </w:r>
                  <w:r>
                    <w:rPr>
                      <w:rFonts w:hint="eastAsia" w:ascii="Times New Roman" w:hAnsi="Times New Roman" w:cs="Times New Roman"/>
                      <w:color w:val="auto"/>
                      <w:sz w:val="21"/>
                      <w:szCs w:val="21"/>
                      <w:highlight w:val="none"/>
                      <w:lang w:eastAsia="zh-CN"/>
                    </w:rPr>
                    <w:t>）</w:t>
                  </w:r>
                </w:p>
              </w:tc>
              <w:tc>
                <w:tcPr>
                  <w:tcW w:w="613" w:type="dxa"/>
                  <w:noWrap w:val="0"/>
                  <w:vAlign w:val="center"/>
                </w:tcPr>
                <w:p w14:paraId="2237A54C">
                  <w:pPr>
                    <w:widowControl/>
                    <w:spacing w:line="240" w:lineRule="auto"/>
                    <w:jc w:val="center"/>
                    <w:textAlignment w:val="bottom"/>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收集效率</w:t>
                  </w:r>
                  <w:r>
                    <w:rPr>
                      <w:rFonts w:hint="eastAsia" w:ascii="Times New Roman" w:hAnsi="Times New Roman" w:eastAsia="宋体" w:cs="Times New Roman"/>
                      <w:color w:val="auto"/>
                      <w:kern w:val="0"/>
                      <w:sz w:val="21"/>
                      <w:szCs w:val="21"/>
                      <w:highlight w:val="none"/>
                      <w:lang w:val="en-US" w:eastAsia="zh-CN" w:bidi="ar-SA"/>
                    </w:rPr>
                    <w:t>%</w:t>
                  </w:r>
                </w:p>
              </w:tc>
              <w:tc>
                <w:tcPr>
                  <w:tcW w:w="613" w:type="dxa"/>
                  <w:noWrap w:val="0"/>
                  <w:vAlign w:val="center"/>
                </w:tcPr>
                <w:p w14:paraId="7615F60C">
                  <w:pPr>
                    <w:widowControl/>
                    <w:spacing w:line="240" w:lineRule="auto"/>
                    <w:jc w:val="center"/>
                    <w:textAlignment w:val="bottom"/>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去除率</w:t>
                  </w:r>
                  <w:r>
                    <w:rPr>
                      <w:rFonts w:hint="eastAsia" w:ascii="Times New Roman" w:hAnsi="Times New Roman" w:eastAsia="宋体" w:cs="Times New Roman"/>
                      <w:color w:val="auto"/>
                      <w:kern w:val="0"/>
                      <w:sz w:val="21"/>
                      <w:szCs w:val="21"/>
                      <w:highlight w:val="none"/>
                      <w:lang w:val="en-US" w:eastAsia="zh-CN" w:bidi="ar-SA"/>
                    </w:rPr>
                    <w:t>%</w:t>
                  </w:r>
                </w:p>
              </w:tc>
              <w:tc>
                <w:tcPr>
                  <w:tcW w:w="1278" w:type="dxa"/>
                  <w:noWrap w:val="0"/>
                  <w:vAlign w:val="center"/>
                </w:tcPr>
                <w:p w14:paraId="4DC70528">
                  <w:pPr>
                    <w:widowControl/>
                    <w:spacing w:line="240" w:lineRule="auto"/>
                    <w:jc w:val="center"/>
                    <w:textAlignment w:val="bottom"/>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排放量</w:t>
                  </w:r>
                  <w:r>
                    <w:rPr>
                      <w:rFonts w:hint="eastAsia" w:ascii="Times New Roman" w:hAnsi="Times New Roman" w:cs="Times New Roman"/>
                      <w:color w:val="auto"/>
                      <w:sz w:val="21"/>
                      <w:szCs w:val="21"/>
                      <w:highlight w:val="none"/>
                      <w:lang w:eastAsia="zh-CN"/>
                    </w:rPr>
                    <w:t>（</w:t>
                  </w:r>
                  <w:r>
                    <w:rPr>
                      <w:rFonts w:hint="eastAsia" w:cs="Times New Roman"/>
                      <w:color w:val="auto"/>
                      <w:sz w:val="21"/>
                      <w:szCs w:val="21"/>
                      <w:highlight w:val="none"/>
                      <w:lang w:val="en-US" w:eastAsia="zh-CN"/>
                    </w:rPr>
                    <w:t>t</w:t>
                  </w:r>
                  <w:r>
                    <w:rPr>
                      <w:rFonts w:hint="eastAsia" w:ascii="Times New Roman" w:hAnsi="Times New Roman" w:cs="Times New Roman"/>
                      <w:color w:val="auto"/>
                      <w:sz w:val="21"/>
                      <w:szCs w:val="21"/>
                      <w:highlight w:val="none"/>
                      <w:lang w:val="en-US" w:eastAsia="zh-CN"/>
                    </w:rPr>
                    <w:t>/a</w:t>
                  </w:r>
                  <w:r>
                    <w:rPr>
                      <w:rFonts w:hint="eastAsia" w:ascii="Times New Roman" w:hAnsi="Times New Roman" w:cs="Times New Roman"/>
                      <w:color w:val="auto"/>
                      <w:sz w:val="21"/>
                      <w:szCs w:val="21"/>
                      <w:highlight w:val="none"/>
                      <w:lang w:eastAsia="zh-CN"/>
                    </w:rPr>
                    <w:t>）</w:t>
                  </w:r>
                </w:p>
              </w:tc>
              <w:tc>
                <w:tcPr>
                  <w:tcW w:w="1528" w:type="dxa"/>
                  <w:noWrap w:val="0"/>
                  <w:vAlign w:val="center"/>
                </w:tcPr>
                <w:p w14:paraId="7D2D8B32">
                  <w:pPr>
                    <w:widowControl/>
                    <w:spacing w:line="240" w:lineRule="auto"/>
                    <w:jc w:val="center"/>
                    <w:textAlignment w:val="bottom"/>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eastAsia="zh-CN"/>
                    </w:rPr>
                    <w:t>排放</w:t>
                  </w:r>
                  <w:r>
                    <w:rPr>
                      <w:rFonts w:hint="default" w:ascii="Times New Roman" w:hAnsi="Times New Roman" w:cs="Times New Roman"/>
                      <w:color w:val="auto"/>
                      <w:sz w:val="21"/>
                      <w:szCs w:val="21"/>
                      <w:highlight w:val="none"/>
                    </w:rPr>
                    <w:t>速率</w:t>
                  </w:r>
                  <w:r>
                    <w:rPr>
                      <w:rFonts w:hint="eastAsia" w:ascii="Times New Roman" w:hAnsi="Times New Roman" w:cs="Times New Roman"/>
                      <w:color w:val="auto"/>
                      <w:sz w:val="21"/>
                      <w:szCs w:val="21"/>
                      <w:highlight w:val="none"/>
                      <w:lang w:eastAsia="zh-CN"/>
                    </w:rPr>
                    <w:t>（</w:t>
                  </w:r>
                  <w:r>
                    <w:rPr>
                      <w:rFonts w:ascii="Times New Roman" w:hAnsi="Times New Roman" w:cs="Times New Roman"/>
                      <w:color w:val="auto"/>
                      <w:sz w:val="21"/>
                      <w:szCs w:val="21"/>
                      <w:highlight w:val="none"/>
                    </w:rPr>
                    <w:t>kg/h</w:t>
                  </w:r>
                  <w:r>
                    <w:rPr>
                      <w:rFonts w:hint="eastAsia" w:ascii="Times New Roman" w:hAnsi="Times New Roman" w:cs="Times New Roman"/>
                      <w:color w:val="auto"/>
                      <w:sz w:val="21"/>
                      <w:szCs w:val="21"/>
                      <w:highlight w:val="none"/>
                      <w:lang w:eastAsia="zh-CN"/>
                    </w:rPr>
                    <w:t>）</w:t>
                  </w:r>
                </w:p>
              </w:tc>
              <w:tc>
                <w:tcPr>
                  <w:tcW w:w="1278" w:type="dxa"/>
                  <w:noWrap w:val="0"/>
                  <w:vAlign w:val="center"/>
                </w:tcPr>
                <w:p w14:paraId="2ACDC109">
                  <w:pPr>
                    <w:widowControl/>
                    <w:spacing w:line="240" w:lineRule="auto"/>
                    <w:jc w:val="center"/>
                    <w:textAlignment w:val="bottom"/>
                    <w:rPr>
                      <w:rFonts w:hint="eastAsia"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eastAsia="zh-CN"/>
                    </w:rPr>
                    <w:t>排放</w:t>
                  </w:r>
                  <w:r>
                    <w:rPr>
                      <w:rFonts w:hint="default" w:ascii="Times New Roman" w:hAnsi="Times New Roman" w:cs="Times New Roman"/>
                      <w:color w:val="auto"/>
                      <w:sz w:val="21"/>
                      <w:szCs w:val="21"/>
                      <w:highlight w:val="none"/>
                    </w:rPr>
                    <w:t>浓度</w:t>
                  </w:r>
                  <w:r>
                    <w:rPr>
                      <w:rFonts w:hint="eastAsia" w:ascii="Times New Roman" w:hAnsi="Times New Roman" w:cs="Times New Roman"/>
                      <w:color w:val="auto"/>
                      <w:sz w:val="21"/>
                      <w:szCs w:val="21"/>
                      <w:highlight w:val="none"/>
                      <w:lang w:eastAsia="zh-CN"/>
                    </w:rPr>
                    <w:t>（</w:t>
                  </w:r>
                  <w:r>
                    <w:rPr>
                      <w:rFonts w:ascii="Times New Roman" w:hAnsi="Times New Roman" w:cs="Times New Roman"/>
                      <w:color w:val="auto"/>
                      <w:sz w:val="21"/>
                      <w:szCs w:val="21"/>
                      <w:highlight w:val="none"/>
                    </w:rPr>
                    <w:t>mg/m</w:t>
                  </w:r>
                  <w:r>
                    <w:rPr>
                      <w:rFonts w:ascii="Times New Roman" w:hAnsi="Times New Roman" w:cs="Times New Roman"/>
                      <w:color w:val="auto"/>
                      <w:sz w:val="21"/>
                      <w:szCs w:val="21"/>
                      <w:highlight w:val="none"/>
                      <w:vertAlign w:val="superscript"/>
                    </w:rPr>
                    <w:t>3</w:t>
                  </w:r>
                  <w:r>
                    <w:rPr>
                      <w:rFonts w:hint="eastAsia" w:ascii="Times New Roman" w:hAnsi="Times New Roman" w:cs="Times New Roman"/>
                      <w:color w:val="auto"/>
                      <w:sz w:val="21"/>
                      <w:szCs w:val="21"/>
                      <w:highlight w:val="none"/>
                      <w:lang w:eastAsia="zh-CN"/>
                    </w:rPr>
                    <w:t>）</w:t>
                  </w:r>
                </w:p>
              </w:tc>
              <w:tc>
                <w:tcPr>
                  <w:tcW w:w="1324" w:type="dxa"/>
                  <w:noWrap w:val="0"/>
                  <w:vAlign w:val="center"/>
                </w:tcPr>
                <w:p w14:paraId="52B60A29">
                  <w:pPr>
                    <w:widowControl/>
                    <w:spacing w:line="240" w:lineRule="auto"/>
                    <w:jc w:val="center"/>
                    <w:textAlignment w:val="bottom"/>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限值要求</w:t>
                  </w:r>
                </w:p>
              </w:tc>
              <w:tc>
                <w:tcPr>
                  <w:tcW w:w="473" w:type="dxa"/>
                  <w:noWrap w:val="0"/>
                  <w:vAlign w:val="center"/>
                </w:tcPr>
                <w:p w14:paraId="380E5B6F">
                  <w:pPr>
                    <w:widowControl/>
                    <w:spacing w:line="240" w:lineRule="auto"/>
                    <w:jc w:val="center"/>
                    <w:textAlignment w:val="bottom"/>
                    <w:rPr>
                      <w:rFonts w:hint="eastAsia"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达标判定</w:t>
                  </w:r>
                </w:p>
              </w:tc>
            </w:tr>
            <w:tr w14:paraId="5FB20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413" w:type="dxa"/>
                  <w:noWrap w:val="0"/>
                  <w:vAlign w:val="center"/>
                </w:tcPr>
                <w:p w14:paraId="7E9967D4">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1</w:t>
                  </w:r>
                </w:p>
              </w:tc>
              <w:tc>
                <w:tcPr>
                  <w:tcW w:w="467" w:type="dxa"/>
                  <w:noWrap w:val="0"/>
                  <w:vAlign w:val="center"/>
                </w:tcPr>
                <w:p w14:paraId="1FFE945E">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投料</w:t>
                  </w:r>
                </w:p>
              </w:tc>
              <w:tc>
                <w:tcPr>
                  <w:tcW w:w="861" w:type="dxa"/>
                  <w:noWrap w:val="0"/>
                  <w:vAlign w:val="center"/>
                </w:tcPr>
                <w:p w14:paraId="2E4E52E5">
                  <w:pPr>
                    <w:keepNext w:val="0"/>
                    <w:keepLines w:val="0"/>
                    <w:widowControl w:val="0"/>
                    <w:suppressLineNumbers w:val="0"/>
                    <w:spacing w:line="240" w:lineRule="auto"/>
                    <w:jc w:val="center"/>
                    <w:textAlignment w:val="bottom"/>
                    <w:rPr>
                      <w:rFonts w:hint="default"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1.138</w:t>
                  </w:r>
                </w:p>
              </w:tc>
              <w:tc>
                <w:tcPr>
                  <w:tcW w:w="1028" w:type="dxa"/>
                  <w:noWrap w:val="0"/>
                  <w:vAlign w:val="center"/>
                </w:tcPr>
                <w:p w14:paraId="51E75D79">
                  <w:pPr>
                    <w:keepNext w:val="0"/>
                    <w:keepLines w:val="0"/>
                    <w:widowControl w:val="0"/>
                    <w:suppressLineNumbers w:val="0"/>
                    <w:spacing w:line="240" w:lineRule="auto"/>
                    <w:jc w:val="center"/>
                    <w:textAlignment w:val="bottom"/>
                    <w:rPr>
                      <w:rFonts w:hint="default"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0.158</w:t>
                  </w:r>
                </w:p>
              </w:tc>
              <w:tc>
                <w:tcPr>
                  <w:tcW w:w="1218" w:type="dxa"/>
                  <w:noWrap w:val="0"/>
                  <w:vAlign w:val="center"/>
                </w:tcPr>
                <w:p w14:paraId="75061576">
                  <w:pPr>
                    <w:keepNext w:val="0"/>
                    <w:keepLines w:val="0"/>
                    <w:widowControl w:val="0"/>
                    <w:suppressLineNumbers w:val="0"/>
                    <w:spacing w:line="240" w:lineRule="auto"/>
                    <w:jc w:val="center"/>
                    <w:textAlignment w:val="bottom"/>
                    <w:rPr>
                      <w:rFonts w:hint="default"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79.0</w:t>
                  </w:r>
                </w:p>
              </w:tc>
              <w:tc>
                <w:tcPr>
                  <w:tcW w:w="1242" w:type="dxa"/>
                  <w:vMerge w:val="restart"/>
                  <w:noWrap w:val="0"/>
                  <w:vAlign w:val="center"/>
                </w:tcPr>
                <w:p w14:paraId="21E8113B">
                  <w:pPr>
                    <w:widowControl w:val="0"/>
                    <w:spacing w:line="240" w:lineRule="auto"/>
                    <w:jc w:val="center"/>
                    <w:textAlignment w:val="bottom"/>
                    <w:rPr>
                      <w:rFonts w:hint="default"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2000</w:t>
                  </w:r>
                </w:p>
              </w:tc>
              <w:tc>
                <w:tcPr>
                  <w:tcW w:w="613" w:type="dxa"/>
                  <w:noWrap w:val="0"/>
                  <w:vAlign w:val="center"/>
                </w:tcPr>
                <w:p w14:paraId="2A921EBA">
                  <w:pPr>
                    <w:widowControl w:val="0"/>
                    <w:adjustRightInd/>
                    <w:snapToGrid/>
                    <w:spacing w:before="0" w:beforeLines="0" w:after="0" w:afterLines="0" w:line="240" w:lineRule="auto"/>
                    <w:ind w:right="0" w:right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90</w:t>
                  </w:r>
                </w:p>
              </w:tc>
              <w:tc>
                <w:tcPr>
                  <w:tcW w:w="613" w:type="dxa"/>
                  <w:vMerge w:val="restart"/>
                  <w:noWrap w:val="0"/>
                  <w:vAlign w:val="center"/>
                </w:tcPr>
                <w:p w14:paraId="690409E5">
                  <w:pPr>
                    <w:widowControl w:val="0"/>
                    <w:adjustRightInd/>
                    <w:snapToGrid/>
                    <w:spacing w:before="0" w:beforeLines="0" w:after="0" w:afterLines="0" w:line="240" w:lineRule="auto"/>
                    <w:ind w:right="0" w:right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99</w:t>
                  </w:r>
                </w:p>
              </w:tc>
              <w:tc>
                <w:tcPr>
                  <w:tcW w:w="1278" w:type="dxa"/>
                  <w:vMerge w:val="restart"/>
                  <w:noWrap w:val="0"/>
                  <w:vAlign w:val="center"/>
                </w:tcPr>
                <w:p w14:paraId="26963B19">
                  <w:pPr>
                    <w:keepNext w:val="0"/>
                    <w:keepLines w:val="0"/>
                    <w:pageBreakBefore w:val="0"/>
                    <w:widowControl/>
                    <w:suppressLineNumbers w:val="0"/>
                    <w:tabs>
                      <w:tab w:val="left" w:pos="266"/>
                    </w:tabs>
                    <w:kinsoku/>
                    <w:wordWrap/>
                    <w:overflowPunct/>
                    <w:topLinePunct w:val="0"/>
                    <w:autoSpaceDE/>
                    <w:autoSpaceDN/>
                    <w:bidi w:val="0"/>
                    <w:adjustRightInd/>
                    <w:snapToGrid/>
                    <w:spacing w:line="240" w:lineRule="auto"/>
                    <w:jc w:val="center"/>
                    <w:textAlignment w:val="center"/>
                    <w:rPr>
                      <w:rFonts w:hint="default" w:cs="Times New Roman"/>
                      <w:b w:val="0"/>
                      <w:bCs w:val="0"/>
                      <w:color w:val="auto"/>
                      <w:spacing w:val="-10"/>
                      <w:sz w:val="21"/>
                      <w:szCs w:val="21"/>
                      <w:highlight w:val="none"/>
                      <w:vertAlign w:val="baseline"/>
                      <w:lang w:val="en-US" w:eastAsia="zh-CN" w:bidi="ar"/>
                    </w:rPr>
                  </w:pPr>
                  <w:r>
                    <w:rPr>
                      <w:rFonts w:hint="eastAsia" w:ascii="Times New Roman" w:hAnsi="Times New Roman" w:eastAsia="宋体" w:cs="Times New Roman"/>
                      <w:b w:val="0"/>
                      <w:bCs w:val="0"/>
                      <w:color w:val="auto"/>
                      <w:spacing w:val="-10"/>
                      <w:sz w:val="21"/>
                      <w:szCs w:val="21"/>
                      <w:highlight w:val="none"/>
                      <w:vertAlign w:val="baseline"/>
                      <w:lang w:val="en-US" w:eastAsia="zh-CN" w:bidi="ar"/>
                    </w:rPr>
                    <w:t>0.015</w:t>
                  </w:r>
                </w:p>
              </w:tc>
              <w:tc>
                <w:tcPr>
                  <w:tcW w:w="1528" w:type="dxa"/>
                  <w:vMerge w:val="restart"/>
                  <w:noWrap w:val="0"/>
                  <w:vAlign w:val="center"/>
                </w:tcPr>
                <w:p w14:paraId="29E341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cs="Times New Roman"/>
                      <w:b w:val="0"/>
                      <w:bCs w:val="0"/>
                      <w:color w:val="auto"/>
                      <w:spacing w:val="-10"/>
                      <w:sz w:val="21"/>
                      <w:szCs w:val="21"/>
                      <w:highlight w:val="none"/>
                      <w:vertAlign w:val="baseline"/>
                      <w:lang w:val="en-US" w:eastAsia="zh-CN" w:bidi="ar"/>
                    </w:rPr>
                  </w:pPr>
                  <w:r>
                    <w:rPr>
                      <w:rFonts w:hint="eastAsia" w:ascii="Times New Roman" w:hAnsi="Times New Roman" w:eastAsia="宋体" w:cs="Times New Roman"/>
                      <w:b w:val="0"/>
                      <w:bCs w:val="0"/>
                      <w:color w:val="auto"/>
                      <w:spacing w:val="-10"/>
                      <w:sz w:val="21"/>
                      <w:szCs w:val="21"/>
                      <w:highlight w:val="none"/>
                      <w:vertAlign w:val="baseline"/>
                      <w:lang w:val="en-US" w:eastAsia="zh-CN" w:bidi="ar"/>
                    </w:rPr>
                    <w:t>0.0021</w:t>
                  </w:r>
                </w:p>
              </w:tc>
              <w:tc>
                <w:tcPr>
                  <w:tcW w:w="1278" w:type="dxa"/>
                  <w:vMerge w:val="restart"/>
                  <w:noWrap w:val="0"/>
                  <w:vAlign w:val="center"/>
                </w:tcPr>
                <w:p w14:paraId="6D8C4BE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1.0</w:t>
                  </w:r>
                </w:p>
              </w:tc>
              <w:tc>
                <w:tcPr>
                  <w:tcW w:w="1324" w:type="dxa"/>
                  <w:vMerge w:val="restart"/>
                  <w:noWrap w:val="0"/>
                  <w:vAlign w:val="center"/>
                </w:tcPr>
                <w:p w14:paraId="6AB9872F">
                  <w:pPr>
                    <w:widowControl w:val="0"/>
                    <w:adjustRightInd/>
                    <w:snapToGrid/>
                    <w:spacing w:before="0" w:beforeLines="0" w:after="0" w:afterLines="0" w:line="240" w:lineRule="auto"/>
                    <w:ind w:right="0" w:right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浓度≤120mg/m</w:t>
                  </w:r>
                  <w:r>
                    <w:rPr>
                      <w:rFonts w:hint="eastAsia" w:cs="Times New Roman"/>
                      <w:color w:val="auto"/>
                      <w:kern w:val="0"/>
                      <w:sz w:val="21"/>
                      <w:szCs w:val="21"/>
                      <w:highlight w:val="none"/>
                      <w:vertAlign w:val="superscript"/>
                      <w:lang w:val="en-US" w:eastAsia="zh-CN" w:bidi="ar-SA"/>
                    </w:rPr>
                    <w:t>3</w:t>
                  </w:r>
                  <w:r>
                    <w:rPr>
                      <w:rFonts w:hint="eastAsia" w:cs="Times New Roman"/>
                      <w:color w:val="auto"/>
                      <w:kern w:val="0"/>
                      <w:sz w:val="21"/>
                      <w:szCs w:val="21"/>
                      <w:highlight w:val="none"/>
                      <w:lang w:val="en-US" w:eastAsia="zh-CN" w:bidi="ar-SA"/>
                    </w:rPr>
                    <w:t>、排放速率</w:t>
                  </w:r>
                  <w:r>
                    <w:rPr>
                      <w:rFonts w:hint="eastAsia" w:cs="Times New Roman"/>
                      <w:color w:val="auto"/>
                      <w:kern w:val="0"/>
                      <w:sz w:val="21"/>
                      <w:szCs w:val="21"/>
                      <w:highlight w:val="none"/>
                      <w:vertAlign w:val="superscript"/>
                      <w:lang w:val="en-US" w:eastAsia="zh-CN" w:bidi="ar-SA"/>
                    </w:rPr>
                    <w:t>a</w:t>
                  </w:r>
                  <w:r>
                    <w:rPr>
                      <w:rFonts w:hint="eastAsia" w:cs="Times New Roman"/>
                      <w:color w:val="auto"/>
                      <w:kern w:val="0"/>
                      <w:sz w:val="21"/>
                      <w:szCs w:val="21"/>
                      <w:highlight w:val="none"/>
                      <w:lang w:val="en-US" w:eastAsia="zh-CN" w:bidi="ar-SA"/>
                    </w:rPr>
                    <w:t>≤14.15kg/h</w:t>
                  </w:r>
                </w:p>
              </w:tc>
              <w:tc>
                <w:tcPr>
                  <w:tcW w:w="473" w:type="dxa"/>
                  <w:vMerge w:val="restart"/>
                  <w:noWrap w:val="0"/>
                  <w:vAlign w:val="center"/>
                </w:tcPr>
                <w:p w14:paraId="5F03D62A">
                  <w:pPr>
                    <w:widowControl w:val="0"/>
                    <w:adjustRightInd/>
                    <w:snapToGrid/>
                    <w:spacing w:before="0" w:beforeLines="0" w:after="0" w:afterLines="0" w:line="240" w:lineRule="auto"/>
                    <w:ind w:right="0" w:rightChars="0"/>
                    <w:jc w:val="center"/>
                    <w:rPr>
                      <w:rFonts w:hint="eastAsia"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达标</w:t>
                  </w:r>
                </w:p>
              </w:tc>
            </w:tr>
            <w:tr w14:paraId="7562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3" w:type="dxa"/>
                  <w:noWrap w:val="0"/>
                  <w:vAlign w:val="center"/>
                </w:tcPr>
                <w:p w14:paraId="509DCC19">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eastAsia="宋体" w:cs="Times New Roman"/>
                      <w:i w:val="0"/>
                      <w:iCs w:val="0"/>
                      <w:color w:val="auto"/>
                      <w:spacing w:val="-10"/>
                      <w:kern w:val="2"/>
                      <w:sz w:val="21"/>
                      <w:szCs w:val="21"/>
                      <w:highlight w:val="none"/>
                      <w:u w:val="none"/>
                      <w:lang w:val="en-US" w:eastAsia="zh-CN" w:bidi="ar"/>
                    </w:rPr>
                    <w:t>2</w:t>
                  </w:r>
                </w:p>
              </w:tc>
              <w:tc>
                <w:tcPr>
                  <w:tcW w:w="467" w:type="dxa"/>
                  <w:noWrap w:val="0"/>
                  <w:vAlign w:val="center"/>
                </w:tcPr>
                <w:p w14:paraId="67B7D849">
                  <w:pPr>
                    <w:keepNext w:val="0"/>
                    <w:keepLines w:val="0"/>
                    <w:widowControl w:val="0"/>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粉碎包装</w:t>
                  </w:r>
                </w:p>
              </w:tc>
              <w:tc>
                <w:tcPr>
                  <w:tcW w:w="861" w:type="dxa"/>
                  <w:noWrap w:val="0"/>
                  <w:vAlign w:val="center"/>
                </w:tcPr>
                <w:p w14:paraId="18368498">
                  <w:pPr>
                    <w:keepNext w:val="0"/>
                    <w:keepLines w:val="0"/>
                    <w:widowControl w:val="0"/>
                    <w:suppressLineNumbers w:val="0"/>
                    <w:spacing w:line="240" w:lineRule="auto"/>
                    <w:jc w:val="center"/>
                    <w:textAlignment w:val="bottom"/>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0.540</w:t>
                  </w:r>
                </w:p>
              </w:tc>
              <w:tc>
                <w:tcPr>
                  <w:tcW w:w="1028" w:type="dxa"/>
                  <w:noWrap w:val="0"/>
                  <w:vAlign w:val="center"/>
                </w:tcPr>
                <w:p w14:paraId="5A74542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kern w:val="2"/>
                      <w:sz w:val="21"/>
                      <w:szCs w:val="21"/>
                      <w:highlight w:val="none"/>
                      <w:vertAlign w:val="baseline"/>
                      <w:lang w:val="en-US" w:eastAsia="zh-CN" w:bidi="ar"/>
                    </w:rPr>
                  </w:pPr>
                  <w:r>
                    <w:rPr>
                      <w:rFonts w:hint="eastAsia" w:cs="Times New Roman"/>
                      <w:b w:val="0"/>
                      <w:bCs w:val="0"/>
                      <w:color w:val="auto"/>
                      <w:spacing w:val="-10"/>
                      <w:kern w:val="2"/>
                      <w:sz w:val="21"/>
                      <w:szCs w:val="21"/>
                      <w:highlight w:val="none"/>
                      <w:vertAlign w:val="baseline"/>
                      <w:lang w:val="en-US" w:eastAsia="zh-CN" w:bidi="ar"/>
                    </w:rPr>
                    <w:t>0.075</w:t>
                  </w:r>
                </w:p>
              </w:tc>
              <w:tc>
                <w:tcPr>
                  <w:tcW w:w="1218" w:type="dxa"/>
                  <w:noWrap w:val="0"/>
                  <w:vAlign w:val="center"/>
                </w:tcPr>
                <w:p w14:paraId="49BE721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kern w:val="2"/>
                      <w:sz w:val="21"/>
                      <w:szCs w:val="21"/>
                      <w:highlight w:val="none"/>
                      <w:vertAlign w:val="baseline"/>
                      <w:lang w:val="en-US" w:eastAsia="zh-CN" w:bidi="ar"/>
                    </w:rPr>
                  </w:pPr>
                  <w:r>
                    <w:rPr>
                      <w:rFonts w:hint="eastAsia" w:cs="Times New Roman"/>
                      <w:b w:val="0"/>
                      <w:bCs w:val="0"/>
                      <w:color w:val="auto"/>
                      <w:spacing w:val="-10"/>
                      <w:kern w:val="2"/>
                      <w:sz w:val="21"/>
                      <w:szCs w:val="21"/>
                      <w:highlight w:val="none"/>
                      <w:vertAlign w:val="baseline"/>
                      <w:lang w:val="en-US" w:eastAsia="zh-CN" w:bidi="ar"/>
                    </w:rPr>
                    <w:t>37.5</w:t>
                  </w:r>
                </w:p>
              </w:tc>
              <w:tc>
                <w:tcPr>
                  <w:tcW w:w="1242" w:type="dxa"/>
                  <w:vMerge w:val="continue"/>
                  <w:noWrap w:val="0"/>
                  <w:vAlign w:val="center"/>
                </w:tcPr>
                <w:p w14:paraId="34A1BC1D">
                  <w:pPr>
                    <w:widowControl w:val="0"/>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p>
              </w:tc>
              <w:tc>
                <w:tcPr>
                  <w:tcW w:w="613" w:type="dxa"/>
                  <w:noWrap w:val="0"/>
                  <w:vAlign w:val="center"/>
                </w:tcPr>
                <w:p w14:paraId="667B30D6">
                  <w:pPr>
                    <w:widowControl w:val="0"/>
                    <w:adjustRightInd/>
                    <w:snapToGrid/>
                    <w:spacing w:before="0" w:beforeLines="0" w:after="0" w:afterLines="0" w:line="240" w:lineRule="auto"/>
                    <w:ind w:right="0" w:right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9</w:t>
                  </w:r>
                  <w:r>
                    <w:rPr>
                      <w:rFonts w:hint="eastAsia" w:ascii="Times New Roman" w:hAnsi="Times New Roman" w:eastAsia="宋体" w:cs="Times New Roman"/>
                      <w:color w:val="auto"/>
                      <w:kern w:val="0"/>
                      <w:sz w:val="21"/>
                      <w:szCs w:val="21"/>
                      <w:highlight w:val="none"/>
                      <w:lang w:val="en-US" w:eastAsia="zh-CN" w:bidi="ar-SA"/>
                    </w:rPr>
                    <w:t>0</w:t>
                  </w:r>
                </w:p>
              </w:tc>
              <w:tc>
                <w:tcPr>
                  <w:tcW w:w="613" w:type="dxa"/>
                  <w:vMerge w:val="continue"/>
                  <w:noWrap w:val="0"/>
                  <w:vAlign w:val="center"/>
                </w:tcPr>
                <w:p w14:paraId="336375AE">
                  <w:pPr>
                    <w:widowControl w:val="0"/>
                    <w:adjustRightInd/>
                    <w:snapToGrid/>
                    <w:spacing w:before="0" w:beforeLines="0" w:after="0" w:afterLines="0" w:line="240" w:lineRule="auto"/>
                    <w:ind w:right="0" w:rightChars="0"/>
                    <w:jc w:val="center"/>
                    <w:rPr>
                      <w:rFonts w:hint="default" w:ascii="Times New Roman" w:hAnsi="Times New Roman" w:eastAsia="宋体" w:cs="Times New Roman"/>
                      <w:color w:val="auto"/>
                      <w:kern w:val="0"/>
                      <w:sz w:val="21"/>
                      <w:szCs w:val="21"/>
                      <w:highlight w:val="none"/>
                      <w:lang w:val="en-US" w:eastAsia="zh-CN" w:bidi="ar-SA"/>
                    </w:rPr>
                  </w:pPr>
                </w:p>
              </w:tc>
              <w:tc>
                <w:tcPr>
                  <w:tcW w:w="1278" w:type="dxa"/>
                  <w:vMerge w:val="continue"/>
                  <w:noWrap w:val="0"/>
                  <w:vAlign w:val="center"/>
                </w:tcPr>
                <w:p w14:paraId="22562A6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0"/>
                      <w:sz w:val="21"/>
                      <w:szCs w:val="21"/>
                      <w:highlight w:val="none"/>
                      <w:lang w:val="en-US" w:eastAsia="zh-CN" w:bidi="ar-SA"/>
                    </w:rPr>
                  </w:pPr>
                </w:p>
              </w:tc>
              <w:tc>
                <w:tcPr>
                  <w:tcW w:w="1528" w:type="dxa"/>
                  <w:vMerge w:val="continue"/>
                  <w:noWrap w:val="0"/>
                  <w:vAlign w:val="center"/>
                </w:tcPr>
                <w:p w14:paraId="3C7C9D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0"/>
                      <w:sz w:val="21"/>
                      <w:szCs w:val="21"/>
                      <w:highlight w:val="none"/>
                      <w:lang w:val="en-US" w:eastAsia="zh-CN" w:bidi="ar-SA"/>
                    </w:rPr>
                  </w:pPr>
                </w:p>
              </w:tc>
              <w:tc>
                <w:tcPr>
                  <w:tcW w:w="1278" w:type="dxa"/>
                  <w:vMerge w:val="continue"/>
                  <w:noWrap w:val="0"/>
                  <w:vAlign w:val="center"/>
                </w:tcPr>
                <w:p w14:paraId="319039B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auto"/>
                      <w:kern w:val="0"/>
                      <w:sz w:val="21"/>
                      <w:szCs w:val="21"/>
                      <w:highlight w:val="none"/>
                      <w:lang w:val="en-US" w:eastAsia="zh-CN" w:bidi="ar-SA"/>
                    </w:rPr>
                  </w:pPr>
                </w:p>
              </w:tc>
              <w:tc>
                <w:tcPr>
                  <w:tcW w:w="1324" w:type="dxa"/>
                  <w:vMerge w:val="continue"/>
                  <w:noWrap w:val="0"/>
                  <w:vAlign w:val="center"/>
                </w:tcPr>
                <w:p w14:paraId="49DA1DE4">
                  <w:pPr>
                    <w:widowControl w:val="0"/>
                    <w:adjustRightInd/>
                    <w:snapToGrid/>
                    <w:spacing w:before="0" w:beforeLines="0" w:after="0" w:afterLines="0" w:line="240" w:lineRule="auto"/>
                    <w:ind w:right="0" w:rightChars="0"/>
                    <w:jc w:val="center"/>
                    <w:rPr>
                      <w:rFonts w:hint="default" w:ascii="Times New Roman" w:hAnsi="Times New Roman" w:eastAsia="宋体" w:cs="Times New Roman"/>
                      <w:color w:val="auto"/>
                      <w:kern w:val="0"/>
                      <w:sz w:val="21"/>
                      <w:szCs w:val="21"/>
                      <w:highlight w:val="none"/>
                      <w:lang w:val="en-US" w:eastAsia="zh-CN" w:bidi="ar-SA"/>
                    </w:rPr>
                  </w:pPr>
                </w:p>
              </w:tc>
              <w:tc>
                <w:tcPr>
                  <w:tcW w:w="473" w:type="dxa"/>
                  <w:vMerge w:val="continue"/>
                  <w:noWrap w:val="0"/>
                  <w:vAlign w:val="center"/>
                </w:tcPr>
                <w:p w14:paraId="2E1E2A43">
                  <w:pPr>
                    <w:widowControl w:val="0"/>
                    <w:adjustRightInd/>
                    <w:snapToGrid/>
                    <w:spacing w:before="0" w:beforeLines="0" w:after="0" w:afterLines="0" w:line="240" w:lineRule="auto"/>
                    <w:ind w:right="0" w:rightChars="0"/>
                    <w:jc w:val="center"/>
                    <w:rPr>
                      <w:rFonts w:hint="default" w:ascii="Times New Roman" w:hAnsi="Times New Roman" w:eastAsia="宋体" w:cs="Times New Roman"/>
                      <w:color w:val="auto"/>
                      <w:kern w:val="0"/>
                      <w:sz w:val="21"/>
                      <w:szCs w:val="21"/>
                      <w:highlight w:val="none"/>
                      <w:lang w:val="en-US" w:eastAsia="zh-CN" w:bidi="ar-SA"/>
                    </w:rPr>
                  </w:pPr>
                </w:p>
              </w:tc>
            </w:tr>
            <w:tr w14:paraId="1002B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13" w:type="dxa"/>
                  <w:noWrap w:val="0"/>
                  <w:vAlign w:val="center"/>
                </w:tcPr>
                <w:p w14:paraId="4330AA60">
                  <w:pPr>
                    <w:keepNext w:val="0"/>
                    <w:keepLines w:val="0"/>
                    <w:widowControl w:val="0"/>
                    <w:suppressLineNumbers w:val="0"/>
                    <w:spacing w:line="240" w:lineRule="auto"/>
                    <w:jc w:val="center"/>
                    <w:textAlignment w:val="bottom"/>
                    <w:rPr>
                      <w:rFonts w:hint="eastAsia" w:cs="Times New Roman"/>
                      <w:i w:val="0"/>
                      <w:iCs w:val="0"/>
                      <w:color w:val="auto"/>
                      <w:spacing w:val="-10"/>
                      <w:kern w:val="2"/>
                      <w:sz w:val="21"/>
                      <w:szCs w:val="21"/>
                      <w:highlight w:val="none"/>
                      <w:u w:val="none"/>
                      <w:lang w:val="en-US" w:eastAsia="zh-CN" w:bidi="ar"/>
                    </w:rPr>
                  </w:pPr>
                  <w:r>
                    <w:rPr>
                      <w:rFonts w:hint="eastAsia" w:cs="Times New Roman"/>
                      <w:i w:val="0"/>
                      <w:iCs w:val="0"/>
                      <w:color w:val="auto"/>
                      <w:spacing w:val="-10"/>
                      <w:kern w:val="2"/>
                      <w:sz w:val="21"/>
                      <w:szCs w:val="21"/>
                      <w:highlight w:val="none"/>
                      <w:u w:val="none"/>
                      <w:lang w:val="en-US" w:eastAsia="zh-CN" w:bidi="ar"/>
                    </w:rPr>
                    <w:t>3</w:t>
                  </w:r>
                </w:p>
              </w:tc>
              <w:tc>
                <w:tcPr>
                  <w:tcW w:w="467" w:type="dxa"/>
                  <w:noWrap w:val="0"/>
                  <w:vAlign w:val="center"/>
                </w:tcPr>
                <w:p w14:paraId="74EDEA6B">
                  <w:pPr>
                    <w:keepNext w:val="0"/>
                    <w:keepLines w:val="0"/>
                    <w:widowControl w:val="0"/>
                    <w:suppressLineNumbers w:val="0"/>
                    <w:spacing w:line="240" w:lineRule="auto"/>
                    <w:jc w:val="center"/>
                    <w:textAlignment w:val="bottom"/>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喷雾干燥</w:t>
                  </w:r>
                </w:p>
              </w:tc>
              <w:tc>
                <w:tcPr>
                  <w:tcW w:w="861" w:type="dxa"/>
                  <w:noWrap w:val="0"/>
                  <w:vAlign w:val="center"/>
                </w:tcPr>
                <w:p w14:paraId="6FF8FF6B">
                  <w:pPr>
                    <w:widowControl w:val="0"/>
                    <w:spacing w:line="240" w:lineRule="auto"/>
                    <w:jc w:val="center"/>
                    <w:textAlignment w:val="bottom"/>
                    <w:rPr>
                      <w:rFonts w:hint="default" w:ascii="Times New Roman" w:hAnsi="Times New Roman" w:eastAsia="宋体" w:cs="Times New Roman"/>
                      <w:b w:val="0"/>
                      <w:bCs w:val="0"/>
                      <w:color w:val="auto"/>
                      <w:spacing w:val="-10"/>
                      <w:kern w:val="2"/>
                      <w:sz w:val="21"/>
                      <w:szCs w:val="21"/>
                      <w:highlight w:val="none"/>
                      <w:vertAlign w:val="baseline"/>
                      <w:lang w:val="en-US" w:eastAsia="zh-CN" w:bidi="ar"/>
                    </w:rPr>
                  </w:pPr>
                  <w:r>
                    <w:rPr>
                      <w:rFonts w:hint="eastAsia" w:cs="Times New Roman"/>
                      <w:b w:val="0"/>
                      <w:bCs w:val="0"/>
                      <w:color w:val="auto"/>
                      <w:spacing w:val="-10"/>
                      <w:kern w:val="2"/>
                      <w:sz w:val="21"/>
                      <w:szCs w:val="21"/>
                      <w:highlight w:val="none"/>
                      <w:vertAlign w:val="baseline"/>
                      <w:lang w:val="en-US" w:eastAsia="zh-CN" w:bidi="ar"/>
                    </w:rPr>
                    <w:t>24.832</w:t>
                  </w:r>
                </w:p>
              </w:tc>
              <w:tc>
                <w:tcPr>
                  <w:tcW w:w="1028" w:type="dxa"/>
                  <w:noWrap w:val="0"/>
                  <w:vAlign w:val="center"/>
                </w:tcPr>
                <w:p w14:paraId="171969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kern w:val="2"/>
                      <w:sz w:val="21"/>
                      <w:szCs w:val="21"/>
                      <w:highlight w:val="none"/>
                      <w:vertAlign w:val="baseline"/>
                      <w:lang w:val="en-US" w:eastAsia="zh-CN" w:bidi="ar"/>
                    </w:rPr>
                  </w:pPr>
                  <w:r>
                    <w:rPr>
                      <w:rFonts w:hint="eastAsia" w:cs="Times New Roman"/>
                      <w:b w:val="0"/>
                      <w:bCs w:val="0"/>
                      <w:color w:val="auto"/>
                      <w:spacing w:val="-10"/>
                      <w:kern w:val="2"/>
                      <w:sz w:val="21"/>
                      <w:szCs w:val="21"/>
                      <w:highlight w:val="none"/>
                      <w:vertAlign w:val="baseline"/>
                      <w:lang w:val="en-US" w:eastAsia="zh-CN" w:bidi="ar"/>
                    </w:rPr>
                    <w:t>3.449</w:t>
                  </w:r>
                </w:p>
              </w:tc>
              <w:tc>
                <w:tcPr>
                  <w:tcW w:w="1218" w:type="dxa"/>
                  <w:noWrap w:val="0"/>
                  <w:vAlign w:val="center"/>
                </w:tcPr>
                <w:p w14:paraId="3395CD7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kern w:val="2"/>
                      <w:sz w:val="21"/>
                      <w:szCs w:val="21"/>
                      <w:highlight w:val="none"/>
                      <w:vertAlign w:val="baseline"/>
                      <w:lang w:val="en-US" w:eastAsia="zh-CN" w:bidi="ar"/>
                    </w:rPr>
                  </w:pPr>
                  <w:r>
                    <w:rPr>
                      <w:rFonts w:hint="eastAsia" w:cs="Times New Roman"/>
                      <w:b w:val="0"/>
                      <w:bCs w:val="0"/>
                      <w:color w:val="auto"/>
                      <w:spacing w:val="-10"/>
                      <w:kern w:val="2"/>
                      <w:sz w:val="21"/>
                      <w:szCs w:val="21"/>
                      <w:highlight w:val="none"/>
                      <w:vertAlign w:val="baseline"/>
                      <w:lang w:val="en-US" w:eastAsia="zh-CN" w:bidi="ar"/>
                    </w:rPr>
                    <w:t>383.2</w:t>
                  </w:r>
                </w:p>
              </w:tc>
              <w:tc>
                <w:tcPr>
                  <w:tcW w:w="1242" w:type="dxa"/>
                  <w:noWrap w:val="0"/>
                  <w:vAlign w:val="center"/>
                </w:tcPr>
                <w:p w14:paraId="46109B67">
                  <w:pPr>
                    <w:widowControl w:val="0"/>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9000</w:t>
                  </w:r>
                </w:p>
              </w:tc>
              <w:tc>
                <w:tcPr>
                  <w:tcW w:w="613" w:type="dxa"/>
                  <w:noWrap w:val="0"/>
                  <w:vAlign w:val="center"/>
                </w:tcPr>
                <w:p w14:paraId="5C256995">
                  <w:pPr>
                    <w:widowControl w:val="0"/>
                    <w:spacing w:line="240" w:lineRule="auto"/>
                    <w:jc w:val="center"/>
                    <w:textAlignment w:val="bottom"/>
                    <w:rPr>
                      <w:rFonts w:hint="eastAsia"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10</w:t>
                  </w:r>
                  <w:r>
                    <w:rPr>
                      <w:rFonts w:hint="eastAsia" w:ascii="Times New Roman" w:hAnsi="Times New Roman" w:eastAsia="宋体" w:cs="Times New Roman"/>
                      <w:color w:val="auto"/>
                      <w:kern w:val="0"/>
                      <w:sz w:val="21"/>
                      <w:szCs w:val="21"/>
                      <w:highlight w:val="none"/>
                      <w:lang w:val="en-US" w:eastAsia="zh-CN" w:bidi="ar-SA"/>
                    </w:rPr>
                    <w:t>0</w:t>
                  </w:r>
                </w:p>
              </w:tc>
              <w:tc>
                <w:tcPr>
                  <w:tcW w:w="613" w:type="dxa"/>
                  <w:noWrap w:val="0"/>
                  <w:vAlign w:val="center"/>
                </w:tcPr>
                <w:p w14:paraId="7A65200F">
                  <w:pPr>
                    <w:widowControl w:val="0"/>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95</w:t>
                  </w:r>
                </w:p>
              </w:tc>
              <w:tc>
                <w:tcPr>
                  <w:tcW w:w="1278" w:type="dxa"/>
                  <w:noWrap w:val="0"/>
                  <w:vAlign w:val="center"/>
                </w:tcPr>
                <w:p w14:paraId="132F23B6">
                  <w:pPr>
                    <w:keepNext w:val="0"/>
                    <w:keepLines w:val="0"/>
                    <w:pageBreakBefore w:val="0"/>
                    <w:widowControl/>
                    <w:suppressLineNumbers w:val="0"/>
                    <w:tabs>
                      <w:tab w:val="left" w:pos="266"/>
                    </w:tabs>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1.242</w:t>
                  </w:r>
                </w:p>
              </w:tc>
              <w:tc>
                <w:tcPr>
                  <w:tcW w:w="1528" w:type="dxa"/>
                  <w:noWrap w:val="0"/>
                  <w:vAlign w:val="center"/>
                </w:tcPr>
                <w:p w14:paraId="7619A6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0.1724</w:t>
                  </w:r>
                </w:p>
              </w:tc>
              <w:tc>
                <w:tcPr>
                  <w:tcW w:w="1278" w:type="dxa"/>
                  <w:noWrap w:val="0"/>
                  <w:vAlign w:val="center"/>
                </w:tcPr>
                <w:p w14:paraId="5BF9551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eastAsia" w:cs="Times New Roman"/>
                      <w:b w:val="0"/>
                      <w:bCs w:val="0"/>
                      <w:color w:val="auto"/>
                      <w:spacing w:val="-10"/>
                      <w:sz w:val="21"/>
                      <w:szCs w:val="21"/>
                      <w:highlight w:val="none"/>
                      <w:vertAlign w:val="baseline"/>
                      <w:lang w:val="en-US" w:eastAsia="zh-CN" w:bidi="ar"/>
                    </w:rPr>
                    <w:t>19.2</w:t>
                  </w:r>
                </w:p>
              </w:tc>
              <w:tc>
                <w:tcPr>
                  <w:tcW w:w="1324" w:type="dxa"/>
                  <w:vMerge w:val="continue"/>
                  <w:noWrap w:val="0"/>
                  <w:vAlign w:val="center"/>
                </w:tcPr>
                <w:p w14:paraId="514C199F">
                  <w:pPr>
                    <w:widowControl w:val="0"/>
                    <w:spacing w:line="240" w:lineRule="auto"/>
                    <w:jc w:val="center"/>
                    <w:textAlignment w:val="bottom"/>
                    <w:rPr>
                      <w:rFonts w:hint="default" w:ascii="Times New Roman" w:hAnsi="Times New Roman" w:eastAsia="宋体" w:cs="Times New Roman"/>
                      <w:b w:val="0"/>
                      <w:bCs w:val="0"/>
                      <w:color w:val="auto"/>
                      <w:spacing w:val="-10"/>
                      <w:sz w:val="21"/>
                      <w:szCs w:val="21"/>
                      <w:highlight w:val="none"/>
                      <w:vertAlign w:val="baseline"/>
                      <w:lang w:val="en-US" w:eastAsia="zh-CN" w:bidi="ar"/>
                    </w:rPr>
                  </w:pPr>
                </w:p>
              </w:tc>
              <w:tc>
                <w:tcPr>
                  <w:tcW w:w="473" w:type="dxa"/>
                  <w:vMerge w:val="continue"/>
                  <w:noWrap w:val="0"/>
                  <w:vAlign w:val="center"/>
                </w:tcPr>
                <w:p w14:paraId="56EFFE9E">
                  <w:pPr>
                    <w:widowControl w:val="0"/>
                    <w:adjustRightInd/>
                    <w:snapToGrid/>
                    <w:spacing w:before="0" w:beforeLines="0" w:after="0" w:afterLines="0" w:line="240" w:lineRule="auto"/>
                    <w:ind w:right="0" w:rightChars="0"/>
                    <w:jc w:val="center"/>
                    <w:rPr>
                      <w:rFonts w:hint="default" w:ascii="Times New Roman" w:hAnsi="Times New Roman" w:eastAsia="宋体" w:cs="Times New Roman"/>
                      <w:b w:val="0"/>
                      <w:bCs w:val="0"/>
                      <w:color w:val="auto"/>
                      <w:spacing w:val="-10"/>
                      <w:sz w:val="21"/>
                      <w:szCs w:val="21"/>
                      <w:highlight w:val="none"/>
                      <w:vertAlign w:val="baseline"/>
                      <w:lang w:val="en-US" w:eastAsia="zh-CN" w:bidi="ar"/>
                    </w:rPr>
                  </w:pPr>
                </w:p>
              </w:tc>
            </w:tr>
          </w:tbl>
          <w:p w14:paraId="0CFD98C0">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tc>
      </w:tr>
    </w:tbl>
    <w:p w14:paraId="4DAC1B3E">
      <w:pPr>
        <w:rPr>
          <w:color w:val="auto"/>
          <w:highlight w:val="none"/>
        </w:rPr>
        <w:sectPr>
          <w:pgSz w:w="16840" w:h="11907" w:orient="landscape"/>
          <w:pgMar w:top="1531" w:right="1701" w:bottom="1531" w:left="1644"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890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46"/>
        <w:gridCol w:w="8162"/>
      </w:tblGrid>
      <w:tr w14:paraId="02B4542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25" w:hRule="atLeast"/>
          <w:jc w:val="center"/>
        </w:trPr>
        <w:tc>
          <w:tcPr>
            <w:tcW w:w="746" w:type="dxa"/>
            <w:noWrap w:val="0"/>
            <w:tcMar>
              <w:left w:w="28" w:type="dxa"/>
              <w:right w:w="28" w:type="dxa"/>
            </w:tcMar>
            <w:vAlign w:val="center"/>
          </w:tcPr>
          <w:p w14:paraId="3198A744">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2DA34687">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12312F3F">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7EF1161F">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7C2A8463">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075FFA18">
            <w:pPr>
              <w:adjustRightInd/>
              <w:snapToGrid/>
              <w:spacing w:line="240" w:lineRule="auto"/>
              <w:jc w:val="center"/>
              <w:rPr>
                <w:rFonts w:ascii="宋体" w:hAnsi="宋体" w:cs="宋体"/>
                <w:bCs/>
                <w:color w:val="auto"/>
                <w:sz w:val="21"/>
                <w:szCs w:val="21"/>
                <w:highlight w:val="none"/>
              </w:rPr>
            </w:pPr>
            <w:r>
              <w:rPr>
                <w:rFonts w:hint="eastAsia" w:ascii="宋体" w:hAnsi="宋体" w:cs="宋体"/>
                <w:bCs/>
                <w:color w:val="auto"/>
                <w:sz w:val="21"/>
                <w:szCs w:val="21"/>
                <w:highlight w:val="none"/>
              </w:rPr>
              <w:t>措施</w:t>
            </w:r>
          </w:p>
        </w:tc>
        <w:tc>
          <w:tcPr>
            <w:tcW w:w="8162" w:type="dxa"/>
            <w:noWrap w:val="0"/>
            <w:vAlign w:val="center"/>
          </w:tcPr>
          <w:p w14:paraId="44E51A78">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2</w:t>
            </w:r>
            <w:r>
              <w:rPr>
                <w:rFonts w:hint="eastAsia" w:ascii="Times New Roman" w:hAnsi="Times New Roman" w:eastAsia="宋体" w:cs="Times New Roman"/>
                <w:b w:val="0"/>
                <w:bCs/>
                <w:color w:val="auto"/>
                <w:kern w:val="2"/>
                <w:sz w:val="21"/>
                <w:szCs w:val="21"/>
                <w:highlight w:val="none"/>
                <w:lang w:val="en-US" w:eastAsia="zh-CN" w:bidi="ar-SA"/>
              </w:rPr>
              <w:t>）污水</w:t>
            </w:r>
            <w:r>
              <w:rPr>
                <w:rFonts w:hint="eastAsia" w:cs="Times New Roman"/>
                <w:b w:val="0"/>
                <w:bCs/>
                <w:color w:val="auto"/>
                <w:kern w:val="2"/>
                <w:sz w:val="21"/>
                <w:szCs w:val="21"/>
                <w:highlight w:val="none"/>
                <w:lang w:val="en-US" w:eastAsia="zh-CN" w:bidi="ar-SA"/>
              </w:rPr>
              <w:t>站</w:t>
            </w:r>
            <w:r>
              <w:rPr>
                <w:rFonts w:hint="eastAsia" w:ascii="Times New Roman" w:hAnsi="Times New Roman" w:eastAsia="宋体" w:cs="Times New Roman"/>
                <w:b w:val="0"/>
                <w:bCs/>
                <w:color w:val="auto"/>
                <w:kern w:val="2"/>
                <w:sz w:val="21"/>
                <w:szCs w:val="21"/>
                <w:highlight w:val="none"/>
                <w:lang w:val="en-US" w:eastAsia="zh-CN" w:bidi="ar-SA"/>
              </w:rPr>
              <w:t>废气</w:t>
            </w:r>
          </w:p>
          <w:p w14:paraId="22E95C05">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本项目</w:t>
            </w:r>
            <w:r>
              <w:rPr>
                <w:rFonts w:hint="eastAsia" w:cs="Times New Roman"/>
                <w:b w:val="0"/>
                <w:bCs/>
                <w:color w:val="auto"/>
                <w:kern w:val="2"/>
                <w:sz w:val="21"/>
                <w:szCs w:val="21"/>
                <w:highlight w:val="none"/>
                <w:lang w:val="en-US" w:eastAsia="zh-CN" w:bidi="ar-SA"/>
              </w:rPr>
              <w:t>废水，</w:t>
            </w:r>
            <w:r>
              <w:rPr>
                <w:rFonts w:hint="eastAsia" w:ascii="Times New Roman" w:hAnsi="Times New Roman" w:eastAsia="宋体" w:cs="Times New Roman"/>
                <w:b w:val="0"/>
                <w:bCs/>
                <w:color w:val="auto"/>
                <w:kern w:val="2"/>
                <w:sz w:val="21"/>
                <w:szCs w:val="21"/>
                <w:highlight w:val="none"/>
                <w:lang w:val="en-US" w:eastAsia="zh-CN" w:bidi="ar-SA"/>
              </w:rPr>
              <w:t>依托厂区现有污水站进行处理</w:t>
            </w:r>
            <w:r>
              <w:rPr>
                <w:rFonts w:hint="default" w:ascii="Times New Roman" w:hAnsi="Times New Roman" w:eastAsia="宋体" w:cs="Times New Roman"/>
                <w:b w:val="0"/>
                <w:bCs/>
                <w:color w:val="auto"/>
                <w:kern w:val="2"/>
                <w:sz w:val="21"/>
                <w:szCs w:val="21"/>
                <w:highlight w:val="none"/>
                <w:lang w:val="en-US" w:eastAsia="zh-CN" w:bidi="ar-SA"/>
              </w:rPr>
              <w:t>，污水站废水处理过程中有恶臭气体产生，主要污染物为氨、</w:t>
            </w:r>
            <w:r>
              <w:rPr>
                <w:rFonts w:hint="eastAsia" w:cs="Times New Roman"/>
                <w:b w:val="0"/>
                <w:bCs/>
                <w:color w:val="auto"/>
                <w:kern w:val="2"/>
                <w:sz w:val="21"/>
                <w:szCs w:val="21"/>
                <w:highlight w:val="none"/>
                <w:lang w:val="en-US" w:eastAsia="zh-CN" w:bidi="ar-SA"/>
              </w:rPr>
              <w:t>硫化氢、臭气浓度</w:t>
            </w:r>
            <w:r>
              <w:rPr>
                <w:rFonts w:hint="default" w:ascii="Times New Roman" w:hAnsi="Times New Roman" w:eastAsia="宋体" w:cs="Times New Roman"/>
                <w:b w:val="0"/>
                <w:bCs/>
                <w:color w:val="auto"/>
                <w:kern w:val="2"/>
                <w:sz w:val="21"/>
                <w:szCs w:val="21"/>
                <w:highlight w:val="none"/>
                <w:lang w:val="en-US" w:eastAsia="zh-CN" w:bidi="ar-SA"/>
              </w:rPr>
              <w:t>等；各污水处理池上方已加装玻璃钢罩进行收集，废气经管线引至现有</w:t>
            </w:r>
            <w:r>
              <w:rPr>
                <w:rFonts w:hint="eastAsia" w:cs="Times New Roman"/>
                <w:b w:val="0"/>
                <w:bCs/>
                <w:color w:val="auto"/>
                <w:kern w:val="2"/>
                <w:sz w:val="21"/>
                <w:szCs w:val="21"/>
                <w:highlight w:val="none"/>
                <w:lang w:val="en-US" w:eastAsia="zh-CN" w:bidi="ar-SA"/>
              </w:rPr>
              <w:t>“水吸收+恒温多级生物滤池”</w:t>
            </w:r>
            <w:r>
              <w:rPr>
                <w:rFonts w:hint="default" w:ascii="Times New Roman" w:hAnsi="Times New Roman" w:eastAsia="宋体" w:cs="Times New Roman"/>
                <w:b w:val="0"/>
                <w:bCs/>
                <w:color w:val="auto"/>
                <w:kern w:val="2"/>
                <w:sz w:val="21"/>
                <w:szCs w:val="21"/>
                <w:highlight w:val="none"/>
                <w:lang w:val="en-US" w:eastAsia="zh-CN" w:bidi="ar-SA"/>
              </w:rPr>
              <w:t>装置处理后经1根15m排气筒排放。</w:t>
            </w:r>
          </w:p>
          <w:p w14:paraId="4C3E45BD">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eastAsia"/>
                <w:bCs/>
                <w:color w:val="auto"/>
                <w:sz w:val="21"/>
                <w:szCs w:val="21"/>
                <w:highlight w:val="none"/>
              </w:rPr>
            </w:pPr>
            <w:r>
              <w:rPr>
                <w:rFonts w:hint="eastAsia"/>
                <w:bCs/>
                <w:color w:val="auto"/>
                <w:sz w:val="21"/>
                <w:szCs w:val="21"/>
                <w:highlight w:val="none"/>
                <w:lang w:eastAsia="zh-CN"/>
              </w:rPr>
              <w:t>类比现有污水处理站</w:t>
            </w:r>
            <w:r>
              <w:rPr>
                <w:bCs/>
                <w:color w:val="auto"/>
                <w:sz w:val="21"/>
                <w:szCs w:val="21"/>
                <w:highlight w:val="none"/>
              </w:rPr>
              <w:t>现有检测</w:t>
            </w:r>
            <w:r>
              <w:rPr>
                <w:rFonts w:hint="eastAsia"/>
                <w:bCs/>
                <w:color w:val="auto"/>
                <w:sz w:val="21"/>
                <w:szCs w:val="21"/>
                <w:highlight w:val="none"/>
                <w:lang w:eastAsia="zh-CN"/>
              </w:rPr>
              <w:t>报告（</w:t>
            </w:r>
            <w:r>
              <w:rPr>
                <w:bCs/>
                <w:color w:val="auto"/>
                <w:sz w:val="21"/>
                <w:szCs w:val="21"/>
                <w:highlight w:val="none"/>
              </w:rPr>
              <w:t>检测</w:t>
            </w:r>
            <w:r>
              <w:rPr>
                <w:rFonts w:hint="eastAsia"/>
                <w:bCs/>
                <w:color w:val="auto"/>
                <w:sz w:val="21"/>
                <w:szCs w:val="21"/>
                <w:highlight w:val="none"/>
                <w:lang w:eastAsia="zh-CN"/>
              </w:rPr>
              <w:t>报告（</w:t>
            </w:r>
            <w:r>
              <w:rPr>
                <w:rFonts w:hint="eastAsia"/>
                <w:bCs/>
                <w:color w:val="auto"/>
                <w:sz w:val="21"/>
                <w:szCs w:val="21"/>
                <w:highlight w:val="none"/>
                <w:lang w:val="en-US" w:eastAsia="zh-CN"/>
              </w:rPr>
              <w:t>环检验测（2026）第003号</w:t>
            </w:r>
            <w:r>
              <w:rPr>
                <w:rFonts w:hint="eastAsia"/>
                <w:bCs/>
                <w:color w:val="auto"/>
                <w:sz w:val="21"/>
                <w:szCs w:val="21"/>
                <w:highlight w:val="none"/>
                <w:lang w:eastAsia="zh-CN"/>
              </w:rPr>
              <w:t>），</w:t>
            </w:r>
            <w:r>
              <w:rPr>
                <w:rFonts w:hint="eastAsia"/>
                <w:bCs/>
                <w:color w:val="auto"/>
                <w:sz w:val="21"/>
                <w:szCs w:val="21"/>
                <w:highlight w:val="none"/>
              </w:rPr>
              <w:t>氨</w:t>
            </w:r>
            <w:r>
              <w:rPr>
                <w:rFonts w:hint="eastAsia"/>
                <w:bCs/>
                <w:color w:val="auto"/>
                <w:sz w:val="21"/>
                <w:szCs w:val="21"/>
                <w:highlight w:val="none"/>
                <w:lang w:val="en-US" w:eastAsia="zh-CN"/>
              </w:rPr>
              <w:t>排放</w:t>
            </w:r>
            <w:r>
              <w:rPr>
                <w:rFonts w:hint="eastAsia"/>
                <w:bCs/>
                <w:color w:val="auto"/>
                <w:sz w:val="21"/>
                <w:szCs w:val="21"/>
                <w:highlight w:val="none"/>
                <w:lang w:eastAsia="zh-CN"/>
              </w:rPr>
              <w:t>浓度为</w:t>
            </w:r>
            <w:r>
              <w:rPr>
                <w:rFonts w:hint="eastAsia"/>
                <w:bCs/>
                <w:color w:val="auto"/>
                <w:sz w:val="21"/>
                <w:szCs w:val="21"/>
                <w:highlight w:val="none"/>
                <w:lang w:val="en-US" w:eastAsia="zh-CN"/>
              </w:rPr>
              <w:t>2.19mg/m</w:t>
            </w:r>
            <w:r>
              <w:rPr>
                <w:rFonts w:hint="eastAsia"/>
                <w:bCs/>
                <w:color w:val="auto"/>
                <w:sz w:val="21"/>
                <w:szCs w:val="21"/>
                <w:highlight w:val="none"/>
                <w:vertAlign w:val="superscript"/>
                <w:lang w:val="en-US" w:eastAsia="zh-CN"/>
              </w:rPr>
              <w:t>3</w:t>
            </w:r>
            <w:r>
              <w:rPr>
                <w:rFonts w:hint="eastAsia"/>
                <w:bCs/>
                <w:color w:val="auto"/>
                <w:sz w:val="21"/>
                <w:szCs w:val="21"/>
                <w:highlight w:val="none"/>
                <w:lang w:val="en-US" w:eastAsia="zh-CN"/>
              </w:rPr>
              <w:t>，</w:t>
            </w:r>
            <w:r>
              <w:rPr>
                <w:rFonts w:hint="eastAsia"/>
                <w:bCs/>
                <w:color w:val="auto"/>
                <w:sz w:val="21"/>
                <w:szCs w:val="21"/>
                <w:highlight w:val="none"/>
                <w:lang w:eastAsia="zh-CN"/>
              </w:rPr>
              <w:t>臭气浓度</w:t>
            </w:r>
            <w:r>
              <w:rPr>
                <w:rFonts w:hint="eastAsia"/>
                <w:bCs/>
                <w:color w:val="auto"/>
                <w:sz w:val="21"/>
                <w:szCs w:val="21"/>
                <w:highlight w:val="none"/>
                <w:lang w:val="en-US" w:eastAsia="zh-CN"/>
              </w:rPr>
              <w:t>1513</w:t>
            </w:r>
            <w:r>
              <w:rPr>
                <w:rFonts w:hint="eastAsia"/>
                <w:bCs/>
                <w:color w:val="auto"/>
                <w:sz w:val="21"/>
                <w:szCs w:val="21"/>
                <w:highlight w:val="none"/>
              </w:rPr>
              <w:t>（无量纲）</w:t>
            </w:r>
            <w:r>
              <w:rPr>
                <w:rFonts w:hint="eastAsia"/>
                <w:bCs/>
                <w:color w:val="auto"/>
                <w:sz w:val="21"/>
                <w:szCs w:val="21"/>
                <w:highlight w:val="none"/>
                <w:lang w:val="en-US" w:eastAsia="zh-CN"/>
              </w:rPr>
              <w:t>，现有工程排水量为924.32m</w:t>
            </w:r>
            <w:r>
              <w:rPr>
                <w:rFonts w:hint="eastAsia"/>
                <w:bCs/>
                <w:color w:val="auto"/>
                <w:sz w:val="21"/>
                <w:szCs w:val="21"/>
                <w:highlight w:val="none"/>
                <w:vertAlign w:val="superscript"/>
                <w:lang w:val="en-US" w:eastAsia="zh-CN"/>
              </w:rPr>
              <w:t>3</w:t>
            </w:r>
            <w:r>
              <w:rPr>
                <w:rFonts w:hint="eastAsia"/>
                <w:bCs/>
                <w:color w:val="auto"/>
                <w:sz w:val="21"/>
                <w:szCs w:val="21"/>
                <w:highlight w:val="none"/>
                <w:lang w:val="en-US" w:eastAsia="zh-CN"/>
              </w:rPr>
              <w:t>/d，污水处理站尾气排气量20000m</w:t>
            </w:r>
            <w:r>
              <w:rPr>
                <w:rFonts w:hint="eastAsia"/>
                <w:bCs/>
                <w:color w:val="auto"/>
                <w:sz w:val="21"/>
                <w:szCs w:val="21"/>
                <w:highlight w:val="none"/>
                <w:vertAlign w:val="superscript"/>
                <w:lang w:val="en-US" w:eastAsia="zh-CN"/>
              </w:rPr>
              <w:t>3</w:t>
            </w:r>
            <w:r>
              <w:rPr>
                <w:rFonts w:hint="eastAsia"/>
                <w:bCs/>
                <w:color w:val="auto"/>
                <w:sz w:val="21"/>
                <w:szCs w:val="21"/>
                <w:highlight w:val="none"/>
                <w:lang w:val="en-US" w:eastAsia="zh-CN"/>
              </w:rPr>
              <w:t>/h，工作时间7200h，现有工程氨排放量为0.315t/a，硫化氢排放量为0.006t/a，本项目废水量6.86m</w:t>
            </w:r>
            <w:r>
              <w:rPr>
                <w:rFonts w:hint="eastAsia"/>
                <w:bCs/>
                <w:color w:val="auto"/>
                <w:sz w:val="21"/>
                <w:szCs w:val="21"/>
                <w:highlight w:val="none"/>
                <w:vertAlign w:val="superscript"/>
                <w:lang w:val="en-US" w:eastAsia="zh-CN"/>
              </w:rPr>
              <w:t>3</w:t>
            </w:r>
            <w:r>
              <w:rPr>
                <w:rFonts w:hint="eastAsia"/>
                <w:bCs/>
                <w:color w:val="auto"/>
                <w:sz w:val="21"/>
                <w:szCs w:val="21"/>
                <w:highlight w:val="none"/>
                <w:lang w:val="en-US" w:eastAsia="zh-CN"/>
              </w:rPr>
              <w:t>/d，则</w:t>
            </w:r>
            <w:r>
              <w:rPr>
                <w:rFonts w:hint="eastAsia"/>
                <w:bCs/>
                <w:color w:val="auto"/>
                <w:sz w:val="21"/>
                <w:szCs w:val="21"/>
                <w:highlight w:val="none"/>
                <w:lang w:eastAsia="zh-CN"/>
              </w:rPr>
              <w:t>氨</w:t>
            </w:r>
            <w:r>
              <w:rPr>
                <w:rFonts w:hint="eastAsia"/>
                <w:bCs/>
                <w:color w:val="auto"/>
                <w:sz w:val="21"/>
                <w:szCs w:val="21"/>
                <w:highlight w:val="none"/>
                <w:lang w:val="en-US" w:eastAsia="zh-CN"/>
              </w:rPr>
              <w:t>排放</w:t>
            </w:r>
            <w:r>
              <w:rPr>
                <w:rFonts w:hint="eastAsia"/>
                <w:bCs/>
                <w:color w:val="auto"/>
                <w:sz w:val="21"/>
                <w:szCs w:val="21"/>
                <w:highlight w:val="none"/>
                <w:lang w:eastAsia="zh-CN"/>
              </w:rPr>
              <w:t>量为</w:t>
            </w:r>
            <w:r>
              <w:rPr>
                <w:rFonts w:hint="eastAsia"/>
                <w:bCs/>
                <w:color w:val="auto"/>
                <w:sz w:val="21"/>
                <w:szCs w:val="21"/>
                <w:highlight w:val="none"/>
                <w:lang w:val="en-US" w:eastAsia="zh-CN"/>
              </w:rPr>
              <w:t>0.002t/a</w:t>
            </w:r>
            <w:r>
              <w:rPr>
                <w:rFonts w:hint="eastAsia"/>
                <w:bCs/>
                <w:color w:val="auto"/>
                <w:sz w:val="21"/>
                <w:szCs w:val="21"/>
                <w:highlight w:val="none"/>
              </w:rPr>
              <w:t>，</w:t>
            </w:r>
            <w:r>
              <w:rPr>
                <w:rFonts w:hint="eastAsia"/>
                <w:bCs/>
                <w:color w:val="auto"/>
                <w:sz w:val="21"/>
                <w:szCs w:val="21"/>
                <w:highlight w:val="none"/>
                <w:lang w:val="en-US" w:eastAsia="zh-CN"/>
              </w:rPr>
              <w:t>排放</w:t>
            </w:r>
            <w:r>
              <w:rPr>
                <w:rFonts w:hint="eastAsia"/>
                <w:bCs/>
                <w:color w:val="auto"/>
                <w:sz w:val="21"/>
                <w:szCs w:val="21"/>
                <w:highlight w:val="none"/>
                <w:lang w:eastAsia="zh-CN"/>
              </w:rPr>
              <w:t>浓度</w:t>
            </w:r>
            <w:r>
              <w:rPr>
                <w:rFonts w:hint="eastAsia"/>
                <w:bCs/>
                <w:color w:val="auto"/>
                <w:sz w:val="21"/>
                <w:szCs w:val="21"/>
                <w:highlight w:val="none"/>
                <w:lang w:val="en-US" w:eastAsia="zh-CN"/>
              </w:rPr>
              <w:t>0.016mg/m</w:t>
            </w:r>
            <w:r>
              <w:rPr>
                <w:rFonts w:hint="eastAsia"/>
                <w:bCs/>
                <w:color w:val="auto"/>
                <w:sz w:val="21"/>
                <w:szCs w:val="21"/>
                <w:highlight w:val="none"/>
                <w:vertAlign w:val="superscript"/>
                <w:lang w:val="en-US" w:eastAsia="zh-CN"/>
              </w:rPr>
              <w:t>3</w:t>
            </w:r>
            <w:r>
              <w:rPr>
                <w:rFonts w:hint="eastAsia"/>
                <w:bCs/>
                <w:color w:val="auto"/>
                <w:sz w:val="21"/>
                <w:szCs w:val="21"/>
                <w:highlight w:val="none"/>
                <w:vertAlign w:val="baseline"/>
                <w:lang w:val="en-US" w:eastAsia="zh-CN"/>
              </w:rPr>
              <w:t>，</w:t>
            </w:r>
            <w:r>
              <w:rPr>
                <w:rFonts w:hint="eastAsia"/>
                <w:bCs/>
                <w:color w:val="auto"/>
                <w:sz w:val="21"/>
                <w:szCs w:val="21"/>
                <w:highlight w:val="none"/>
              </w:rPr>
              <w:t>排放速率为0.</w:t>
            </w:r>
            <w:r>
              <w:rPr>
                <w:rFonts w:hint="eastAsia"/>
                <w:bCs/>
                <w:color w:val="auto"/>
                <w:sz w:val="21"/>
                <w:szCs w:val="21"/>
                <w:highlight w:val="none"/>
                <w:lang w:val="en-US" w:eastAsia="zh-CN"/>
              </w:rPr>
              <w:t>00033</w:t>
            </w:r>
            <w:r>
              <w:rPr>
                <w:rFonts w:hint="eastAsia"/>
                <w:bCs/>
                <w:color w:val="auto"/>
                <w:sz w:val="21"/>
                <w:szCs w:val="21"/>
                <w:highlight w:val="none"/>
              </w:rPr>
              <w:t>kg/h</w:t>
            </w:r>
            <w:r>
              <w:rPr>
                <w:rFonts w:hint="eastAsia"/>
                <w:bCs/>
                <w:color w:val="auto"/>
                <w:sz w:val="21"/>
                <w:szCs w:val="21"/>
                <w:highlight w:val="none"/>
                <w:lang w:eastAsia="zh-CN"/>
              </w:rPr>
              <w:t>；硫化氢</w:t>
            </w:r>
            <w:r>
              <w:rPr>
                <w:rFonts w:hint="eastAsia"/>
                <w:bCs/>
                <w:color w:val="auto"/>
                <w:sz w:val="21"/>
                <w:szCs w:val="21"/>
                <w:highlight w:val="none"/>
                <w:lang w:val="en-US" w:eastAsia="zh-CN"/>
              </w:rPr>
              <w:t>排放</w:t>
            </w:r>
            <w:r>
              <w:rPr>
                <w:rFonts w:hint="eastAsia"/>
                <w:bCs/>
                <w:color w:val="auto"/>
                <w:sz w:val="21"/>
                <w:szCs w:val="21"/>
                <w:highlight w:val="none"/>
                <w:lang w:eastAsia="zh-CN"/>
              </w:rPr>
              <w:t>量为</w:t>
            </w:r>
            <w:r>
              <w:rPr>
                <w:rFonts w:hint="eastAsia"/>
                <w:bCs/>
                <w:color w:val="auto"/>
                <w:sz w:val="21"/>
                <w:szCs w:val="21"/>
                <w:highlight w:val="none"/>
                <w:lang w:val="en-US" w:eastAsia="zh-CN"/>
              </w:rPr>
              <w:t>0.00004t/a</w:t>
            </w:r>
            <w:r>
              <w:rPr>
                <w:rFonts w:hint="eastAsia"/>
                <w:bCs/>
                <w:color w:val="auto"/>
                <w:sz w:val="21"/>
                <w:szCs w:val="21"/>
                <w:highlight w:val="none"/>
              </w:rPr>
              <w:t>，</w:t>
            </w:r>
            <w:r>
              <w:rPr>
                <w:rFonts w:hint="eastAsia"/>
                <w:bCs/>
                <w:color w:val="auto"/>
                <w:sz w:val="21"/>
                <w:szCs w:val="21"/>
                <w:highlight w:val="none"/>
                <w:lang w:val="en-US" w:eastAsia="zh-CN"/>
              </w:rPr>
              <w:t>排放</w:t>
            </w:r>
            <w:r>
              <w:rPr>
                <w:rFonts w:hint="eastAsia"/>
                <w:bCs/>
                <w:color w:val="auto"/>
                <w:sz w:val="21"/>
                <w:szCs w:val="21"/>
                <w:highlight w:val="none"/>
                <w:lang w:eastAsia="zh-CN"/>
              </w:rPr>
              <w:t>浓度</w:t>
            </w:r>
            <w:r>
              <w:rPr>
                <w:rFonts w:hint="eastAsia"/>
                <w:bCs/>
                <w:color w:val="auto"/>
                <w:sz w:val="21"/>
                <w:szCs w:val="21"/>
                <w:highlight w:val="none"/>
                <w:lang w:val="en-US" w:eastAsia="zh-CN"/>
              </w:rPr>
              <w:t>0.0003mg/m</w:t>
            </w:r>
            <w:r>
              <w:rPr>
                <w:rFonts w:hint="eastAsia"/>
                <w:bCs/>
                <w:color w:val="auto"/>
                <w:sz w:val="21"/>
                <w:szCs w:val="21"/>
                <w:highlight w:val="none"/>
                <w:vertAlign w:val="superscript"/>
                <w:lang w:val="en-US" w:eastAsia="zh-CN"/>
              </w:rPr>
              <w:t>3</w:t>
            </w:r>
            <w:r>
              <w:rPr>
                <w:rFonts w:hint="eastAsia"/>
                <w:bCs/>
                <w:color w:val="auto"/>
                <w:sz w:val="21"/>
                <w:szCs w:val="21"/>
                <w:highlight w:val="none"/>
                <w:lang w:val="en-US" w:eastAsia="zh-CN"/>
              </w:rPr>
              <w:t>，</w:t>
            </w:r>
            <w:r>
              <w:rPr>
                <w:rFonts w:hint="eastAsia"/>
                <w:bCs/>
                <w:color w:val="auto"/>
                <w:sz w:val="21"/>
                <w:szCs w:val="21"/>
                <w:highlight w:val="none"/>
              </w:rPr>
              <w:t>排放速率为</w:t>
            </w:r>
            <w:r>
              <w:rPr>
                <w:rFonts w:hint="eastAsia"/>
                <w:bCs/>
                <w:color w:val="auto"/>
                <w:sz w:val="21"/>
                <w:szCs w:val="21"/>
                <w:highlight w:val="none"/>
                <w:lang w:val="en-US" w:eastAsia="zh-CN"/>
              </w:rPr>
              <w:t>6.1×10</w:t>
            </w:r>
            <w:r>
              <w:rPr>
                <w:rFonts w:hint="eastAsia"/>
                <w:bCs/>
                <w:color w:val="auto"/>
                <w:sz w:val="21"/>
                <w:szCs w:val="21"/>
                <w:highlight w:val="none"/>
                <w:vertAlign w:val="superscript"/>
                <w:lang w:val="en-US" w:eastAsia="zh-CN"/>
              </w:rPr>
              <w:t>-6</w:t>
            </w:r>
            <w:r>
              <w:rPr>
                <w:rFonts w:hint="eastAsia"/>
                <w:bCs/>
                <w:color w:val="auto"/>
                <w:sz w:val="21"/>
                <w:szCs w:val="21"/>
                <w:highlight w:val="none"/>
              </w:rPr>
              <w:t>kg/h</w:t>
            </w:r>
            <w:r>
              <w:rPr>
                <w:rFonts w:hint="eastAsia" w:eastAsia="宋体" w:cs="Times New Roman"/>
                <w:color w:val="auto"/>
                <w:sz w:val="21"/>
                <w:szCs w:val="21"/>
                <w:highlight w:val="none"/>
                <w:lang w:val="en-US" w:eastAsia="zh-CN"/>
              </w:rPr>
              <w:t>。</w:t>
            </w:r>
            <w:bookmarkStart w:id="37" w:name="OLE_LINK10"/>
            <w:r>
              <w:rPr>
                <w:rFonts w:hint="eastAsia" w:eastAsia="宋体" w:cs="Times New Roman"/>
                <w:color w:val="auto"/>
                <w:sz w:val="21"/>
                <w:szCs w:val="21"/>
                <w:highlight w:val="none"/>
                <w:lang w:val="en-US" w:eastAsia="zh-CN"/>
              </w:rPr>
              <w:t>本项目仅少量新增废水，污水站收集系统、尾气处理装置、排气风量均无变化，</w:t>
            </w:r>
            <w:r>
              <w:rPr>
                <w:rFonts w:hint="eastAsia" w:cs="Times New Roman"/>
                <w:color w:val="auto"/>
                <w:sz w:val="21"/>
                <w:szCs w:val="21"/>
                <w:highlight w:val="none"/>
                <w:lang w:val="en-US" w:eastAsia="zh-CN"/>
              </w:rPr>
              <w:t>新增恶臭贡献极小</w:t>
            </w:r>
            <w:r>
              <w:rPr>
                <w:rFonts w:hint="eastAsia" w:eastAsia="宋体" w:cs="Times New Roman"/>
                <w:color w:val="auto"/>
                <w:sz w:val="21"/>
                <w:szCs w:val="21"/>
                <w:highlight w:val="none"/>
                <w:lang w:val="en-US" w:eastAsia="zh-CN"/>
              </w:rPr>
              <w:t>。经校核</w:t>
            </w:r>
            <w:r>
              <w:rPr>
                <w:rFonts w:hint="eastAsia" w:cs="Times New Roman"/>
                <w:color w:val="auto"/>
                <w:sz w:val="21"/>
                <w:szCs w:val="21"/>
                <w:highlight w:val="none"/>
                <w:lang w:val="en-US" w:eastAsia="zh-CN"/>
              </w:rPr>
              <w:t>，</w:t>
            </w:r>
            <w:r>
              <w:rPr>
                <w:rFonts w:hint="eastAsia"/>
                <w:bCs/>
                <w:color w:val="auto"/>
                <w:sz w:val="21"/>
                <w:szCs w:val="21"/>
                <w:highlight w:val="none"/>
              </w:rPr>
              <w:t>氨、</w:t>
            </w:r>
            <w:r>
              <w:rPr>
                <w:rFonts w:hint="eastAsia"/>
                <w:bCs/>
                <w:color w:val="auto"/>
                <w:sz w:val="21"/>
                <w:szCs w:val="21"/>
                <w:highlight w:val="none"/>
                <w:lang w:val="en-US" w:eastAsia="zh-CN"/>
              </w:rPr>
              <w:t>硫化氢、</w:t>
            </w:r>
            <w:r>
              <w:rPr>
                <w:rFonts w:hint="eastAsia"/>
                <w:bCs/>
                <w:color w:val="auto"/>
                <w:sz w:val="21"/>
                <w:szCs w:val="21"/>
                <w:highlight w:val="none"/>
              </w:rPr>
              <w:t>臭气浓度排放符合《恶臭污染物排放标准》(GB14554－93)表1新扩改建二级标准及表2标准。</w:t>
            </w:r>
            <w:bookmarkEnd w:id="37"/>
          </w:p>
          <w:p w14:paraId="30D48FEE">
            <w:pPr>
              <w:keepNext w:val="0"/>
              <w:keepLines w:val="0"/>
              <w:pageBreakBefore w:val="0"/>
              <w:widowControl w:val="0"/>
              <w:numPr>
                <w:ilvl w:val="0"/>
                <w:numId w:val="8"/>
              </w:numPr>
              <w:kinsoku/>
              <w:wordWrap/>
              <w:overflowPunct/>
              <w:topLinePunct w:val="0"/>
              <w:autoSpaceDE/>
              <w:autoSpaceDN/>
              <w:bidi w:val="0"/>
              <w:adjustRightInd/>
              <w:snapToGrid/>
              <w:spacing w:beforeAutospacing="0" w:afterAutospacing="0" w:line="336" w:lineRule="auto"/>
              <w:ind w:left="0" w:leftChars="0"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无组织废气</w:t>
            </w:r>
          </w:p>
          <w:p w14:paraId="71D7561C">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eastAsia" w:ascii="Times New Roman" w:hAnsi="Times New Roman" w:eastAsia="宋体" w:cs="Times New Roman"/>
                <w:bCs/>
                <w:color w:val="5300FF"/>
                <w:kern w:val="2"/>
                <w:sz w:val="21"/>
                <w:szCs w:val="21"/>
                <w:highlight w:val="none"/>
                <w:lang w:val="en-US" w:eastAsia="zh-CN" w:bidi="ar-SA"/>
              </w:rPr>
            </w:pPr>
            <w:r>
              <w:rPr>
                <w:rFonts w:hint="eastAsia" w:ascii="Times New Roman" w:hAnsi="Times New Roman" w:eastAsia="宋体" w:cs="Times New Roman"/>
                <w:bCs/>
                <w:color w:val="5300FF"/>
                <w:kern w:val="2"/>
                <w:sz w:val="21"/>
                <w:szCs w:val="21"/>
                <w:highlight w:val="none"/>
                <w:lang w:val="en-US" w:eastAsia="zh-CN" w:bidi="ar-SA"/>
              </w:rPr>
              <w:t>所有粉状原料全部存入密闭专用仓库分类储存，严禁露天堆放、随意散落；原料库房采用全封闭围护结构，墙体及门窗密闭严实，定期检修封堵缝隙，有效阻挡粉尘向外逸散。日常定期对库房地面、厂区道路及运输车辆进行清扫洒水抑尘，及时清理散落粉料，从原料储存、场内转运到装卸作业全流程落实管控，最大限度削减无组织粉尘排放。污泥暂存于密闭式一般固废贮存间内，贮存间整体墙体密闭、门窗日常关闭，封堵墙体及门窗缝隙，减少异味向外扩散。厂区产生的污泥均采用防渗密封编织袋/加厚密封塑料袋进行严实打包封装，做到袋装严实、封口紧密，杜绝污泥裸露堆放，从源头抑制恶臭气体散发。日常定期在一般固废间内部及堆放区域喷洒环保型生物除臭药剂，进一步弱化异味浓度。污泥外运全程使用密闭专用车辆转运，装车过程快速作业，减少敞口暴露时间，全方位依靠密闭包装、密闭库房封存及精细化管理措施，有效控制恶臭无组织扩散。</w:t>
            </w:r>
          </w:p>
          <w:p w14:paraId="5C52796E">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①甘氨酸螯合物一车间</w:t>
            </w:r>
            <w:r>
              <w:rPr>
                <w:rFonts w:hint="eastAsia" w:ascii="Times New Roman" w:hAnsi="Times New Roman" w:eastAsia="宋体" w:cs="Times New Roman"/>
                <w:b w:val="0"/>
                <w:bCs/>
                <w:color w:val="auto"/>
                <w:kern w:val="2"/>
                <w:sz w:val="21"/>
                <w:szCs w:val="21"/>
                <w:highlight w:val="none"/>
                <w:lang w:val="en-US" w:eastAsia="zh-CN" w:bidi="ar-SA"/>
              </w:rPr>
              <w:t>无组织废气</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无组织废气中颗粒物</w:t>
            </w:r>
            <w:r>
              <w:rPr>
                <w:rFonts w:hint="eastAsia" w:cs="Times New Roman"/>
                <w:b w:val="0"/>
                <w:bCs/>
                <w:color w:val="auto"/>
                <w:kern w:val="2"/>
                <w:sz w:val="21"/>
                <w:szCs w:val="21"/>
                <w:highlight w:val="none"/>
                <w:lang w:val="en-US" w:eastAsia="zh-CN" w:bidi="ar-SA"/>
              </w:rPr>
              <w:t>排放量为0.168t/a。</w:t>
            </w:r>
          </w:p>
          <w:p w14:paraId="61FD77CB">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②</w:t>
            </w:r>
            <w:r>
              <w:rPr>
                <w:rFonts w:hint="eastAsia" w:ascii="Times New Roman" w:hAnsi="Times New Roman" w:eastAsia="宋体" w:cs="Times New Roman"/>
                <w:b w:val="0"/>
                <w:bCs/>
                <w:color w:val="auto"/>
                <w:kern w:val="2"/>
                <w:sz w:val="21"/>
                <w:szCs w:val="21"/>
                <w:highlight w:val="none"/>
                <w:lang w:val="en-US" w:eastAsia="zh-CN" w:bidi="ar-SA"/>
              </w:rPr>
              <w:t>污水处理车间</w:t>
            </w:r>
            <w:r>
              <w:rPr>
                <w:rFonts w:hint="default" w:ascii="Times New Roman" w:hAnsi="Times New Roman" w:eastAsia="宋体" w:cs="Times New Roman"/>
                <w:b w:val="0"/>
                <w:bCs/>
                <w:color w:val="auto"/>
                <w:kern w:val="2"/>
                <w:sz w:val="21"/>
                <w:szCs w:val="21"/>
                <w:highlight w:val="none"/>
                <w:lang w:val="en-US" w:eastAsia="zh-CN" w:bidi="ar-SA"/>
              </w:rPr>
              <w:t>废气</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本项目</w:t>
            </w:r>
            <w:r>
              <w:rPr>
                <w:rFonts w:hint="eastAsia" w:ascii="Times New Roman" w:hAnsi="Times New Roman" w:eastAsia="宋体" w:cs="Times New Roman"/>
                <w:b w:val="0"/>
                <w:bCs/>
                <w:color w:val="auto"/>
                <w:kern w:val="2"/>
                <w:sz w:val="21"/>
                <w:szCs w:val="21"/>
                <w:highlight w:val="none"/>
                <w:lang w:val="en-US" w:eastAsia="zh-CN" w:bidi="ar-SA"/>
              </w:rPr>
              <w:t>污水处理车间</w:t>
            </w:r>
            <w:r>
              <w:rPr>
                <w:rFonts w:hint="default" w:ascii="Times New Roman" w:hAnsi="Times New Roman" w:eastAsia="宋体" w:cs="Times New Roman"/>
                <w:b w:val="0"/>
                <w:bCs/>
                <w:color w:val="auto"/>
                <w:kern w:val="2"/>
                <w:sz w:val="21"/>
                <w:szCs w:val="21"/>
                <w:highlight w:val="none"/>
                <w:lang w:val="en-US" w:eastAsia="zh-CN" w:bidi="ar-SA"/>
              </w:rPr>
              <w:t>恶臭</w:t>
            </w:r>
            <w:r>
              <w:rPr>
                <w:rFonts w:hint="eastAsia" w:cs="Times New Roman"/>
                <w:b w:val="0"/>
                <w:bCs/>
                <w:color w:val="auto"/>
                <w:kern w:val="2"/>
                <w:sz w:val="21"/>
                <w:szCs w:val="21"/>
                <w:highlight w:val="none"/>
                <w:lang w:val="en-US" w:eastAsia="zh-CN" w:bidi="ar-SA"/>
              </w:rPr>
              <w:t>气体</w:t>
            </w:r>
            <w:r>
              <w:rPr>
                <w:rFonts w:hint="default" w:ascii="Times New Roman" w:hAnsi="Times New Roman" w:eastAsia="宋体" w:cs="Times New Roman"/>
                <w:b w:val="0"/>
                <w:bCs/>
                <w:color w:val="auto"/>
                <w:kern w:val="2"/>
                <w:sz w:val="21"/>
                <w:szCs w:val="21"/>
                <w:highlight w:val="none"/>
                <w:lang w:val="en-US" w:eastAsia="zh-CN" w:bidi="ar-SA"/>
              </w:rPr>
              <w:t>无组织排放，</w:t>
            </w:r>
            <w:r>
              <w:rPr>
                <w:rFonts w:hint="eastAsia" w:cs="Times New Roman"/>
                <w:b w:val="0"/>
                <w:bCs/>
                <w:color w:val="auto"/>
                <w:kern w:val="2"/>
                <w:sz w:val="21"/>
                <w:szCs w:val="21"/>
                <w:highlight w:val="none"/>
                <w:lang w:val="en-US" w:eastAsia="zh-CN" w:bidi="ar-SA"/>
              </w:rPr>
              <w:t>污水处理站密闭，收集效率95%，经计算，</w:t>
            </w:r>
            <w:r>
              <w:rPr>
                <w:rFonts w:hint="eastAsia" w:ascii="Times New Roman" w:hAnsi="Times New Roman" w:eastAsia="宋体" w:cs="Times New Roman"/>
                <w:b w:val="0"/>
                <w:bCs/>
                <w:color w:val="auto"/>
                <w:kern w:val="2"/>
                <w:sz w:val="21"/>
                <w:szCs w:val="21"/>
                <w:highlight w:val="none"/>
                <w:lang w:val="en-US" w:eastAsia="zh-CN" w:bidi="ar-SA"/>
              </w:rPr>
              <w:t>氨无组织</w:t>
            </w:r>
            <w:r>
              <w:rPr>
                <w:rFonts w:hint="default" w:ascii="Times New Roman" w:hAnsi="Times New Roman" w:eastAsia="宋体" w:cs="Times New Roman"/>
                <w:b w:val="0"/>
                <w:bCs/>
                <w:color w:val="auto"/>
                <w:kern w:val="2"/>
                <w:sz w:val="21"/>
                <w:szCs w:val="21"/>
                <w:highlight w:val="none"/>
                <w:lang w:val="en-US" w:eastAsia="zh-CN" w:bidi="ar-SA"/>
              </w:rPr>
              <w:t>排放量</w:t>
            </w:r>
            <w:r>
              <w:rPr>
                <w:rFonts w:hint="eastAsia"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0.001</w:t>
            </w:r>
            <w:r>
              <w:rPr>
                <w:rFonts w:hint="eastAsia" w:ascii="Times New Roman" w:hAnsi="Times New Roman" w:eastAsia="宋体" w:cs="Times New Roman"/>
                <w:b w:val="0"/>
                <w:bCs/>
                <w:color w:val="auto"/>
                <w:kern w:val="2"/>
                <w:sz w:val="21"/>
                <w:szCs w:val="21"/>
                <w:highlight w:val="none"/>
                <w:lang w:val="en-US" w:eastAsia="zh-CN" w:bidi="ar-SA"/>
              </w:rPr>
              <w:t>t</w:t>
            </w:r>
            <w:r>
              <w:rPr>
                <w:rFonts w:hint="default" w:ascii="Times New Roman" w:hAnsi="Times New Roman" w:eastAsia="宋体" w:cs="Times New Roman"/>
                <w:b w:val="0"/>
                <w:bCs/>
                <w:color w:val="auto"/>
                <w:kern w:val="2"/>
                <w:sz w:val="21"/>
                <w:szCs w:val="21"/>
                <w:highlight w:val="none"/>
                <w:lang w:val="en-US" w:eastAsia="zh-CN" w:bidi="ar-SA"/>
              </w:rPr>
              <w:t>/a；</w:t>
            </w:r>
            <w:r>
              <w:rPr>
                <w:rFonts w:hint="eastAsia" w:ascii="Times New Roman" w:hAnsi="Times New Roman" w:eastAsia="宋体" w:cs="Times New Roman"/>
                <w:b w:val="0"/>
                <w:bCs/>
                <w:color w:val="auto"/>
                <w:kern w:val="2"/>
                <w:sz w:val="21"/>
                <w:szCs w:val="21"/>
                <w:highlight w:val="none"/>
                <w:lang w:val="en-US" w:eastAsia="zh-CN" w:bidi="ar-SA"/>
              </w:rPr>
              <w:t>硫化氢无组织</w:t>
            </w:r>
            <w:r>
              <w:rPr>
                <w:rFonts w:hint="default" w:ascii="Times New Roman" w:hAnsi="Times New Roman" w:eastAsia="宋体" w:cs="Times New Roman"/>
                <w:b w:val="0"/>
                <w:bCs/>
                <w:color w:val="auto"/>
                <w:kern w:val="2"/>
                <w:sz w:val="21"/>
                <w:szCs w:val="21"/>
                <w:highlight w:val="none"/>
                <w:lang w:val="en-US" w:eastAsia="zh-CN" w:bidi="ar-SA"/>
              </w:rPr>
              <w:t>排放量</w:t>
            </w:r>
            <w:r>
              <w:rPr>
                <w:rFonts w:hint="eastAsia" w:ascii="Times New Roman" w:hAnsi="Times New Roman" w:eastAsia="宋体" w:cs="Times New Roman"/>
                <w:b w:val="0"/>
                <w:bCs/>
                <w:color w:val="auto"/>
                <w:kern w:val="2"/>
                <w:sz w:val="21"/>
                <w:szCs w:val="21"/>
                <w:highlight w:val="none"/>
                <w:lang w:val="en-US" w:eastAsia="zh-CN" w:bidi="ar-SA"/>
              </w:rPr>
              <w:t>为</w:t>
            </w:r>
            <w:r>
              <w:rPr>
                <w:rFonts w:hint="eastAsia" w:cs="Times New Roman"/>
                <w:b w:val="0"/>
                <w:bCs/>
                <w:color w:val="auto"/>
                <w:kern w:val="2"/>
                <w:sz w:val="21"/>
                <w:szCs w:val="21"/>
                <w:highlight w:val="none"/>
                <w:lang w:val="en-US" w:eastAsia="zh-CN" w:bidi="ar-SA"/>
              </w:rPr>
              <w:t>0.00002</w:t>
            </w:r>
            <w:r>
              <w:rPr>
                <w:rFonts w:hint="eastAsia" w:ascii="Times New Roman" w:hAnsi="Times New Roman" w:eastAsia="宋体" w:cs="Times New Roman"/>
                <w:b w:val="0"/>
                <w:bCs/>
                <w:color w:val="auto"/>
                <w:kern w:val="2"/>
                <w:sz w:val="21"/>
                <w:szCs w:val="21"/>
                <w:highlight w:val="none"/>
                <w:lang w:val="en-US" w:eastAsia="zh-CN" w:bidi="ar-SA"/>
              </w:rPr>
              <w:t>t</w:t>
            </w:r>
            <w:r>
              <w:rPr>
                <w:rFonts w:hint="default" w:ascii="Times New Roman" w:hAnsi="Times New Roman" w:eastAsia="宋体" w:cs="Times New Roman"/>
                <w:b w:val="0"/>
                <w:bCs/>
                <w:color w:val="auto"/>
                <w:kern w:val="2"/>
                <w:sz w:val="21"/>
                <w:szCs w:val="21"/>
                <w:highlight w:val="none"/>
                <w:lang w:val="en-US" w:eastAsia="zh-CN" w:bidi="ar-SA"/>
              </w:rPr>
              <w:t>/a；臭气浓度</w:t>
            </w:r>
            <w:r>
              <w:rPr>
                <w:rFonts w:hint="eastAsia" w:ascii="Times New Roman" w:hAnsi="Times New Roman" w:eastAsia="宋体" w:cs="Times New Roman"/>
                <w:b w:val="0"/>
                <w:bCs/>
                <w:color w:val="auto"/>
                <w:kern w:val="2"/>
                <w:sz w:val="21"/>
                <w:szCs w:val="21"/>
                <w:highlight w:val="none"/>
                <w:lang w:val="en-US" w:eastAsia="zh-CN" w:bidi="ar-SA"/>
              </w:rPr>
              <w:t>排放浓度</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1</w:t>
            </w:r>
            <w:r>
              <w:rPr>
                <w:rFonts w:hint="default" w:ascii="Times New Roman" w:hAnsi="Times New Roman" w:eastAsia="宋体" w:cs="Times New Roman"/>
                <w:b w:val="0"/>
                <w:bCs/>
                <w:color w:val="auto"/>
                <w:kern w:val="2"/>
                <w:sz w:val="21"/>
                <w:szCs w:val="21"/>
                <w:highlight w:val="none"/>
                <w:lang w:val="en-US" w:eastAsia="zh-CN" w:bidi="ar-SA"/>
              </w:rPr>
              <w:t>0（无量纲）。</w:t>
            </w:r>
          </w:p>
          <w:p w14:paraId="2F1FDE23">
            <w:pPr>
              <w:keepNext w:val="0"/>
              <w:keepLines w:val="0"/>
              <w:pageBreakBefore w:val="0"/>
              <w:widowControl w:val="0"/>
              <w:kinsoku/>
              <w:wordWrap/>
              <w:overflowPunct/>
              <w:topLinePunct w:val="0"/>
              <w:autoSpaceDE/>
              <w:autoSpaceDN/>
              <w:bidi w:val="0"/>
              <w:adjustRightInd/>
              <w:snapToGrid/>
              <w:spacing w:beforeAutospacing="0" w:afterAutospacing="0" w:line="336" w:lineRule="auto"/>
              <w:ind w:firstLine="420" w:firstLineChars="200"/>
              <w:jc w:val="both"/>
              <w:textAlignment w:val="auto"/>
              <w:outlineLvl w:val="1"/>
              <w:rPr>
                <w:rFonts w:hint="eastAsia" w:ascii="宋体" w:hAnsi="宋体" w:cs="宋体"/>
                <w:bCs/>
                <w:color w:val="auto"/>
                <w:spacing w:val="-10"/>
                <w:sz w:val="21"/>
                <w:szCs w:val="21"/>
                <w:highlight w:val="none"/>
                <w:lang w:val="en-US" w:eastAsia="zh-CN"/>
              </w:rPr>
            </w:pPr>
            <w:r>
              <w:rPr>
                <w:rFonts w:hint="eastAsia" w:cs="Times New Roman"/>
                <w:b w:val="0"/>
                <w:bCs/>
                <w:color w:val="auto"/>
                <w:kern w:val="2"/>
                <w:sz w:val="21"/>
                <w:szCs w:val="21"/>
                <w:highlight w:val="none"/>
                <w:lang w:val="en-US" w:eastAsia="zh-CN" w:bidi="ar-SA"/>
              </w:rPr>
              <w:t>根据《环境影响评价技术导则-大气环境（HJ2.2-2018）附录A推荐模型中的AERSCREEN模型计算得出无组织排放废气中颗粒物、氨、硫化氢厂界浓度最大值分别为0.013</w:t>
            </w:r>
            <w:r>
              <w:rPr>
                <w:rFonts w:hint="eastAsia"/>
                <w:bCs/>
                <w:color w:val="auto"/>
                <w:sz w:val="21"/>
                <w:szCs w:val="21"/>
                <w:highlight w:val="none"/>
                <w:lang w:val="en-US" w:eastAsia="zh-CN"/>
              </w:rPr>
              <w:t>mg/m</w:t>
            </w:r>
            <w:r>
              <w:rPr>
                <w:rFonts w:hint="eastAsia"/>
                <w:bCs/>
                <w:color w:val="auto"/>
                <w:sz w:val="21"/>
                <w:szCs w:val="21"/>
                <w:highlight w:val="none"/>
                <w:vertAlign w:val="superscript"/>
                <w:lang w:val="en-US" w:eastAsia="zh-CN"/>
              </w:rPr>
              <w:t>3</w:t>
            </w:r>
            <w:r>
              <w:rPr>
                <w:rFonts w:hint="eastAsia"/>
                <w:bCs/>
                <w:color w:val="auto"/>
                <w:sz w:val="21"/>
                <w:szCs w:val="21"/>
                <w:highlight w:val="none"/>
              </w:rPr>
              <w:t>、</w:t>
            </w:r>
            <w:r>
              <w:rPr>
                <w:rFonts w:hint="eastAsia"/>
                <w:bCs/>
                <w:color w:val="auto"/>
                <w:sz w:val="21"/>
                <w:szCs w:val="21"/>
                <w:highlight w:val="none"/>
                <w:lang w:val="en-US" w:eastAsia="zh-CN"/>
              </w:rPr>
              <w:t>0.00008mg/m</w:t>
            </w:r>
            <w:r>
              <w:rPr>
                <w:rFonts w:hint="eastAsia"/>
                <w:bCs/>
                <w:color w:val="auto"/>
                <w:sz w:val="21"/>
                <w:szCs w:val="21"/>
                <w:highlight w:val="none"/>
                <w:vertAlign w:val="superscript"/>
                <w:lang w:val="en-US" w:eastAsia="zh-CN"/>
              </w:rPr>
              <w:t>3</w:t>
            </w:r>
            <w:r>
              <w:rPr>
                <w:rFonts w:hint="eastAsia"/>
                <w:bCs/>
                <w:color w:val="auto"/>
                <w:sz w:val="21"/>
                <w:szCs w:val="21"/>
                <w:highlight w:val="none"/>
              </w:rPr>
              <w:t>、</w:t>
            </w:r>
            <w:r>
              <w:rPr>
                <w:rFonts w:hint="eastAsia"/>
                <w:bCs/>
                <w:color w:val="auto"/>
                <w:sz w:val="21"/>
                <w:szCs w:val="21"/>
                <w:highlight w:val="none"/>
                <w:lang w:val="en-US" w:eastAsia="zh-CN"/>
              </w:rPr>
              <w:t>0.0000015mg/m</w:t>
            </w:r>
            <w:r>
              <w:rPr>
                <w:rFonts w:hint="eastAsia"/>
                <w:bCs/>
                <w:color w:val="auto"/>
                <w:sz w:val="21"/>
                <w:szCs w:val="21"/>
                <w:highlight w:val="none"/>
                <w:vertAlign w:val="superscript"/>
                <w:lang w:val="en-US" w:eastAsia="zh-CN"/>
              </w:rPr>
              <w:t>3</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ascii="Times New Roman" w:hAnsi="Times New Roman" w:eastAsia="宋体" w:cs="Times New Roman"/>
                <w:b w:val="0"/>
                <w:bCs/>
                <w:color w:val="auto"/>
                <w:kern w:val="2"/>
                <w:sz w:val="21"/>
                <w:szCs w:val="21"/>
                <w:highlight w:val="none"/>
                <w:lang w:val="en-US" w:eastAsia="zh-CN" w:bidi="ar-SA"/>
              </w:rPr>
              <w:t>项目</w:t>
            </w:r>
            <w:r>
              <w:rPr>
                <w:rFonts w:hint="default" w:ascii="Times New Roman" w:hAnsi="Times New Roman" w:eastAsia="宋体" w:cs="Times New Roman"/>
                <w:b w:val="0"/>
                <w:bCs/>
                <w:color w:val="auto"/>
                <w:kern w:val="2"/>
                <w:sz w:val="21"/>
                <w:szCs w:val="21"/>
                <w:highlight w:val="none"/>
                <w:lang w:val="en-US" w:eastAsia="zh-CN" w:bidi="ar-SA"/>
              </w:rPr>
              <w:t>厂界无组织颗粒物排放</w:t>
            </w:r>
            <w:r>
              <w:rPr>
                <w:rFonts w:hint="eastAsia" w:ascii="Times New Roman" w:hAnsi="Times New Roman" w:eastAsia="宋体" w:cs="Times New Roman"/>
                <w:b w:val="0"/>
                <w:bCs/>
                <w:color w:val="auto"/>
                <w:kern w:val="2"/>
                <w:sz w:val="21"/>
                <w:szCs w:val="21"/>
                <w:highlight w:val="none"/>
                <w:lang w:val="en-US" w:eastAsia="zh-CN" w:bidi="ar-SA"/>
              </w:rPr>
              <w:t>满足</w:t>
            </w:r>
            <w:r>
              <w:rPr>
                <w:rFonts w:hint="default" w:ascii="Times New Roman" w:hAnsi="Times New Roman" w:eastAsia="宋体" w:cs="Times New Roman"/>
                <w:b w:val="0"/>
                <w:bCs/>
                <w:color w:val="auto"/>
                <w:kern w:val="2"/>
                <w:sz w:val="21"/>
                <w:szCs w:val="21"/>
                <w:highlight w:val="none"/>
                <w:lang w:val="en-US" w:eastAsia="zh-CN" w:bidi="ar-SA"/>
              </w:rPr>
              <w:t>《大气污染物综合排放标准》（GB16297-1996）表2无组织排放监控浓度限值；</w:t>
            </w:r>
            <w:r>
              <w:rPr>
                <w:rFonts w:hint="eastAsia" w:cs="Times New Roman"/>
                <w:b w:val="0"/>
                <w:bCs/>
                <w:color w:val="auto"/>
                <w:kern w:val="2"/>
                <w:sz w:val="21"/>
                <w:szCs w:val="21"/>
                <w:highlight w:val="none"/>
                <w:lang w:val="en-US" w:eastAsia="zh-CN" w:bidi="ar-SA"/>
              </w:rPr>
              <w:t>厂界氨、硫化氢、</w:t>
            </w:r>
            <w:r>
              <w:rPr>
                <w:rFonts w:hint="default" w:ascii="Times New Roman" w:hAnsi="Times New Roman" w:eastAsia="宋体" w:cs="Times New Roman"/>
                <w:b w:val="0"/>
                <w:bCs/>
                <w:color w:val="auto"/>
                <w:kern w:val="2"/>
                <w:sz w:val="21"/>
                <w:szCs w:val="21"/>
                <w:highlight w:val="none"/>
                <w:lang w:val="en-US" w:eastAsia="zh-CN" w:bidi="ar-SA"/>
              </w:rPr>
              <w:t>臭气浓度排放</w:t>
            </w:r>
            <w:r>
              <w:rPr>
                <w:rFonts w:hint="eastAsia" w:ascii="Times New Roman" w:hAnsi="Times New Roman" w:eastAsia="宋体" w:cs="Times New Roman"/>
                <w:b w:val="0"/>
                <w:bCs/>
                <w:color w:val="auto"/>
                <w:kern w:val="2"/>
                <w:sz w:val="21"/>
                <w:szCs w:val="21"/>
                <w:highlight w:val="none"/>
                <w:lang w:val="en-US" w:eastAsia="zh-CN" w:bidi="ar-SA"/>
              </w:rPr>
              <w:t>满足</w:t>
            </w:r>
            <w:r>
              <w:rPr>
                <w:rFonts w:hint="default" w:ascii="Times New Roman" w:hAnsi="Times New Roman" w:eastAsia="宋体" w:cs="Times New Roman"/>
                <w:b w:val="0"/>
                <w:bCs/>
                <w:color w:val="auto"/>
                <w:kern w:val="2"/>
                <w:sz w:val="21"/>
                <w:szCs w:val="21"/>
                <w:highlight w:val="none"/>
                <w:lang w:val="en-US" w:eastAsia="zh-CN" w:bidi="ar-SA"/>
              </w:rPr>
              <w:t>《恶臭污染物排放标准》（GB14554-93）表1中二级新扩改建项目恶臭污染物厂界标准值。</w:t>
            </w:r>
          </w:p>
        </w:tc>
      </w:tr>
    </w:tbl>
    <w:p w14:paraId="65510FD5">
      <w:pPr>
        <w:rPr>
          <w:color w:val="auto"/>
          <w:highlight w:val="none"/>
        </w:rPr>
        <w:sectPr>
          <w:pgSz w:w="11907" w:h="16840"/>
          <w:pgMar w:top="1701" w:right="1531" w:bottom="1644"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46"/>
        <w:gridCol w:w="12562"/>
      </w:tblGrid>
      <w:tr w14:paraId="052954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18" w:type="pct"/>
            <w:noWrap w:val="0"/>
            <w:vAlign w:val="center"/>
          </w:tcPr>
          <w:p w14:paraId="041F7433">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4659818B">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48006006">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347CF228">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00E71D08">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12D3D0B7">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bCs/>
                <w:color w:val="auto"/>
                <w:sz w:val="21"/>
                <w:szCs w:val="21"/>
                <w:highlight w:val="none"/>
              </w:rPr>
              <w:t>措施</w:t>
            </w:r>
          </w:p>
        </w:tc>
        <w:tc>
          <w:tcPr>
            <w:tcW w:w="4581" w:type="pct"/>
            <w:noWrap w:val="0"/>
            <w:vAlign w:val="center"/>
          </w:tcPr>
          <w:p w14:paraId="5E852269">
            <w:pPr>
              <w:keepNext w:val="0"/>
              <w:keepLines w:val="0"/>
              <w:pageBreakBefore w:val="0"/>
              <w:widowControl w:val="0"/>
              <w:kinsoku/>
              <w:wordWrap/>
              <w:overflowPunct/>
              <w:topLinePunct w:val="0"/>
              <w:autoSpaceDE/>
              <w:autoSpaceDN/>
              <w:bidi w:val="0"/>
              <w:adjustRightInd/>
              <w:snapToGrid/>
              <w:spacing w:line="336" w:lineRule="auto"/>
              <w:ind w:firstLine="420" w:firstLineChars="200"/>
              <w:textAlignment w:val="auto"/>
              <w:rPr>
                <w:color w:val="auto"/>
                <w:sz w:val="21"/>
                <w:szCs w:val="21"/>
                <w:highlight w:val="none"/>
              </w:rPr>
            </w:pPr>
            <w:r>
              <w:rPr>
                <w:rFonts w:ascii="Times New Roman" w:hAnsi="Times New Roman" w:eastAsia="宋体" w:cs="Times New Roman"/>
                <w:bCs/>
                <w:color w:val="auto"/>
                <w:sz w:val="21"/>
                <w:szCs w:val="21"/>
                <w:highlight w:val="none"/>
              </w:rPr>
              <w:t>2、</w:t>
            </w:r>
            <w:r>
              <w:rPr>
                <w:rFonts w:hint="eastAsia" w:ascii="Times New Roman" w:hAnsi="Times New Roman" w:eastAsia="宋体" w:cs="Times New Roman"/>
                <w:bCs/>
                <w:color w:val="auto"/>
                <w:sz w:val="21"/>
                <w:szCs w:val="21"/>
                <w:highlight w:val="none"/>
              </w:rPr>
              <w:t>项目废气污染物排放情况</w:t>
            </w:r>
            <w:r>
              <w:rPr>
                <w:rFonts w:hint="default" w:ascii="Times New Roman" w:hAnsi="Times New Roman" w:eastAsia="宋体" w:cs="Times New Roman"/>
                <w:bCs/>
                <w:color w:val="auto"/>
                <w:sz w:val="21"/>
                <w:szCs w:val="21"/>
                <w:highlight w:val="none"/>
              </w:rPr>
              <w:t>、废气排放口基本情况</w:t>
            </w:r>
          </w:p>
          <w:p w14:paraId="2C982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380" w:firstLineChars="200"/>
              <w:jc w:val="both"/>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eastAsia" w:ascii="宋体" w:hAnsi="宋体" w:cs="宋体"/>
                <w:bCs/>
                <w:color w:val="auto"/>
                <w:spacing w:val="-10"/>
                <w:sz w:val="21"/>
                <w:szCs w:val="21"/>
                <w:highlight w:val="none"/>
                <w:lang w:val="en-US" w:eastAsia="zh-CN"/>
              </w:rPr>
              <w:t>废气污染</w:t>
            </w:r>
            <w:r>
              <w:rPr>
                <w:rFonts w:hint="default" w:ascii="Times New Roman" w:hAnsi="Times New Roman" w:cs="Times New Roman"/>
                <w:bCs/>
                <w:color w:val="auto"/>
                <w:spacing w:val="-10"/>
                <w:sz w:val="21"/>
                <w:szCs w:val="21"/>
                <w:highlight w:val="none"/>
                <w:lang w:val="en-US" w:eastAsia="zh-CN"/>
              </w:rPr>
              <w:t>物排放情况详见表4-</w:t>
            </w:r>
            <w:r>
              <w:rPr>
                <w:rFonts w:hint="eastAsia" w:ascii="Times New Roman" w:hAnsi="Times New Roman" w:cs="Times New Roman"/>
                <w:bCs/>
                <w:color w:val="auto"/>
                <w:spacing w:val="-10"/>
                <w:sz w:val="21"/>
                <w:szCs w:val="21"/>
                <w:highlight w:val="none"/>
                <w:lang w:val="en-US" w:eastAsia="zh-CN"/>
              </w:rPr>
              <w:t>4</w:t>
            </w:r>
            <w:r>
              <w:rPr>
                <w:rFonts w:hint="default" w:ascii="Times New Roman" w:hAnsi="Times New Roman" w:cs="Times New Roman"/>
                <w:bCs/>
                <w:color w:val="auto"/>
                <w:spacing w:val="-10"/>
                <w:sz w:val="21"/>
                <w:szCs w:val="21"/>
                <w:highlight w:val="none"/>
                <w:lang w:val="en-US" w:eastAsia="zh-CN"/>
              </w:rPr>
              <w:t>，废气排放口情况详见表4-</w:t>
            </w:r>
            <w:r>
              <w:rPr>
                <w:rFonts w:hint="eastAsia" w:ascii="Times New Roman" w:hAnsi="Times New Roman" w:cs="Times New Roman"/>
                <w:bCs/>
                <w:color w:val="auto"/>
                <w:spacing w:val="-10"/>
                <w:sz w:val="21"/>
                <w:szCs w:val="21"/>
                <w:highlight w:val="none"/>
                <w:lang w:val="en-US" w:eastAsia="zh-CN"/>
              </w:rPr>
              <w:t>5</w:t>
            </w:r>
            <w:r>
              <w:rPr>
                <w:rFonts w:hint="default" w:ascii="Times New Roman" w:hAnsi="Times New Roman" w:cs="Times New Roman"/>
                <w:bCs/>
                <w:color w:val="auto"/>
                <w:spacing w:val="-10"/>
                <w:sz w:val="21"/>
                <w:szCs w:val="21"/>
                <w:highlight w:val="none"/>
                <w:lang w:val="en-US" w:eastAsia="zh-CN"/>
              </w:rPr>
              <w:t>。</w:t>
            </w:r>
          </w:p>
          <w:p w14:paraId="08D349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4-</w:t>
            </w:r>
            <w:r>
              <w:rPr>
                <w:rFonts w:hint="eastAsia" w:cs="Times New Roman"/>
                <w:b/>
                <w:bCs/>
                <w:color w:val="auto"/>
                <w:kern w:val="0"/>
                <w:sz w:val="21"/>
                <w:szCs w:val="21"/>
                <w:highlight w:val="none"/>
                <w:lang w:val="en-US" w:eastAsia="zh-CN" w:bidi="ar-SA"/>
              </w:rPr>
              <w:t>4</w:t>
            </w:r>
            <w:r>
              <w:rPr>
                <w:rFonts w:hint="eastAsia" w:ascii="Times New Roman" w:hAnsi="Times New Roman" w:eastAsia="宋体" w:cs="Times New Roman"/>
                <w:b/>
                <w:bCs/>
                <w:color w:val="auto"/>
                <w:kern w:val="0"/>
                <w:sz w:val="21"/>
                <w:szCs w:val="21"/>
                <w:highlight w:val="none"/>
                <w:lang w:val="en-US" w:eastAsia="zh-CN" w:bidi="ar-SA"/>
              </w:rPr>
              <w:t xml:space="preserve"> 项目</w:t>
            </w:r>
            <w:r>
              <w:rPr>
                <w:rFonts w:hint="default" w:ascii="Times New Roman" w:hAnsi="Times New Roman" w:eastAsia="宋体" w:cs="Times New Roman"/>
                <w:b/>
                <w:bCs/>
                <w:color w:val="auto"/>
                <w:kern w:val="0"/>
                <w:sz w:val="21"/>
                <w:szCs w:val="21"/>
                <w:highlight w:val="none"/>
                <w:lang w:val="en-US" w:eastAsia="zh-CN" w:bidi="ar-SA"/>
              </w:rPr>
              <w:t>废气污染物排放</w:t>
            </w:r>
            <w:r>
              <w:rPr>
                <w:rFonts w:hint="eastAsia" w:ascii="Times New Roman" w:hAnsi="Times New Roman" w:eastAsia="宋体" w:cs="Times New Roman"/>
                <w:b/>
                <w:bCs/>
                <w:color w:val="auto"/>
                <w:kern w:val="0"/>
                <w:sz w:val="21"/>
                <w:szCs w:val="21"/>
                <w:highlight w:val="none"/>
                <w:lang w:val="en-US" w:eastAsia="zh-CN" w:bidi="ar-SA"/>
              </w:rPr>
              <w:t>情况</w:t>
            </w:r>
            <w:r>
              <w:rPr>
                <w:rFonts w:hint="default" w:ascii="Times New Roman" w:hAnsi="Times New Roman" w:eastAsia="宋体" w:cs="Times New Roman"/>
                <w:b/>
                <w:bCs/>
                <w:color w:val="auto"/>
                <w:kern w:val="0"/>
                <w:sz w:val="21"/>
                <w:szCs w:val="21"/>
                <w:highlight w:val="none"/>
                <w:lang w:val="en-US" w:eastAsia="zh-CN" w:bidi="ar-SA"/>
              </w:rPr>
              <w:t>表</w:t>
            </w:r>
            <w:r>
              <w:rPr>
                <w:rFonts w:hint="eastAsia" w:cs="Times New Roman"/>
                <w:b/>
                <w:bCs/>
                <w:color w:val="auto"/>
                <w:kern w:val="0"/>
                <w:sz w:val="21"/>
                <w:szCs w:val="21"/>
                <w:highlight w:val="none"/>
                <w:lang w:val="en-US" w:eastAsia="zh-CN" w:bidi="ar-SA"/>
              </w:rPr>
              <w:t>汇总</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10"/>
              <w:gridCol w:w="673"/>
              <w:gridCol w:w="812"/>
              <w:gridCol w:w="851"/>
              <w:gridCol w:w="1049"/>
              <w:gridCol w:w="807"/>
              <w:gridCol w:w="740"/>
              <w:gridCol w:w="484"/>
              <w:gridCol w:w="496"/>
              <w:gridCol w:w="496"/>
              <w:gridCol w:w="1056"/>
              <w:gridCol w:w="1056"/>
              <w:gridCol w:w="3306"/>
            </w:tblGrid>
            <w:tr w14:paraId="6A01C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tblHeader/>
                <w:jc w:val="center"/>
              </w:trPr>
              <w:tc>
                <w:tcPr>
                  <w:tcW w:w="207" w:type="pct"/>
                  <w:noWrap w:val="0"/>
                  <w:vAlign w:val="center"/>
                </w:tcPr>
                <w:p w14:paraId="5A535C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产排污环节</w:t>
                  </w:r>
                </w:p>
              </w:tc>
              <w:tc>
                <w:tcPr>
                  <w:tcW w:w="273" w:type="pct"/>
                  <w:noWrap w:val="0"/>
                  <w:vAlign w:val="center"/>
                </w:tcPr>
                <w:p w14:paraId="4F357E4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污染物种类</w:t>
                  </w:r>
                </w:p>
              </w:tc>
              <w:tc>
                <w:tcPr>
                  <w:tcW w:w="674" w:type="pct"/>
                  <w:gridSpan w:val="2"/>
                  <w:noWrap w:val="0"/>
                  <w:vAlign w:val="center"/>
                </w:tcPr>
                <w:p w14:paraId="34E01B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产生量</w:t>
                  </w:r>
                </w:p>
                <w:p w14:paraId="63B070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t/a</w:t>
                  </w:r>
                </w:p>
              </w:tc>
              <w:tc>
                <w:tcPr>
                  <w:tcW w:w="425" w:type="pct"/>
                  <w:noWrap w:val="0"/>
                  <w:vAlign w:val="center"/>
                </w:tcPr>
                <w:p w14:paraId="4B10EE6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风量m</w:t>
                  </w:r>
                  <w:r>
                    <w:rPr>
                      <w:rFonts w:hint="default" w:ascii="Times New Roman" w:hAnsi="Times New Roman" w:eastAsia="宋体" w:cs="Times New Roman"/>
                      <w:bCs/>
                      <w:color w:val="auto"/>
                      <w:kern w:val="2"/>
                      <w:sz w:val="21"/>
                      <w:szCs w:val="21"/>
                      <w:highlight w:val="none"/>
                      <w:vertAlign w:val="superscript"/>
                      <w:lang w:val="en-US" w:eastAsia="zh-CN" w:bidi="ar-SA"/>
                    </w:rPr>
                    <w:t>3</w:t>
                  </w:r>
                  <w:r>
                    <w:rPr>
                      <w:rFonts w:hint="default" w:ascii="Times New Roman" w:hAnsi="Times New Roman" w:eastAsia="宋体" w:cs="Times New Roman"/>
                      <w:bCs/>
                      <w:color w:val="auto"/>
                      <w:kern w:val="2"/>
                      <w:sz w:val="21"/>
                      <w:szCs w:val="21"/>
                      <w:highlight w:val="none"/>
                      <w:lang w:val="en-US" w:eastAsia="zh-CN" w:bidi="ar-SA"/>
                    </w:rPr>
                    <w:t>/h</w:t>
                  </w:r>
                </w:p>
              </w:tc>
              <w:tc>
                <w:tcPr>
                  <w:tcW w:w="627" w:type="pct"/>
                  <w:gridSpan w:val="2"/>
                  <w:noWrap w:val="0"/>
                  <w:vAlign w:val="center"/>
                </w:tcPr>
                <w:p w14:paraId="5CEDE4D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产生浓度mg/m</w:t>
                  </w:r>
                  <w:r>
                    <w:rPr>
                      <w:rFonts w:hint="default" w:ascii="Times New Roman" w:hAnsi="Times New Roman" w:eastAsia="宋体" w:cs="Times New Roman"/>
                      <w:bCs/>
                      <w:color w:val="auto"/>
                      <w:kern w:val="2"/>
                      <w:sz w:val="21"/>
                      <w:szCs w:val="21"/>
                      <w:highlight w:val="none"/>
                      <w:vertAlign w:val="superscript"/>
                      <w:lang w:val="en-US" w:eastAsia="zh-CN" w:bidi="ar-SA"/>
                    </w:rPr>
                    <w:t>3</w:t>
                  </w:r>
                </w:p>
              </w:tc>
              <w:tc>
                <w:tcPr>
                  <w:tcW w:w="196" w:type="pct"/>
                  <w:noWrap w:val="0"/>
                  <w:vAlign w:val="center"/>
                </w:tcPr>
                <w:p w14:paraId="55E414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收集效率</w:t>
                  </w:r>
                </w:p>
              </w:tc>
              <w:tc>
                <w:tcPr>
                  <w:tcW w:w="201" w:type="pct"/>
                  <w:noWrap w:val="0"/>
                  <w:vAlign w:val="center"/>
                </w:tcPr>
                <w:p w14:paraId="27677F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处理效率</w:t>
                  </w:r>
                </w:p>
              </w:tc>
              <w:tc>
                <w:tcPr>
                  <w:tcW w:w="201" w:type="pct"/>
                  <w:noWrap w:val="0"/>
                  <w:vAlign w:val="center"/>
                </w:tcPr>
                <w:p w14:paraId="6A5EDBA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排放形式</w:t>
                  </w:r>
                </w:p>
              </w:tc>
              <w:tc>
                <w:tcPr>
                  <w:tcW w:w="428" w:type="pct"/>
                  <w:noWrap w:val="0"/>
                  <w:vAlign w:val="center"/>
                </w:tcPr>
                <w:p w14:paraId="07A7D1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排放量</w:t>
                  </w:r>
                </w:p>
                <w:p w14:paraId="337020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t/a</w:t>
                  </w:r>
                </w:p>
              </w:tc>
              <w:tc>
                <w:tcPr>
                  <w:tcW w:w="428" w:type="pct"/>
                  <w:noWrap w:val="0"/>
                  <w:vAlign w:val="center"/>
                </w:tcPr>
                <w:p w14:paraId="6358003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排放浓度mg/m</w:t>
                  </w:r>
                  <w:r>
                    <w:rPr>
                      <w:rFonts w:hint="default" w:ascii="Times New Roman" w:hAnsi="Times New Roman" w:eastAsia="宋体" w:cs="Times New Roman"/>
                      <w:bCs/>
                      <w:color w:val="auto"/>
                      <w:kern w:val="2"/>
                      <w:sz w:val="21"/>
                      <w:szCs w:val="21"/>
                      <w:highlight w:val="none"/>
                      <w:vertAlign w:val="superscript"/>
                      <w:lang w:val="en-US" w:eastAsia="zh-CN" w:bidi="ar-SA"/>
                    </w:rPr>
                    <w:t>3</w:t>
                  </w:r>
                </w:p>
              </w:tc>
              <w:tc>
                <w:tcPr>
                  <w:tcW w:w="1337" w:type="pct"/>
                  <w:noWrap w:val="0"/>
                  <w:vAlign w:val="center"/>
                </w:tcPr>
                <w:p w14:paraId="3A183C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排放标准</w:t>
                  </w:r>
                </w:p>
              </w:tc>
            </w:tr>
            <w:tr w14:paraId="2CF2F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noWrap w:val="0"/>
                  <w:vAlign w:val="center"/>
                </w:tcPr>
                <w:p w14:paraId="291330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投料</w:t>
                  </w:r>
                </w:p>
              </w:tc>
              <w:tc>
                <w:tcPr>
                  <w:tcW w:w="273" w:type="pct"/>
                  <w:vMerge w:val="restart"/>
                  <w:noWrap w:val="0"/>
                  <w:vAlign w:val="center"/>
                </w:tcPr>
                <w:p w14:paraId="217533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颗粒物</w:t>
                  </w:r>
                </w:p>
              </w:tc>
              <w:tc>
                <w:tcPr>
                  <w:tcW w:w="329" w:type="pct"/>
                  <w:noWrap w:val="0"/>
                  <w:vAlign w:val="center"/>
                </w:tcPr>
                <w:p w14:paraId="4E40AB4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eastAsia="宋体" w:cs="Times New Roman"/>
                      <w:bCs/>
                      <w:color w:val="auto"/>
                      <w:kern w:val="2"/>
                      <w:sz w:val="21"/>
                      <w:szCs w:val="21"/>
                      <w:highlight w:val="none"/>
                      <w:lang w:val="en-US" w:eastAsia="zh-CN" w:bidi="ar-SA"/>
                    </w:rPr>
                    <w:t>1.138</w:t>
                  </w:r>
                </w:p>
              </w:tc>
              <w:tc>
                <w:tcPr>
                  <w:tcW w:w="344" w:type="pct"/>
                  <w:vMerge w:val="restart"/>
                  <w:noWrap w:val="0"/>
                  <w:vAlign w:val="center"/>
                </w:tcPr>
                <w:p w14:paraId="5BACF75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1.678</w:t>
                  </w:r>
                </w:p>
              </w:tc>
              <w:tc>
                <w:tcPr>
                  <w:tcW w:w="425" w:type="pct"/>
                  <w:vMerge w:val="restart"/>
                  <w:noWrap w:val="0"/>
                  <w:vAlign w:val="center"/>
                </w:tcPr>
                <w:p w14:paraId="7E6395F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2000</w:t>
                  </w:r>
                </w:p>
              </w:tc>
              <w:tc>
                <w:tcPr>
                  <w:tcW w:w="327" w:type="pct"/>
                  <w:noWrap w:val="0"/>
                  <w:vAlign w:val="center"/>
                </w:tcPr>
                <w:p w14:paraId="36974CFD">
                  <w:pPr>
                    <w:keepNext w:val="0"/>
                    <w:keepLines w:val="0"/>
                    <w:widowControl w:val="0"/>
                    <w:suppressLineNumbers w:val="0"/>
                    <w:spacing w:line="240" w:lineRule="auto"/>
                    <w:jc w:val="center"/>
                    <w:textAlignment w:val="bottom"/>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79.0</w:t>
                  </w:r>
                </w:p>
              </w:tc>
              <w:tc>
                <w:tcPr>
                  <w:tcW w:w="299" w:type="pct"/>
                  <w:vMerge w:val="restart"/>
                  <w:noWrap w:val="0"/>
                  <w:vAlign w:val="center"/>
                </w:tcPr>
                <w:p w14:paraId="1D47121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116.5</w:t>
                  </w:r>
                </w:p>
              </w:tc>
              <w:tc>
                <w:tcPr>
                  <w:tcW w:w="196" w:type="pct"/>
                  <w:noWrap w:val="0"/>
                  <w:vAlign w:val="center"/>
                </w:tcPr>
                <w:p w14:paraId="28C6354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90</w:t>
                  </w:r>
                </w:p>
              </w:tc>
              <w:tc>
                <w:tcPr>
                  <w:tcW w:w="201" w:type="pct"/>
                  <w:vMerge w:val="restart"/>
                  <w:noWrap w:val="0"/>
                  <w:vAlign w:val="center"/>
                </w:tcPr>
                <w:p w14:paraId="378407B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99</w:t>
                  </w:r>
                </w:p>
              </w:tc>
              <w:tc>
                <w:tcPr>
                  <w:tcW w:w="201" w:type="pct"/>
                  <w:vMerge w:val="restart"/>
                  <w:noWrap w:val="0"/>
                  <w:vAlign w:val="center"/>
                </w:tcPr>
                <w:p w14:paraId="6313B5A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有组织</w:t>
                  </w:r>
                </w:p>
              </w:tc>
              <w:tc>
                <w:tcPr>
                  <w:tcW w:w="428" w:type="pct"/>
                  <w:vMerge w:val="restart"/>
                  <w:noWrap w:val="0"/>
                  <w:vAlign w:val="center"/>
                </w:tcPr>
                <w:p w14:paraId="655881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bCs/>
                      <w:color w:val="auto"/>
                      <w:kern w:val="2"/>
                      <w:sz w:val="21"/>
                      <w:szCs w:val="21"/>
                      <w:highlight w:val="none"/>
                      <w:lang w:val="en-US" w:eastAsia="zh-CN" w:bidi="ar-SA"/>
                    </w:rPr>
                  </w:pPr>
                  <w:r>
                    <w:rPr>
                      <w:rFonts w:hint="eastAsia" w:ascii="Times New Roman" w:hAnsi="Times New Roman" w:eastAsia="宋体" w:cs="Times New Roman"/>
                      <w:bCs/>
                      <w:color w:val="auto"/>
                      <w:kern w:val="2"/>
                      <w:sz w:val="21"/>
                      <w:szCs w:val="21"/>
                      <w:highlight w:val="none"/>
                      <w:lang w:val="en-US" w:eastAsia="zh-CN" w:bidi="ar-SA"/>
                    </w:rPr>
                    <w:t>0.015</w:t>
                  </w:r>
                </w:p>
              </w:tc>
              <w:tc>
                <w:tcPr>
                  <w:tcW w:w="428" w:type="pct"/>
                  <w:vMerge w:val="restart"/>
                  <w:noWrap w:val="0"/>
                  <w:vAlign w:val="center"/>
                </w:tcPr>
                <w:p w14:paraId="1249CC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1.0</w:t>
                  </w:r>
                </w:p>
              </w:tc>
              <w:tc>
                <w:tcPr>
                  <w:tcW w:w="1337" w:type="pct"/>
                  <w:vMerge w:val="restart"/>
                  <w:noWrap w:val="0"/>
                  <w:vAlign w:val="center"/>
                </w:tcPr>
                <w:p w14:paraId="5F6B55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《大气污染物综合排放标准》（GB16297-1996）表2新污染源大气污染物排放限值</w:t>
                  </w:r>
                </w:p>
              </w:tc>
            </w:tr>
            <w:tr w14:paraId="3EE77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noWrap w:val="0"/>
                  <w:vAlign w:val="center"/>
                </w:tcPr>
                <w:p w14:paraId="417C243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粉碎包装</w:t>
                  </w:r>
                </w:p>
              </w:tc>
              <w:tc>
                <w:tcPr>
                  <w:tcW w:w="273" w:type="pct"/>
                  <w:vMerge w:val="continue"/>
                  <w:noWrap w:val="0"/>
                  <w:vAlign w:val="center"/>
                </w:tcPr>
                <w:p w14:paraId="75F842F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329" w:type="pct"/>
                  <w:noWrap w:val="0"/>
                  <w:vAlign w:val="center"/>
                </w:tcPr>
                <w:p w14:paraId="0C1B831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ascii="Times New Roman" w:hAnsi="Times New Roman" w:eastAsia="宋体" w:cs="Times New Roman"/>
                      <w:bCs/>
                      <w:color w:val="auto"/>
                      <w:kern w:val="2"/>
                      <w:sz w:val="21"/>
                      <w:szCs w:val="21"/>
                      <w:highlight w:val="none"/>
                      <w:lang w:val="en-US" w:eastAsia="zh-CN" w:bidi="ar-SA"/>
                    </w:rPr>
                    <w:t>0.54</w:t>
                  </w:r>
                </w:p>
              </w:tc>
              <w:tc>
                <w:tcPr>
                  <w:tcW w:w="344" w:type="pct"/>
                  <w:vMerge w:val="continue"/>
                  <w:noWrap w:val="0"/>
                  <w:vAlign w:val="center"/>
                </w:tcPr>
                <w:p w14:paraId="56FAFE83">
                  <w:pPr>
                    <w:widowControl w:val="0"/>
                    <w:spacing w:line="240" w:lineRule="auto"/>
                    <w:jc w:val="center"/>
                    <w:textAlignment w:val="bottom"/>
                    <w:rPr>
                      <w:rFonts w:hint="default" w:ascii="Times New Roman" w:hAnsi="Times New Roman" w:eastAsia="宋体" w:cs="Times New Roman"/>
                      <w:bCs/>
                      <w:color w:val="auto"/>
                      <w:kern w:val="2"/>
                      <w:sz w:val="21"/>
                      <w:szCs w:val="21"/>
                      <w:highlight w:val="none"/>
                      <w:lang w:val="en-US" w:eastAsia="zh-CN" w:bidi="ar-SA"/>
                    </w:rPr>
                  </w:pPr>
                </w:p>
              </w:tc>
              <w:tc>
                <w:tcPr>
                  <w:tcW w:w="425" w:type="pct"/>
                  <w:vMerge w:val="continue"/>
                  <w:noWrap w:val="0"/>
                  <w:vAlign w:val="center"/>
                </w:tcPr>
                <w:p w14:paraId="4455C6B0">
                  <w:pPr>
                    <w:widowControl w:val="0"/>
                    <w:spacing w:line="240" w:lineRule="auto"/>
                    <w:jc w:val="center"/>
                    <w:textAlignment w:val="bottom"/>
                    <w:rPr>
                      <w:rFonts w:hint="default" w:ascii="Times New Roman" w:hAnsi="Times New Roman" w:eastAsia="宋体" w:cs="Times New Roman"/>
                      <w:bCs/>
                      <w:color w:val="auto"/>
                      <w:kern w:val="2"/>
                      <w:sz w:val="21"/>
                      <w:szCs w:val="21"/>
                      <w:highlight w:val="none"/>
                      <w:lang w:val="en-US" w:eastAsia="zh-CN" w:bidi="ar-SA"/>
                    </w:rPr>
                  </w:pPr>
                </w:p>
              </w:tc>
              <w:tc>
                <w:tcPr>
                  <w:tcW w:w="327" w:type="pct"/>
                  <w:noWrap w:val="0"/>
                  <w:vAlign w:val="center"/>
                </w:tcPr>
                <w:p w14:paraId="0A007AD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 w:val="0"/>
                      <w:bCs w:val="0"/>
                      <w:color w:val="auto"/>
                      <w:spacing w:val="-10"/>
                      <w:kern w:val="2"/>
                      <w:sz w:val="21"/>
                      <w:szCs w:val="21"/>
                      <w:highlight w:val="none"/>
                      <w:vertAlign w:val="baseline"/>
                      <w:lang w:val="en-US" w:eastAsia="zh-CN" w:bidi="ar"/>
                    </w:rPr>
                    <w:t>37.5</w:t>
                  </w:r>
                </w:p>
              </w:tc>
              <w:tc>
                <w:tcPr>
                  <w:tcW w:w="299" w:type="pct"/>
                  <w:vMerge w:val="continue"/>
                  <w:noWrap w:val="0"/>
                  <w:vAlign w:val="center"/>
                </w:tcPr>
                <w:p w14:paraId="5EF90C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p>
              </w:tc>
              <w:tc>
                <w:tcPr>
                  <w:tcW w:w="196" w:type="pct"/>
                  <w:noWrap w:val="0"/>
                  <w:vAlign w:val="center"/>
                </w:tcPr>
                <w:p w14:paraId="243E458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90</w:t>
                  </w:r>
                </w:p>
              </w:tc>
              <w:tc>
                <w:tcPr>
                  <w:tcW w:w="201" w:type="pct"/>
                  <w:vMerge w:val="continue"/>
                  <w:noWrap w:val="0"/>
                  <w:vAlign w:val="center"/>
                </w:tcPr>
                <w:p w14:paraId="7448FEC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p>
              </w:tc>
              <w:tc>
                <w:tcPr>
                  <w:tcW w:w="201" w:type="pct"/>
                  <w:vMerge w:val="continue"/>
                  <w:noWrap w:val="0"/>
                  <w:vAlign w:val="center"/>
                </w:tcPr>
                <w:p w14:paraId="4FC415A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428" w:type="pct"/>
                  <w:vMerge w:val="continue"/>
                  <w:noWrap w:val="0"/>
                  <w:vAlign w:val="center"/>
                </w:tcPr>
                <w:p w14:paraId="46DCD9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428" w:type="pct"/>
                  <w:vMerge w:val="continue"/>
                  <w:noWrap w:val="0"/>
                  <w:vAlign w:val="center"/>
                </w:tcPr>
                <w:p w14:paraId="04845BB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1337" w:type="pct"/>
                  <w:vMerge w:val="continue"/>
                  <w:noWrap w:val="0"/>
                  <w:vAlign w:val="center"/>
                </w:tcPr>
                <w:p w14:paraId="40AD067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r>
            <w:tr w14:paraId="28492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noWrap w:val="0"/>
                  <w:vAlign w:val="center"/>
                </w:tcPr>
                <w:p w14:paraId="53B1946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color w:val="auto"/>
                      <w:sz w:val="21"/>
                      <w:szCs w:val="21"/>
                      <w:highlight w:val="none"/>
                      <w:lang w:val="en-US" w:eastAsia="zh-CN"/>
                    </w:rPr>
                    <w:t>喷雾干燥</w:t>
                  </w:r>
                </w:p>
              </w:tc>
              <w:tc>
                <w:tcPr>
                  <w:tcW w:w="273" w:type="pct"/>
                  <w:vMerge w:val="continue"/>
                  <w:noWrap w:val="0"/>
                  <w:vAlign w:val="center"/>
                </w:tcPr>
                <w:p w14:paraId="6CC2A8A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674" w:type="pct"/>
                  <w:gridSpan w:val="2"/>
                  <w:noWrap w:val="0"/>
                  <w:vAlign w:val="center"/>
                </w:tcPr>
                <w:p w14:paraId="00730DA6">
                  <w:pPr>
                    <w:widowControl w:val="0"/>
                    <w:spacing w:line="240" w:lineRule="auto"/>
                    <w:jc w:val="center"/>
                    <w:textAlignment w:val="bottom"/>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24.832</w:t>
                  </w:r>
                </w:p>
              </w:tc>
              <w:tc>
                <w:tcPr>
                  <w:tcW w:w="425" w:type="pct"/>
                  <w:noWrap w:val="0"/>
                  <w:vAlign w:val="center"/>
                </w:tcPr>
                <w:p w14:paraId="174D392A">
                  <w:pPr>
                    <w:widowControl w:val="0"/>
                    <w:spacing w:line="240" w:lineRule="auto"/>
                    <w:jc w:val="center"/>
                    <w:textAlignment w:val="bottom"/>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9000</w:t>
                  </w:r>
                </w:p>
              </w:tc>
              <w:tc>
                <w:tcPr>
                  <w:tcW w:w="627" w:type="pct"/>
                  <w:gridSpan w:val="2"/>
                  <w:noWrap w:val="0"/>
                  <w:vAlign w:val="center"/>
                </w:tcPr>
                <w:p w14:paraId="5E7144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383.2</w:t>
                  </w:r>
                </w:p>
              </w:tc>
              <w:tc>
                <w:tcPr>
                  <w:tcW w:w="196" w:type="pct"/>
                  <w:noWrap w:val="0"/>
                  <w:vAlign w:val="center"/>
                </w:tcPr>
                <w:p w14:paraId="5E3AB5A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100</w:t>
                  </w:r>
                </w:p>
              </w:tc>
              <w:tc>
                <w:tcPr>
                  <w:tcW w:w="201" w:type="pct"/>
                  <w:noWrap w:val="0"/>
                  <w:vAlign w:val="center"/>
                </w:tcPr>
                <w:p w14:paraId="761892B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95</w:t>
                  </w:r>
                </w:p>
              </w:tc>
              <w:tc>
                <w:tcPr>
                  <w:tcW w:w="201" w:type="pct"/>
                  <w:vMerge w:val="continue"/>
                  <w:noWrap w:val="0"/>
                  <w:vAlign w:val="center"/>
                </w:tcPr>
                <w:p w14:paraId="62AB9B6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428" w:type="pct"/>
                  <w:noWrap w:val="0"/>
                  <w:vAlign w:val="center"/>
                </w:tcPr>
                <w:p w14:paraId="27EA31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1.242</w:t>
                  </w:r>
                </w:p>
              </w:tc>
              <w:tc>
                <w:tcPr>
                  <w:tcW w:w="428" w:type="pct"/>
                  <w:noWrap w:val="0"/>
                  <w:vAlign w:val="center"/>
                </w:tcPr>
                <w:p w14:paraId="04AE08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19.2</w:t>
                  </w:r>
                </w:p>
              </w:tc>
              <w:tc>
                <w:tcPr>
                  <w:tcW w:w="1337" w:type="pct"/>
                  <w:vMerge w:val="continue"/>
                  <w:noWrap w:val="0"/>
                  <w:vAlign w:val="center"/>
                </w:tcPr>
                <w:p w14:paraId="56871F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r>
            <w:tr w14:paraId="51521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vMerge w:val="restart"/>
                  <w:noWrap w:val="0"/>
                  <w:vAlign w:val="center"/>
                </w:tcPr>
                <w:p w14:paraId="72A22B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污水处理车间</w:t>
                  </w:r>
                </w:p>
              </w:tc>
              <w:tc>
                <w:tcPr>
                  <w:tcW w:w="273" w:type="pct"/>
                  <w:noWrap w:val="0"/>
                  <w:vAlign w:val="center"/>
                </w:tcPr>
                <w:p w14:paraId="7AFC1276">
                  <w:pPr>
                    <w:keepNext w:val="0"/>
                    <w:keepLines w:val="0"/>
                    <w:widowControl w:val="0"/>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ascii="Times New Roman" w:hAnsi="Times New Roman" w:eastAsia="宋体" w:cs="Times New Roman"/>
                      <w:b w:val="0"/>
                      <w:bCs/>
                      <w:color w:val="auto"/>
                      <w:sz w:val="21"/>
                      <w:szCs w:val="21"/>
                      <w:highlight w:val="none"/>
                      <w:lang w:val="en-US" w:eastAsia="zh-CN"/>
                    </w:rPr>
                    <w:t>氨</w:t>
                  </w:r>
                </w:p>
              </w:tc>
              <w:tc>
                <w:tcPr>
                  <w:tcW w:w="674" w:type="pct"/>
                  <w:gridSpan w:val="2"/>
                  <w:noWrap w:val="0"/>
                  <w:vAlign w:val="center"/>
                </w:tcPr>
                <w:p w14:paraId="27D5E4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425" w:type="pct"/>
                  <w:vMerge w:val="restart"/>
                  <w:noWrap w:val="0"/>
                  <w:vAlign w:val="center"/>
                </w:tcPr>
                <w:p w14:paraId="6E551D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20000</w:t>
                  </w:r>
                </w:p>
              </w:tc>
              <w:tc>
                <w:tcPr>
                  <w:tcW w:w="627" w:type="pct"/>
                  <w:gridSpan w:val="2"/>
                  <w:noWrap w:val="0"/>
                  <w:vAlign w:val="center"/>
                </w:tcPr>
                <w:p w14:paraId="62E2D1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196" w:type="pct"/>
                  <w:vMerge w:val="restart"/>
                  <w:noWrap w:val="0"/>
                  <w:vAlign w:val="center"/>
                </w:tcPr>
                <w:p w14:paraId="1D5CCDB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95</w:t>
                  </w:r>
                </w:p>
              </w:tc>
              <w:tc>
                <w:tcPr>
                  <w:tcW w:w="201" w:type="pct"/>
                  <w:vMerge w:val="restart"/>
                  <w:noWrap w:val="0"/>
                  <w:vAlign w:val="center"/>
                </w:tcPr>
                <w:p w14:paraId="4CF934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90</w:t>
                  </w:r>
                </w:p>
              </w:tc>
              <w:tc>
                <w:tcPr>
                  <w:tcW w:w="201" w:type="pct"/>
                  <w:vMerge w:val="continue"/>
                  <w:noWrap w:val="0"/>
                  <w:vAlign w:val="center"/>
                </w:tcPr>
                <w:p w14:paraId="1A05B5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428" w:type="pct"/>
                  <w:noWrap w:val="0"/>
                  <w:vAlign w:val="center"/>
                </w:tcPr>
                <w:p w14:paraId="54AFEB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0.00</w:t>
                  </w:r>
                  <w:r>
                    <w:rPr>
                      <w:rFonts w:hint="eastAsia" w:cs="Times New Roman"/>
                      <w:bCs/>
                      <w:color w:val="auto"/>
                      <w:kern w:val="2"/>
                      <w:sz w:val="21"/>
                      <w:szCs w:val="21"/>
                      <w:highlight w:val="none"/>
                      <w:lang w:val="en-US" w:eastAsia="zh-CN" w:bidi="ar-SA"/>
                    </w:rPr>
                    <w:t>2</w:t>
                  </w:r>
                </w:p>
              </w:tc>
              <w:tc>
                <w:tcPr>
                  <w:tcW w:w="428" w:type="pct"/>
                  <w:noWrap w:val="0"/>
                  <w:vAlign w:val="center"/>
                </w:tcPr>
                <w:p w14:paraId="5A9112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0.01</w:t>
                  </w:r>
                  <w:r>
                    <w:rPr>
                      <w:rFonts w:hint="eastAsia" w:cs="Times New Roman"/>
                      <w:bCs/>
                      <w:color w:val="auto"/>
                      <w:kern w:val="2"/>
                      <w:sz w:val="21"/>
                      <w:szCs w:val="21"/>
                      <w:highlight w:val="none"/>
                      <w:lang w:val="en-US" w:eastAsia="zh-CN" w:bidi="ar-SA"/>
                    </w:rPr>
                    <w:t>6</w:t>
                  </w:r>
                </w:p>
              </w:tc>
              <w:tc>
                <w:tcPr>
                  <w:tcW w:w="1337" w:type="pct"/>
                  <w:vMerge w:val="restart"/>
                  <w:noWrap w:val="0"/>
                  <w:vAlign w:val="center"/>
                </w:tcPr>
                <w:p w14:paraId="7E2A7D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《恶臭污染物排放标准》（GB14554-93）表2标准</w:t>
                  </w:r>
                </w:p>
              </w:tc>
            </w:tr>
            <w:tr w14:paraId="05964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vMerge w:val="continue"/>
                  <w:noWrap w:val="0"/>
                  <w:vAlign w:val="center"/>
                </w:tcPr>
                <w:p w14:paraId="0FBE6AD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273" w:type="pct"/>
                  <w:noWrap w:val="0"/>
                  <w:vAlign w:val="center"/>
                </w:tcPr>
                <w:p w14:paraId="3853205C">
                  <w:pPr>
                    <w:keepNext w:val="0"/>
                    <w:keepLines w:val="0"/>
                    <w:widowControl w:val="0"/>
                    <w:suppressLineNumbers w:val="0"/>
                    <w:spacing w:line="240" w:lineRule="auto"/>
                    <w:jc w:val="center"/>
                    <w:textAlignment w:val="bottom"/>
                    <w:rPr>
                      <w:rFonts w:hint="default" w:ascii="Times New Roman" w:hAnsi="Times New Roman"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硫化氢</w:t>
                  </w:r>
                </w:p>
              </w:tc>
              <w:tc>
                <w:tcPr>
                  <w:tcW w:w="674" w:type="pct"/>
                  <w:gridSpan w:val="2"/>
                  <w:noWrap w:val="0"/>
                  <w:vAlign w:val="center"/>
                </w:tcPr>
                <w:p w14:paraId="516BD8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425" w:type="pct"/>
                  <w:vMerge w:val="continue"/>
                  <w:noWrap w:val="0"/>
                  <w:vAlign w:val="center"/>
                </w:tcPr>
                <w:p w14:paraId="4C15FEC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627" w:type="pct"/>
                  <w:gridSpan w:val="2"/>
                  <w:noWrap w:val="0"/>
                  <w:vAlign w:val="center"/>
                </w:tcPr>
                <w:p w14:paraId="08F8881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196" w:type="pct"/>
                  <w:vMerge w:val="continue"/>
                  <w:noWrap w:val="0"/>
                  <w:vAlign w:val="center"/>
                </w:tcPr>
                <w:p w14:paraId="23AA4B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201" w:type="pct"/>
                  <w:vMerge w:val="continue"/>
                  <w:noWrap w:val="0"/>
                  <w:vAlign w:val="center"/>
                </w:tcPr>
                <w:p w14:paraId="67C8FB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201" w:type="pct"/>
                  <w:vMerge w:val="continue"/>
                  <w:noWrap w:val="0"/>
                  <w:vAlign w:val="center"/>
                </w:tcPr>
                <w:p w14:paraId="40D9FD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428" w:type="pct"/>
                  <w:noWrap w:val="0"/>
                  <w:vAlign w:val="center"/>
                </w:tcPr>
                <w:p w14:paraId="4740DB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0.00004</w:t>
                  </w:r>
                </w:p>
              </w:tc>
              <w:tc>
                <w:tcPr>
                  <w:tcW w:w="428" w:type="pct"/>
                  <w:noWrap w:val="0"/>
                  <w:vAlign w:val="center"/>
                </w:tcPr>
                <w:p w14:paraId="5F7700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0.0003</w:t>
                  </w:r>
                </w:p>
              </w:tc>
              <w:tc>
                <w:tcPr>
                  <w:tcW w:w="1337" w:type="pct"/>
                  <w:vMerge w:val="continue"/>
                  <w:noWrap w:val="0"/>
                  <w:vAlign w:val="center"/>
                </w:tcPr>
                <w:p w14:paraId="117711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14:paraId="55558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vMerge w:val="continue"/>
                  <w:noWrap w:val="0"/>
                  <w:vAlign w:val="center"/>
                </w:tcPr>
                <w:p w14:paraId="56B8DE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273" w:type="pct"/>
                  <w:noWrap w:val="0"/>
                  <w:vAlign w:val="center"/>
                </w:tcPr>
                <w:p w14:paraId="0C2CD4ED">
                  <w:pPr>
                    <w:keepNext w:val="0"/>
                    <w:keepLines w:val="0"/>
                    <w:widowControl w:val="0"/>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ascii="Times New Roman" w:hAnsi="Times New Roman" w:eastAsia="宋体" w:cs="Times New Roman"/>
                      <w:b w:val="0"/>
                      <w:bCs/>
                      <w:color w:val="auto"/>
                      <w:sz w:val="21"/>
                      <w:szCs w:val="21"/>
                      <w:highlight w:val="none"/>
                      <w:lang w:val="en-US" w:eastAsia="zh-CN"/>
                    </w:rPr>
                    <w:t>臭气浓度</w:t>
                  </w:r>
                </w:p>
              </w:tc>
              <w:tc>
                <w:tcPr>
                  <w:tcW w:w="674" w:type="pct"/>
                  <w:gridSpan w:val="2"/>
                  <w:noWrap w:val="0"/>
                  <w:vAlign w:val="center"/>
                </w:tcPr>
                <w:p w14:paraId="3F06EF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425" w:type="pct"/>
                  <w:vMerge w:val="continue"/>
                  <w:noWrap w:val="0"/>
                  <w:vAlign w:val="center"/>
                </w:tcPr>
                <w:p w14:paraId="0D1F58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627" w:type="pct"/>
                  <w:gridSpan w:val="2"/>
                  <w:noWrap w:val="0"/>
                  <w:vAlign w:val="center"/>
                </w:tcPr>
                <w:p w14:paraId="65573C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196" w:type="pct"/>
                  <w:vMerge w:val="continue"/>
                  <w:noWrap w:val="0"/>
                  <w:vAlign w:val="center"/>
                </w:tcPr>
                <w:p w14:paraId="6DA01B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201" w:type="pct"/>
                  <w:vMerge w:val="continue"/>
                  <w:noWrap w:val="0"/>
                  <w:vAlign w:val="center"/>
                </w:tcPr>
                <w:p w14:paraId="04F0286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201" w:type="pct"/>
                  <w:vMerge w:val="continue"/>
                  <w:noWrap w:val="0"/>
                  <w:vAlign w:val="center"/>
                </w:tcPr>
                <w:p w14:paraId="1F2292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p>
              </w:tc>
              <w:tc>
                <w:tcPr>
                  <w:tcW w:w="428" w:type="pct"/>
                  <w:noWrap w:val="0"/>
                  <w:vAlign w:val="center"/>
                </w:tcPr>
                <w:p w14:paraId="4285D1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428" w:type="pct"/>
                  <w:noWrap w:val="0"/>
                  <w:vAlign w:val="center"/>
                </w:tcPr>
                <w:p w14:paraId="470A1A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w:t>
                  </w:r>
                </w:p>
              </w:tc>
              <w:tc>
                <w:tcPr>
                  <w:tcW w:w="1337" w:type="pct"/>
                  <w:vMerge w:val="continue"/>
                  <w:noWrap w:val="0"/>
                  <w:vAlign w:val="center"/>
                </w:tcPr>
                <w:p w14:paraId="6610B13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p>
              </w:tc>
            </w:tr>
            <w:tr w14:paraId="57B2B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207" w:type="pct"/>
                  <w:vMerge w:val="restart"/>
                  <w:noWrap w:val="0"/>
                  <w:vAlign w:val="center"/>
                </w:tcPr>
                <w:p w14:paraId="6D0A9E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无组织排放</w:t>
                  </w:r>
                </w:p>
              </w:tc>
              <w:tc>
                <w:tcPr>
                  <w:tcW w:w="273" w:type="pct"/>
                  <w:noWrap w:val="0"/>
                  <w:vAlign w:val="center"/>
                </w:tcPr>
                <w:p w14:paraId="5B3CB6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8"/>
                      <w:kern w:val="2"/>
                      <w:sz w:val="21"/>
                      <w:szCs w:val="21"/>
                      <w:highlight w:val="none"/>
                      <w:lang w:val="en-US" w:eastAsia="zh-CN" w:bidi="ar-SA"/>
                    </w:rPr>
                  </w:pPr>
                  <w:r>
                    <w:rPr>
                      <w:rFonts w:hint="default" w:ascii="Times New Roman" w:hAnsi="Times New Roman" w:eastAsia="宋体" w:cs="Times New Roman"/>
                      <w:bCs/>
                      <w:color w:val="auto"/>
                      <w:spacing w:val="-8"/>
                      <w:kern w:val="2"/>
                      <w:sz w:val="21"/>
                      <w:szCs w:val="21"/>
                      <w:highlight w:val="none"/>
                      <w:lang w:val="en-US" w:eastAsia="zh-CN" w:bidi="ar-SA"/>
                    </w:rPr>
                    <w:t>颗粒物</w:t>
                  </w:r>
                </w:p>
              </w:tc>
              <w:tc>
                <w:tcPr>
                  <w:tcW w:w="674" w:type="pct"/>
                  <w:gridSpan w:val="2"/>
                  <w:noWrap w:val="0"/>
                  <w:vAlign w:val="center"/>
                </w:tcPr>
                <w:p w14:paraId="3FBF8DC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0.168</w:t>
                  </w:r>
                </w:p>
              </w:tc>
              <w:tc>
                <w:tcPr>
                  <w:tcW w:w="425" w:type="pct"/>
                  <w:noWrap w:val="0"/>
                  <w:vAlign w:val="center"/>
                </w:tcPr>
                <w:p w14:paraId="3FA3D1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627" w:type="pct"/>
                  <w:gridSpan w:val="2"/>
                  <w:noWrap w:val="0"/>
                  <w:vAlign w:val="center"/>
                </w:tcPr>
                <w:p w14:paraId="2310F5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96" w:type="pct"/>
                  <w:vMerge w:val="restart"/>
                  <w:noWrap w:val="0"/>
                  <w:vAlign w:val="center"/>
                </w:tcPr>
                <w:p w14:paraId="7725E9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w:t>
                  </w:r>
                </w:p>
              </w:tc>
              <w:tc>
                <w:tcPr>
                  <w:tcW w:w="201" w:type="pct"/>
                  <w:vMerge w:val="restart"/>
                  <w:noWrap w:val="0"/>
                  <w:vAlign w:val="center"/>
                </w:tcPr>
                <w:p w14:paraId="0B1970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w:t>
                  </w:r>
                </w:p>
              </w:tc>
              <w:tc>
                <w:tcPr>
                  <w:tcW w:w="201" w:type="pct"/>
                  <w:vMerge w:val="restart"/>
                  <w:noWrap w:val="0"/>
                  <w:vAlign w:val="center"/>
                </w:tcPr>
                <w:p w14:paraId="09BC48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无组织</w:t>
                  </w:r>
                </w:p>
              </w:tc>
              <w:tc>
                <w:tcPr>
                  <w:tcW w:w="428" w:type="pct"/>
                  <w:noWrap w:val="0"/>
                  <w:vAlign w:val="center"/>
                </w:tcPr>
                <w:p w14:paraId="6BA6BA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eastAsia" w:cs="Times New Roman"/>
                      <w:bCs/>
                      <w:color w:val="auto"/>
                      <w:kern w:val="2"/>
                      <w:sz w:val="21"/>
                      <w:szCs w:val="21"/>
                      <w:highlight w:val="none"/>
                      <w:lang w:val="en-US" w:eastAsia="zh-CN" w:bidi="ar-SA"/>
                    </w:rPr>
                    <w:t>0.168</w:t>
                  </w:r>
                </w:p>
              </w:tc>
              <w:tc>
                <w:tcPr>
                  <w:tcW w:w="428" w:type="pct"/>
                  <w:noWrap w:val="0"/>
                  <w:vAlign w:val="center"/>
                </w:tcPr>
                <w:p w14:paraId="4BAF8C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337" w:type="pct"/>
                  <w:noWrap w:val="0"/>
                  <w:vAlign w:val="center"/>
                </w:tcPr>
                <w:p w14:paraId="047604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《大气污染物综合排放标准》（GB16297-1996）表2无组织排放监控浓度限值</w:t>
                  </w:r>
                </w:p>
              </w:tc>
            </w:tr>
            <w:tr w14:paraId="7E94A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207" w:type="pct"/>
                  <w:vMerge w:val="continue"/>
                  <w:noWrap w:val="0"/>
                  <w:vAlign w:val="center"/>
                </w:tcPr>
                <w:p w14:paraId="201E84F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273" w:type="pct"/>
                  <w:noWrap w:val="0"/>
                  <w:vAlign w:val="center"/>
                </w:tcPr>
                <w:p w14:paraId="6703E8CB">
                  <w:pPr>
                    <w:keepNext w:val="0"/>
                    <w:keepLines w:val="0"/>
                    <w:widowControl w:val="0"/>
                    <w:suppressLineNumbers w:val="0"/>
                    <w:spacing w:line="240" w:lineRule="auto"/>
                    <w:jc w:val="center"/>
                    <w:textAlignment w:val="bottom"/>
                    <w:rPr>
                      <w:rFonts w:hint="default" w:ascii="Times New Roman" w:hAnsi="Times New Roman" w:eastAsia="宋体" w:cs="Times New Roman"/>
                      <w:i w:val="0"/>
                      <w:iCs w:val="0"/>
                      <w:color w:val="auto"/>
                      <w:spacing w:val="-10"/>
                      <w:kern w:val="2"/>
                      <w:sz w:val="21"/>
                      <w:szCs w:val="21"/>
                      <w:highlight w:val="none"/>
                      <w:u w:val="none"/>
                      <w:lang w:val="en-US" w:eastAsia="zh-CN" w:bidi="ar"/>
                    </w:rPr>
                  </w:pPr>
                  <w:r>
                    <w:rPr>
                      <w:rFonts w:hint="default" w:ascii="Times New Roman" w:hAnsi="Times New Roman" w:eastAsia="宋体" w:cs="Times New Roman"/>
                      <w:b w:val="0"/>
                      <w:bCs/>
                      <w:color w:val="auto"/>
                      <w:sz w:val="21"/>
                      <w:szCs w:val="21"/>
                      <w:highlight w:val="none"/>
                      <w:lang w:val="en-US" w:eastAsia="zh-CN"/>
                    </w:rPr>
                    <w:t>氨</w:t>
                  </w:r>
                </w:p>
              </w:tc>
              <w:tc>
                <w:tcPr>
                  <w:tcW w:w="674" w:type="pct"/>
                  <w:gridSpan w:val="2"/>
                  <w:noWrap w:val="0"/>
                  <w:vAlign w:val="center"/>
                </w:tcPr>
                <w:p w14:paraId="264442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0.00</w:t>
                  </w:r>
                  <w:r>
                    <w:rPr>
                      <w:rFonts w:hint="eastAsia" w:cs="Times New Roman"/>
                      <w:bCs/>
                      <w:color w:val="auto"/>
                      <w:kern w:val="2"/>
                      <w:sz w:val="21"/>
                      <w:szCs w:val="21"/>
                      <w:highlight w:val="none"/>
                      <w:lang w:val="en-US" w:eastAsia="zh-CN" w:bidi="ar-SA"/>
                    </w:rPr>
                    <w:t>1</w:t>
                  </w:r>
                </w:p>
              </w:tc>
              <w:tc>
                <w:tcPr>
                  <w:tcW w:w="425" w:type="pct"/>
                  <w:noWrap w:val="0"/>
                  <w:vAlign w:val="center"/>
                </w:tcPr>
                <w:p w14:paraId="7983215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spacing w:val="-20"/>
                      <w:kern w:val="2"/>
                      <w:sz w:val="21"/>
                      <w:szCs w:val="21"/>
                      <w:highlight w:val="none"/>
                      <w:lang w:val="en-US" w:eastAsia="zh-CN" w:bidi="ar-SA"/>
                    </w:rPr>
                    <w:t>/</w:t>
                  </w:r>
                </w:p>
              </w:tc>
              <w:tc>
                <w:tcPr>
                  <w:tcW w:w="627" w:type="pct"/>
                  <w:gridSpan w:val="2"/>
                  <w:noWrap w:val="0"/>
                  <w:vAlign w:val="center"/>
                </w:tcPr>
                <w:p w14:paraId="24AD50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96" w:type="pct"/>
                  <w:vMerge w:val="continue"/>
                  <w:noWrap w:val="0"/>
                  <w:vAlign w:val="center"/>
                </w:tcPr>
                <w:p w14:paraId="7EC669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201" w:type="pct"/>
                  <w:vMerge w:val="continue"/>
                  <w:noWrap w:val="0"/>
                  <w:vAlign w:val="center"/>
                </w:tcPr>
                <w:p w14:paraId="08BF068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201" w:type="pct"/>
                  <w:vMerge w:val="continue"/>
                  <w:noWrap w:val="0"/>
                  <w:vAlign w:val="center"/>
                </w:tcPr>
                <w:p w14:paraId="2AF837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428" w:type="pct"/>
                  <w:noWrap w:val="0"/>
                  <w:vAlign w:val="center"/>
                </w:tcPr>
                <w:p w14:paraId="372B149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0.00</w:t>
                  </w:r>
                  <w:r>
                    <w:rPr>
                      <w:rFonts w:hint="eastAsia" w:cs="Times New Roman"/>
                      <w:bCs/>
                      <w:color w:val="auto"/>
                      <w:kern w:val="2"/>
                      <w:sz w:val="21"/>
                      <w:szCs w:val="21"/>
                      <w:highlight w:val="none"/>
                      <w:lang w:val="en-US" w:eastAsia="zh-CN" w:bidi="ar-SA"/>
                    </w:rPr>
                    <w:t>1</w:t>
                  </w:r>
                </w:p>
              </w:tc>
              <w:tc>
                <w:tcPr>
                  <w:tcW w:w="428" w:type="pct"/>
                  <w:noWrap w:val="0"/>
                  <w:vAlign w:val="center"/>
                </w:tcPr>
                <w:p w14:paraId="5B5524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337" w:type="pct"/>
                  <w:vMerge w:val="restart"/>
                  <w:noWrap w:val="0"/>
                  <w:vAlign w:val="center"/>
                </w:tcPr>
                <w:p w14:paraId="3A167A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《恶臭污染物排放标准》（GB14554-93）中表1新扩改建二级标准</w:t>
                  </w:r>
                </w:p>
              </w:tc>
            </w:tr>
            <w:tr w14:paraId="6AE85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vMerge w:val="continue"/>
                  <w:noWrap w:val="0"/>
                  <w:vAlign w:val="center"/>
                </w:tcPr>
                <w:p w14:paraId="0ACF209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273" w:type="pct"/>
                  <w:noWrap w:val="0"/>
                  <w:vAlign w:val="center"/>
                </w:tcPr>
                <w:p w14:paraId="06CB55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eastAsia" w:cs="Times New Roman"/>
                      <w:bCs/>
                      <w:color w:val="auto"/>
                      <w:spacing w:val="-10"/>
                      <w:kern w:val="2"/>
                      <w:sz w:val="21"/>
                      <w:szCs w:val="21"/>
                      <w:highlight w:val="none"/>
                      <w:lang w:val="en-US" w:eastAsia="zh-CN" w:bidi="ar-SA"/>
                    </w:rPr>
                    <w:t>硫化氢</w:t>
                  </w:r>
                </w:p>
              </w:tc>
              <w:tc>
                <w:tcPr>
                  <w:tcW w:w="674" w:type="pct"/>
                  <w:gridSpan w:val="2"/>
                  <w:noWrap w:val="0"/>
                  <w:vAlign w:val="center"/>
                </w:tcPr>
                <w:p w14:paraId="1EC93B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0.00002</w:t>
                  </w:r>
                </w:p>
              </w:tc>
              <w:tc>
                <w:tcPr>
                  <w:tcW w:w="425" w:type="pct"/>
                  <w:noWrap w:val="0"/>
                  <w:vAlign w:val="center"/>
                </w:tcPr>
                <w:p w14:paraId="0A0B87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spacing w:val="-20"/>
                      <w:kern w:val="2"/>
                      <w:sz w:val="21"/>
                      <w:szCs w:val="21"/>
                      <w:highlight w:val="none"/>
                      <w:lang w:val="en-US" w:eastAsia="zh-CN" w:bidi="ar-SA"/>
                    </w:rPr>
                    <w:t>/</w:t>
                  </w:r>
                </w:p>
              </w:tc>
              <w:tc>
                <w:tcPr>
                  <w:tcW w:w="627" w:type="pct"/>
                  <w:gridSpan w:val="2"/>
                  <w:noWrap w:val="0"/>
                  <w:vAlign w:val="center"/>
                </w:tcPr>
                <w:p w14:paraId="032A5D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96" w:type="pct"/>
                  <w:vMerge w:val="continue"/>
                  <w:noWrap w:val="0"/>
                  <w:vAlign w:val="center"/>
                </w:tcPr>
                <w:p w14:paraId="469CB9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p>
              </w:tc>
              <w:tc>
                <w:tcPr>
                  <w:tcW w:w="201" w:type="pct"/>
                  <w:vMerge w:val="continue"/>
                  <w:noWrap w:val="0"/>
                  <w:vAlign w:val="center"/>
                </w:tcPr>
                <w:p w14:paraId="2E8EDC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p>
              </w:tc>
              <w:tc>
                <w:tcPr>
                  <w:tcW w:w="201" w:type="pct"/>
                  <w:vMerge w:val="continue"/>
                  <w:noWrap w:val="0"/>
                  <w:vAlign w:val="center"/>
                </w:tcPr>
                <w:p w14:paraId="2E78F6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428" w:type="pct"/>
                  <w:noWrap w:val="0"/>
                  <w:vAlign w:val="center"/>
                </w:tcPr>
                <w:p w14:paraId="39E15D9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eastAsia" w:cs="Times New Roman"/>
                      <w:bCs/>
                      <w:color w:val="auto"/>
                      <w:kern w:val="2"/>
                      <w:sz w:val="21"/>
                      <w:szCs w:val="21"/>
                      <w:highlight w:val="none"/>
                      <w:lang w:val="en-US" w:eastAsia="zh-CN" w:bidi="ar-SA"/>
                    </w:rPr>
                    <w:t>0.00002</w:t>
                  </w:r>
                </w:p>
              </w:tc>
              <w:tc>
                <w:tcPr>
                  <w:tcW w:w="428" w:type="pct"/>
                  <w:noWrap w:val="0"/>
                  <w:vAlign w:val="center"/>
                </w:tcPr>
                <w:p w14:paraId="78EF5A3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spacing w:val="-20"/>
                      <w:kern w:val="2"/>
                      <w:sz w:val="21"/>
                      <w:szCs w:val="21"/>
                      <w:highlight w:val="none"/>
                      <w:lang w:val="en-US" w:eastAsia="zh-CN" w:bidi="ar-SA"/>
                    </w:rPr>
                    <w:t>/</w:t>
                  </w:r>
                </w:p>
              </w:tc>
              <w:tc>
                <w:tcPr>
                  <w:tcW w:w="1337" w:type="pct"/>
                  <w:vMerge w:val="continue"/>
                  <w:noWrap w:val="0"/>
                  <w:vAlign w:val="center"/>
                </w:tcPr>
                <w:p w14:paraId="335250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r>
            <w:tr w14:paraId="3D672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vMerge w:val="continue"/>
                  <w:noWrap w:val="0"/>
                  <w:vAlign w:val="center"/>
                </w:tcPr>
                <w:p w14:paraId="47F85A3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273" w:type="pct"/>
                  <w:noWrap w:val="0"/>
                  <w:vAlign w:val="center"/>
                </w:tcPr>
                <w:p w14:paraId="30082F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臭气浓度</w:t>
                  </w:r>
                </w:p>
              </w:tc>
              <w:tc>
                <w:tcPr>
                  <w:tcW w:w="674" w:type="pct"/>
                  <w:gridSpan w:val="2"/>
                  <w:noWrap w:val="0"/>
                  <w:vAlign w:val="center"/>
                </w:tcPr>
                <w:p w14:paraId="1B271E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425" w:type="pct"/>
                  <w:noWrap w:val="0"/>
                  <w:vAlign w:val="center"/>
                </w:tcPr>
                <w:p w14:paraId="1ECF36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spacing w:val="-20"/>
                      <w:kern w:val="2"/>
                      <w:sz w:val="21"/>
                      <w:szCs w:val="21"/>
                      <w:highlight w:val="none"/>
                      <w:lang w:val="en-US" w:eastAsia="zh-CN" w:bidi="ar-SA"/>
                    </w:rPr>
                    <w:t>/</w:t>
                  </w:r>
                </w:p>
              </w:tc>
              <w:tc>
                <w:tcPr>
                  <w:tcW w:w="627" w:type="pct"/>
                  <w:gridSpan w:val="2"/>
                  <w:noWrap w:val="0"/>
                  <w:vAlign w:val="center"/>
                </w:tcPr>
                <w:p w14:paraId="492C60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96" w:type="pct"/>
                  <w:vMerge w:val="continue"/>
                  <w:noWrap w:val="0"/>
                  <w:vAlign w:val="center"/>
                </w:tcPr>
                <w:p w14:paraId="05F56D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p>
              </w:tc>
              <w:tc>
                <w:tcPr>
                  <w:tcW w:w="201" w:type="pct"/>
                  <w:vMerge w:val="continue"/>
                  <w:noWrap w:val="0"/>
                  <w:vAlign w:val="center"/>
                </w:tcPr>
                <w:p w14:paraId="106738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p>
              </w:tc>
              <w:tc>
                <w:tcPr>
                  <w:tcW w:w="201" w:type="pct"/>
                  <w:vMerge w:val="continue"/>
                  <w:noWrap w:val="0"/>
                  <w:vAlign w:val="center"/>
                </w:tcPr>
                <w:p w14:paraId="246485B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428" w:type="pct"/>
                  <w:noWrap w:val="0"/>
                  <w:vAlign w:val="center"/>
                </w:tcPr>
                <w:p w14:paraId="21A5FED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20"/>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w:t>
                  </w:r>
                </w:p>
              </w:tc>
              <w:tc>
                <w:tcPr>
                  <w:tcW w:w="428" w:type="pct"/>
                  <w:noWrap w:val="0"/>
                  <w:vAlign w:val="center"/>
                </w:tcPr>
                <w:p w14:paraId="179D1D9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w:t>
                  </w:r>
                </w:p>
              </w:tc>
              <w:tc>
                <w:tcPr>
                  <w:tcW w:w="1337" w:type="pct"/>
                  <w:vMerge w:val="continue"/>
                  <w:noWrap w:val="0"/>
                  <w:vAlign w:val="center"/>
                </w:tcPr>
                <w:p w14:paraId="6C51C30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r>
            <w:tr w14:paraId="6405D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69" w:hRule="atLeast"/>
                <w:jc w:val="center"/>
              </w:trPr>
              <w:tc>
                <w:tcPr>
                  <w:tcW w:w="207" w:type="pct"/>
                  <w:noWrap w:val="0"/>
                  <w:vAlign w:val="center"/>
                </w:tcPr>
                <w:p w14:paraId="52AB69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排放量合计</w:t>
                  </w:r>
                </w:p>
              </w:tc>
              <w:tc>
                <w:tcPr>
                  <w:tcW w:w="4792" w:type="pct"/>
                  <w:gridSpan w:val="12"/>
                  <w:noWrap w:val="0"/>
                  <w:vAlign w:val="center"/>
                </w:tcPr>
                <w:p w14:paraId="59212BA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b w:val="0"/>
                      <w:bCs w:val="0"/>
                      <w:color w:val="auto"/>
                      <w:spacing w:val="-10"/>
                      <w:sz w:val="21"/>
                      <w:szCs w:val="21"/>
                      <w:highlight w:val="none"/>
                      <w:vertAlign w:val="baseline"/>
                      <w:lang w:val="en-US" w:eastAsia="zh-CN" w:bidi="ar"/>
                    </w:rPr>
                  </w:pPr>
                  <w:r>
                    <w:rPr>
                      <w:rFonts w:hint="default" w:ascii="Times New Roman" w:hAnsi="Times New Roman" w:eastAsia="宋体" w:cs="Times New Roman"/>
                      <w:b w:val="0"/>
                      <w:bCs w:val="0"/>
                      <w:color w:val="auto"/>
                      <w:spacing w:val="-10"/>
                      <w:sz w:val="21"/>
                      <w:szCs w:val="21"/>
                      <w:highlight w:val="none"/>
                      <w:vertAlign w:val="baseline"/>
                      <w:lang w:val="en-US" w:eastAsia="zh-CN" w:bidi="ar"/>
                    </w:rPr>
                    <w:t>颗粒物：</w:t>
                  </w:r>
                  <w:r>
                    <w:rPr>
                      <w:rFonts w:hint="eastAsia" w:cs="Times New Roman"/>
                      <w:b w:val="0"/>
                      <w:bCs w:val="0"/>
                      <w:color w:val="auto"/>
                      <w:spacing w:val="-10"/>
                      <w:sz w:val="21"/>
                      <w:szCs w:val="21"/>
                      <w:highlight w:val="none"/>
                      <w:vertAlign w:val="baseline"/>
                      <w:lang w:val="en-US" w:eastAsia="zh-CN" w:bidi="ar"/>
                    </w:rPr>
                    <w:t>1.425</w:t>
                  </w:r>
                  <w:r>
                    <w:rPr>
                      <w:rFonts w:hint="default" w:ascii="Times New Roman" w:hAnsi="Times New Roman" w:eastAsia="宋体" w:cs="Times New Roman"/>
                      <w:b w:val="0"/>
                      <w:bCs w:val="0"/>
                      <w:color w:val="auto"/>
                      <w:spacing w:val="-10"/>
                      <w:sz w:val="21"/>
                      <w:szCs w:val="21"/>
                      <w:highlight w:val="none"/>
                      <w:vertAlign w:val="baseline"/>
                      <w:lang w:val="en-US" w:eastAsia="zh-CN" w:bidi="ar"/>
                    </w:rPr>
                    <w:t>t/a</w:t>
                  </w:r>
                  <w:r>
                    <w:rPr>
                      <w:rFonts w:hint="default" w:ascii="Times New Roman" w:hAnsi="Times New Roman" w:eastAsia="宋体" w:cs="Times New Roman"/>
                      <w:color w:val="auto"/>
                      <w:kern w:val="2"/>
                      <w:sz w:val="21"/>
                      <w:szCs w:val="21"/>
                      <w:highlight w:val="none"/>
                      <w:lang w:val="en-US" w:eastAsia="zh-CN" w:bidi="ar-SA"/>
                    </w:rPr>
                    <w:t>；氨：0.00</w:t>
                  </w:r>
                  <w:r>
                    <w:rPr>
                      <w:rFonts w:hint="eastAsia" w:cs="Times New Roman"/>
                      <w:color w:val="auto"/>
                      <w:kern w:val="2"/>
                      <w:sz w:val="21"/>
                      <w:szCs w:val="21"/>
                      <w:highlight w:val="none"/>
                      <w:lang w:val="en-US" w:eastAsia="zh-CN" w:bidi="ar-SA"/>
                    </w:rPr>
                    <w:t>3</w:t>
                  </w:r>
                  <w:r>
                    <w:rPr>
                      <w:rFonts w:hint="default" w:ascii="Times New Roman" w:hAnsi="Times New Roman" w:eastAsia="宋体" w:cs="Times New Roman"/>
                      <w:color w:val="auto"/>
                      <w:kern w:val="2"/>
                      <w:sz w:val="21"/>
                      <w:szCs w:val="21"/>
                      <w:highlight w:val="none"/>
                      <w:lang w:val="en-US" w:eastAsia="zh-CN" w:bidi="ar-SA"/>
                    </w:rPr>
                    <w:t>t/a</w:t>
                  </w:r>
                  <w:r>
                    <w:rPr>
                      <w:rFonts w:hint="eastAsia" w:cs="Times New Roman"/>
                      <w:color w:val="auto"/>
                      <w:kern w:val="2"/>
                      <w:sz w:val="21"/>
                      <w:szCs w:val="21"/>
                      <w:highlight w:val="none"/>
                      <w:lang w:val="en-US" w:eastAsia="zh-CN" w:bidi="ar-SA"/>
                    </w:rPr>
                    <w:t>；硫化氢0.00006。</w:t>
                  </w:r>
                </w:p>
              </w:tc>
            </w:tr>
          </w:tbl>
          <w:p w14:paraId="1D51D0D9">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tc>
      </w:tr>
    </w:tbl>
    <w:p w14:paraId="4C8A647E">
      <w:pPr>
        <w:rPr>
          <w:color w:val="auto"/>
          <w:highlight w:val="none"/>
        </w:rPr>
        <w:sectPr>
          <w:pgSz w:w="16840" w:h="11907" w:orient="landscape"/>
          <w:pgMar w:top="1531" w:right="1701" w:bottom="1531" w:left="1644"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890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8162"/>
      </w:tblGrid>
      <w:tr w14:paraId="364959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25" w:hRule="atLeast"/>
          <w:jc w:val="center"/>
        </w:trPr>
        <w:tc>
          <w:tcPr>
            <w:tcW w:w="746" w:type="dxa"/>
            <w:noWrap w:val="0"/>
            <w:tcMar>
              <w:left w:w="28" w:type="dxa"/>
              <w:right w:w="28" w:type="dxa"/>
            </w:tcMar>
            <w:vAlign w:val="center"/>
          </w:tcPr>
          <w:p w14:paraId="3E01B5C2">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0E5BFEC0">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21909495">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2E394057">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443B0876">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57C7B2D0">
            <w:pPr>
              <w:adjustRightInd/>
              <w:snapToGrid/>
              <w:spacing w:line="240" w:lineRule="auto"/>
              <w:jc w:val="center"/>
              <w:rPr>
                <w:rFonts w:ascii="宋体" w:hAnsi="宋体" w:cs="宋体"/>
                <w:bCs/>
                <w:color w:val="auto"/>
                <w:sz w:val="21"/>
                <w:szCs w:val="21"/>
                <w:highlight w:val="none"/>
              </w:rPr>
            </w:pPr>
            <w:r>
              <w:rPr>
                <w:rFonts w:hint="eastAsia" w:ascii="宋体" w:hAnsi="宋体" w:cs="宋体"/>
                <w:bCs/>
                <w:color w:val="auto"/>
                <w:sz w:val="21"/>
                <w:szCs w:val="21"/>
                <w:highlight w:val="none"/>
              </w:rPr>
              <w:t>措施</w:t>
            </w:r>
          </w:p>
        </w:tc>
        <w:tc>
          <w:tcPr>
            <w:tcW w:w="8162" w:type="dxa"/>
            <w:noWrap w:val="0"/>
            <w:vAlign w:val="center"/>
          </w:tcPr>
          <w:p w14:paraId="63A0D919">
            <w:pPr>
              <w:keepNext w:val="0"/>
              <w:keepLines w:val="0"/>
              <w:widowControl w:val="0"/>
              <w:suppressLineNumbers w:val="0"/>
              <w:spacing w:before="0" w:beforeAutospacing="0" w:after="0" w:afterAutospacing="0" w:line="360" w:lineRule="auto"/>
              <w:ind w:left="0" w:leftChars="0" w:right="0" w:firstLine="0" w:firstLineChars="0"/>
              <w:jc w:val="center"/>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4-</w:t>
            </w:r>
            <w:r>
              <w:rPr>
                <w:rFonts w:hint="eastAsia" w:cs="Times New Roman"/>
                <w:b/>
                <w:bCs/>
                <w:color w:val="auto"/>
                <w:kern w:val="0"/>
                <w:sz w:val="21"/>
                <w:szCs w:val="21"/>
                <w:highlight w:val="none"/>
                <w:lang w:val="en-US" w:eastAsia="zh-CN" w:bidi="ar-SA"/>
              </w:rPr>
              <w:t>5</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项目废气排放口基本情况表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3"/>
              <w:gridCol w:w="835"/>
              <w:gridCol w:w="1195"/>
              <w:gridCol w:w="1041"/>
              <w:gridCol w:w="800"/>
              <w:gridCol w:w="892"/>
              <w:gridCol w:w="961"/>
              <w:gridCol w:w="1126"/>
            </w:tblGrid>
            <w:tr w14:paraId="5844E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688" w:type="pct"/>
                  <w:vMerge w:val="restart"/>
                  <w:noWrap w:val="0"/>
                  <w:vAlign w:val="center"/>
                </w:tcPr>
                <w:p w14:paraId="3CFED8F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排放口</w:t>
                  </w:r>
                </w:p>
                <w:p w14:paraId="03DCE4A4">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名称</w:t>
                  </w:r>
                </w:p>
              </w:tc>
              <w:tc>
                <w:tcPr>
                  <w:tcW w:w="529" w:type="pct"/>
                  <w:vMerge w:val="restart"/>
                  <w:noWrap w:val="0"/>
                  <w:vAlign w:val="center"/>
                </w:tcPr>
                <w:p w14:paraId="0320E323">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排放口编号</w:t>
                  </w:r>
                </w:p>
              </w:tc>
              <w:tc>
                <w:tcPr>
                  <w:tcW w:w="1421" w:type="pct"/>
                  <w:gridSpan w:val="2"/>
                  <w:noWrap w:val="0"/>
                  <w:vAlign w:val="center"/>
                </w:tcPr>
                <w:p w14:paraId="0FD9945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排放口地理坐标</w:t>
                  </w:r>
                </w:p>
              </w:tc>
              <w:tc>
                <w:tcPr>
                  <w:tcW w:w="467" w:type="pct"/>
                  <w:vMerge w:val="restart"/>
                  <w:noWrap w:val="0"/>
                  <w:vAlign w:val="center"/>
                </w:tcPr>
                <w:p w14:paraId="714B6052">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排放</w:t>
                  </w:r>
                </w:p>
                <w:p w14:paraId="0B87FC02">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高度（m）</w:t>
                  </w:r>
                </w:p>
              </w:tc>
              <w:tc>
                <w:tcPr>
                  <w:tcW w:w="567" w:type="pct"/>
                  <w:vMerge w:val="restart"/>
                  <w:noWrap w:val="0"/>
                  <w:vAlign w:val="center"/>
                </w:tcPr>
                <w:p w14:paraId="570B2B3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排气筒</w:t>
                  </w:r>
                </w:p>
                <w:p w14:paraId="7ABB629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内径</w:t>
                  </w:r>
                  <w:r>
                    <w:rPr>
                      <w:rFonts w:hint="default" w:ascii="Times New Roman" w:hAnsi="Times New Roman" w:eastAsia="宋体" w:cs="Times New Roman"/>
                      <w:color w:val="auto"/>
                      <w:kern w:val="0"/>
                      <w:sz w:val="21"/>
                      <w:szCs w:val="21"/>
                      <w:highlight w:val="none"/>
                      <w:lang w:val="en-US" w:eastAsia="zh-CN" w:bidi="ar-SA"/>
                    </w:rPr>
                    <w:t>（m）</w:t>
                  </w:r>
                </w:p>
              </w:tc>
              <w:tc>
                <w:tcPr>
                  <w:tcW w:w="610" w:type="pct"/>
                  <w:vMerge w:val="restart"/>
                  <w:noWrap w:val="0"/>
                  <w:vAlign w:val="center"/>
                </w:tcPr>
                <w:p w14:paraId="607BBEB4">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排气</w:t>
                  </w:r>
                </w:p>
                <w:p w14:paraId="67B22D45">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温度（℃）</w:t>
                  </w:r>
                </w:p>
              </w:tc>
              <w:tc>
                <w:tcPr>
                  <w:tcW w:w="714" w:type="pct"/>
                  <w:vMerge w:val="restart"/>
                  <w:noWrap w:val="0"/>
                  <w:vAlign w:val="center"/>
                </w:tcPr>
                <w:p w14:paraId="41B4A0DA">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排放口</w:t>
                  </w:r>
                </w:p>
                <w:p w14:paraId="79874044">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类型</w:t>
                  </w:r>
                </w:p>
              </w:tc>
            </w:tr>
            <w:tr w14:paraId="7E576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688" w:type="pct"/>
                  <w:vMerge w:val="continue"/>
                  <w:noWrap w:val="0"/>
                  <w:vAlign w:val="center"/>
                </w:tcPr>
                <w:p w14:paraId="61F8C970">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29" w:type="pct"/>
                  <w:vMerge w:val="continue"/>
                  <w:noWrap w:val="0"/>
                  <w:vAlign w:val="center"/>
                </w:tcPr>
                <w:p w14:paraId="2486443A">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760" w:type="pct"/>
                  <w:noWrap w:val="0"/>
                  <w:vAlign w:val="center"/>
                </w:tcPr>
                <w:p w14:paraId="576C937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经度°</w:t>
                  </w:r>
                </w:p>
              </w:tc>
              <w:tc>
                <w:tcPr>
                  <w:tcW w:w="660" w:type="pct"/>
                  <w:noWrap w:val="0"/>
                  <w:vAlign w:val="center"/>
                </w:tcPr>
                <w:p w14:paraId="5803CC4E">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纬度°</w:t>
                  </w:r>
                </w:p>
              </w:tc>
              <w:tc>
                <w:tcPr>
                  <w:tcW w:w="467" w:type="pct"/>
                  <w:vMerge w:val="continue"/>
                  <w:noWrap w:val="0"/>
                  <w:vAlign w:val="center"/>
                </w:tcPr>
                <w:p w14:paraId="43D8072C">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67" w:type="pct"/>
                  <w:vMerge w:val="continue"/>
                  <w:noWrap w:val="0"/>
                  <w:vAlign w:val="center"/>
                </w:tcPr>
                <w:p w14:paraId="67DB07F7">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610" w:type="pct"/>
                  <w:vMerge w:val="continue"/>
                  <w:noWrap w:val="0"/>
                  <w:vAlign w:val="center"/>
                </w:tcPr>
                <w:p w14:paraId="34E8E3B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714" w:type="pct"/>
                  <w:vMerge w:val="continue"/>
                  <w:noWrap w:val="0"/>
                  <w:vAlign w:val="center"/>
                </w:tcPr>
                <w:p w14:paraId="082B22F7">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r>
            <w:tr w14:paraId="3E33E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8" w:type="pct"/>
                  <w:noWrap w:val="0"/>
                  <w:vAlign w:val="center"/>
                </w:tcPr>
                <w:p w14:paraId="6D5E53B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甘氨酸螯合物一车间</w:t>
                  </w:r>
                  <w:r>
                    <w:rPr>
                      <w:rFonts w:hint="eastAsia" w:ascii="Times New Roman" w:hAnsi="Times New Roman" w:eastAsia="宋体" w:cs="Times New Roman"/>
                      <w:color w:val="auto"/>
                      <w:kern w:val="0"/>
                      <w:sz w:val="21"/>
                      <w:szCs w:val="21"/>
                      <w:highlight w:val="none"/>
                      <w:lang w:val="en-US" w:eastAsia="zh-CN" w:bidi="ar-SA"/>
                    </w:rPr>
                    <w:t>排气筒</w:t>
                  </w:r>
                </w:p>
              </w:tc>
              <w:tc>
                <w:tcPr>
                  <w:tcW w:w="529" w:type="pct"/>
                  <w:noWrap w:val="0"/>
                  <w:vAlign w:val="center"/>
                </w:tcPr>
                <w:p w14:paraId="1CDF3E62">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DA0</w:t>
                  </w:r>
                  <w:r>
                    <w:rPr>
                      <w:rFonts w:hint="eastAsia" w:cs="Times New Roman"/>
                      <w:color w:val="auto"/>
                      <w:kern w:val="0"/>
                      <w:sz w:val="21"/>
                      <w:szCs w:val="21"/>
                      <w:highlight w:val="none"/>
                      <w:lang w:val="en-US" w:eastAsia="zh-CN" w:bidi="ar-SA"/>
                    </w:rPr>
                    <w:t>28</w:t>
                  </w:r>
                </w:p>
              </w:tc>
              <w:tc>
                <w:tcPr>
                  <w:tcW w:w="760" w:type="pct"/>
                  <w:noWrap w:val="0"/>
                  <w:vAlign w:val="center"/>
                </w:tcPr>
                <w:p w14:paraId="4A7D8683">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114.67</w:t>
                  </w:r>
                  <w:r>
                    <w:rPr>
                      <w:rFonts w:hint="eastAsia" w:cs="Times New Roman"/>
                      <w:color w:val="auto"/>
                      <w:kern w:val="0"/>
                      <w:sz w:val="21"/>
                      <w:szCs w:val="21"/>
                      <w:highlight w:val="none"/>
                      <w:lang w:val="en-US" w:eastAsia="zh-CN" w:bidi="ar-SA"/>
                    </w:rPr>
                    <w:t>27</w:t>
                  </w:r>
                </w:p>
              </w:tc>
              <w:tc>
                <w:tcPr>
                  <w:tcW w:w="660" w:type="pct"/>
                  <w:noWrap w:val="0"/>
                  <w:vAlign w:val="center"/>
                </w:tcPr>
                <w:p w14:paraId="4F3E702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37.96</w:t>
                  </w:r>
                  <w:r>
                    <w:rPr>
                      <w:rFonts w:hint="eastAsia" w:cs="Times New Roman"/>
                      <w:color w:val="auto"/>
                      <w:kern w:val="0"/>
                      <w:sz w:val="21"/>
                      <w:szCs w:val="21"/>
                      <w:highlight w:val="none"/>
                      <w:lang w:val="en-US" w:eastAsia="zh-CN" w:bidi="ar-SA"/>
                    </w:rPr>
                    <w:t>29</w:t>
                  </w:r>
                </w:p>
              </w:tc>
              <w:tc>
                <w:tcPr>
                  <w:tcW w:w="467" w:type="pct"/>
                  <w:noWrap w:val="0"/>
                  <w:vAlign w:val="center"/>
                </w:tcPr>
                <w:p w14:paraId="0AEE61FB">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25</w:t>
                  </w:r>
                </w:p>
              </w:tc>
              <w:tc>
                <w:tcPr>
                  <w:tcW w:w="567" w:type="pct"/>
                  <w:noWrap w:val="0"/>
                  <w:vAlign w:val="center"/>
                </w:tcPr>
                <w:p w14:paraId="215AE7B9">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0.5</w:t>
                  </w:r>
                </w:p>
              </w:tc>
              <w:tc>
                <w:tcPr>
                  <w:tcW w:w="610" w:type="pct"/>
                  <w:noWrap w:val="0"/>
                  <w:vAlign w:val="center"/>
                </w:tcPr>
                <w:p w14:paraId="627B245B">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常温</w:t>
                  </w:r>
                </w:p>
              </w:tc>
              <w:tc>
                <w:tcPr>
                  <w:tcW w:w="714" w:type="pct"/>
                  <w:noWrap w:val="0"/>
                  <w:vAlign w:val="center"/>
                </w:tcPr>
                <w:p w14:paraId="33D1DF1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一般排放口</w:t>
                  </w:r>
                </w:p>
              </w:tc>
            </w:tr>
            <w:tr w14:paraId="2E2D1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8" w:type="pct"/>
                  <w:noWrap w:val="0"/>
                  <w:vAlign w:val="center"/>
                </w:tcPr>
                <w:p w14:paraId="056FEC5A">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污水处理车间排气筒</w:t>
                  </w:r>
                </w:p>
              </w:tc>
              <w:tc>
                <w:tcPr>
                  <w:tcW w:w="529" w:type="pct"/>
                  <w:noWrap w:val="0"/>
                  <w:vAlign w:val="center"/>
                </w:tcPr>
                <w:p w14:paraId="2F4940B4">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DA0</w:t>
                  </w:r>
                  <w:r>
                    <w:rPr>
                      <w:rFonts w:hint="eastAsia" w:cs="Times New Roman"/>
                      <w:color w:val="auto"/>
                      <w:kern w:val="0"/>
                      <w:sz w:val="21"/>
                      <w:szCs w:val="21"/>
                      <w:highlight w:val="none"/>
                      <w:lang w:val="en-US" w:eastAsia="zh-CN" w:bidi="ar-SA"/>
                    </w:rPr>
                    <w:t>10</w:t>
                  </w:r>
                </w:p>
              </w:tc>
              <w:tc>
                <w:tcPr>
                  <w:tcW w:w="760" w:type="pct"/>
                  <w:noWrap w:val="0"/>
                  <w:vAlign w:val="center"/>
                </w:tcPr>
                <w:p w14:paraId="4BAFC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114.6766</w:t>
                  </w:r>
                </w:p>
              </w:tc>
              <w:tc>
                <w:tcPr>
                  <w:tcW w:w="660" w:type="pct"/>
                  <w:noWrap w:val="0"/>
                  <w:vAlign w:val="center"/>
                </w:tcPr>
                <w:p w14:paraId="12ADFC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i w:val="0"/>
                      <w:iCs w:val="0"/>
                      <w:caps w:val="0"/>
                      <w:color w:val="auto"/>
                      <w:spacing w:val="0"/>
                      <w:sz w:val="21"/>
                      <w:szCs w:val="21"/>
                      <w:highlight w:val="none"/>
                      <w:shd w:val="clear" w:fill="FFFFFF"/>
                      <w:lang w:val="en-US" w:eastAsia="zh-CN"/>
                    </w:rPr>
                    <w:t>37.9645</w:t>
                  </w:r>
                </w:p>
              </w:tc>
              <w:tc>
                <w:tcPr>
                  <w:tcW w:w="467" w:type="pct"/>
                  <w:noWrap w:val="0"/>
                  <w:vAlign w:val="center"/>
                </w:tcPr>
                <w:p w14:paraId="539BBB25">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15</w:t>
                  </w:r>
                </w:p>
              </w:tc>
              <w:tc>
                <w:tcPr>
                  <w:tcW w:w="567" w:type="pct"/>
                  <w:noWrap w:val="0"/>
                  <w:vAlign w:val="center"/>
                </w:tcPr>
                <w:p w14:paraId="296124A7">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1.2</w:t>
                  </w:r>
                </w:p>
              </w:tc>
              <w:tc>
                <w:tcPr>
                  <w:tcW w:w="610" w:type="pct"/>
                  <w:noWrap w:val="0"/>
                  <w:vAlign w:val="center"/>
                </w:tcPr>
                <w:p w14:paraId="21040C9E">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常温</w:t>
                  </w:r>
                </w:p>
              </w:tc>
              <w:tc>
                <w:tcPr>
                  <w:tcW w:w="714" w:type="pct"/>
                  <w:noWrap w:val="0"/>
                  <w:vAlign w:val="center"/>
                </w:tcPr>
                <w:p w14:paraId="6369F597">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主要排放口</w:t>
                  </w:r>
                </w:p>
              </w:tc>
            </w:tr>
          </w:tbl>
          <w:p w14:paraId="5079747B">
            <w:pPr>
              <w:ind w:firstLine="420" w:firstLineChars="200"/>
              <w:rPr>
                <w:rFonts w:hint="default" w:ascii="Times New Roman" w:hAnsi="Times New Roman" w:eastAsia="宋体" w:cs="Times New Roman"/>
                <w:b w:val="0"/>
                <w:bCs w:val="0"/>
                <w:color w:val="auto"/>
                <w:sz w:val="21"/>
                <w:szCs w:val="21"/>
                <w:highlight w:val="none"/>
                <w:lang w:val="en-US" w:eastAsia="zh-CN"/>
              </w:rPr>
            </w:pPr>
            <w:r>
              <w:rPr>
                <w:rFonts w:hint="eastAsia" w:cs="Times New Roman"/>
                <w:b w:val="0"/>
                <w:bCs w:val="0"/>
                <w:color w:val="auto"/>
                <w:sz w:val="21"/>
                <w:szCs w:val="21"/>
                <w:highlight w:val="none"/>
                <w:lang w:val="en-US" w:eastAsia="zh-CN"/>
              </w:rPr>
              <w:t>3</w:t>
            </w:r>
            <w:r>
              <w:rPr>
                <w:rFonts w:hint="eastAsia" w:eastAsia="宋体" w:cs="Times New Roman"/>
                <w:b w:val="0"/>
                <w:bCs w:val="0"/>
                <w:color w:val="auto"/>
                <w:sz w:val="21"/>
                <w:szCs w:val="21"/>
                <w:highlight w:val="none"/>
                <w:lang w:val="en-US" w:eastAsia="zh-CN"/>
              </w:rPr>
              <w:t>、</w:t>
            </w:r>
            <w:r>
              <w:rPr>
                <w:rFonts w:hint="default" w:ascii="Times New Roman" w:hAnsi="Times New Roman" w:eastAsia="宋体" w:cs="Times New Roman"/>
                <w:b w:val="0"/>
                <w:bCs w:val="0"/>
                <w:color w:val="auto"/>
                <w:sz w:val="21"/>
                <w:szCs w:val="21"/>
                <w:highlight w:val="none"/>
                <w:lang w:val="en-US" w:eastAsia="zh-CN"/>
              </w:rPr>
              <w:t>非正常工况</w:t>
            </w:r>
          </w:p>
          <w:p w14:paraId="70F91C15">
            <w:pPr>
              <w:ind w:firstLine="420" w:firstLineChars="200"/>
              <w:rPr>
                <w:rFonts w:hint="default"/>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非正常排放指生产过程中开停车（工、炉）、设备检修、工艺设备运转异常等非正常工况下的污染物排放，以及污染物排放控制措施达不到应有效率等情况下的排放，如工艺设备和环保设施不能正常运行时污染物的排放等。本项目非正常状况主要为废气治理设施出现故障，导致废气处理效率降低引起污染物排放发生变化。项目废气治理设施发生故障影响最大的为</w:t>
            </w:r>
            <w:r>
              <w:rPr>
                <w:rFonts w:hint="eastAsia" w:cs="Times New Roman"/>
                <w:color w:val="auto"/>
                <w:sz w:val="21"/>
                <w:szCs w:val="21"/>
                <w:highlight w:val="none"/>
                <w:lang w:val="en-US" w:eastAsia="zh-CN"/>
              </w:rPr>
              <w:t>水洗塔+酸洗塔和布袋除尘器装置</w:t>
            </w:r>
            <w:r>
              <w:rPr>
                <w:rFonts w:hint="default" w:ascii="Times New Roman" w:hAnsi="Times New Roman" w:eastAsia="宋体" w:cs="Times New Roman"/>
                <w:color w:val="auto"/>
                <w:sz w:val="21"/>
                <w:szCs w:val="21"/>
                <w:highlight w:val="none"/>
                <w:lang w:val="en-US" w:eastAsia="zh-CN"/>
              </w:rPr>
              <w:t>发生故障，导致废气</w:t>
            </w:r>
            <w:r>
              <w:rPr>
                <w:rFonts w:hint="eastAsia" w:cs="Times New Roman"/>
                <w:color w:val="auto"/>
                <w:sz w:val="21"/>
                <w:szCs w:val="21"/>
                <w:highlight w:val="none"/>
                <w:lang w:val="en-US" w:eastAsia="zh-CN"/>
              </w:rPr>
              <w:t>无</w:t>
            </w:r>
            <w:r>
              <w:rPr>
                <w:rFonts w:hint="default" w:ascii="Times New Roman" w:hAnsi="Times New Roman" w:eastAsia="宋体" w:cs="Times New Roman"/>
                <w:color w:val="auto"/>
                <w:sz w:val="21"/>
                <w:szCs w:val="21"/>
                <w:highlight w:val="none"/>
                <w:lang w:val="en-US" w:eastAsia="zh-CN"/>
              </w:rPr>
              <w:t>除效率，</w:t>
            </w:r>
            <w:r>
              <w:rPr>
                <w:rFonts w:hint="eastAsia" w:cs="Times New Roman"/>
                <w:color w:val="auto"/>
                <w:sz w:val="21"/>
                <w:szCs w:val="21"/>
                <w:highlight w:val="none"/>
                <w:lang w:val="en-US" w:eastAsia="zh-CN"/>
              </w:rPr>
              <w:t>颗粒物浓度</w:t>
            </w:r>
            <w:r>
              <w:rPr>
                <w:rFonts w:hint="default" w:ascii="Times New Roman" w:hAnsi="Times New Roman" w:eastAsia="宋体" w:cs="Times New Roman"/>
                <w:color w:val="auto"/>
                <w:sz w:val="21"/>
                <w:szCs w:val="21"/>
                <w:highlight w:val="none"/>
                <w:lang w:val="en-US" w:eastAsia="zh-CN"/>
              </w:rPr>
              <w:t>去除效率降至0，类比同类企业，废气治理设施的故障发生频次≤1次/年，持续时间≤</w:t>
            </w:r>
            <w:r>
              <w:rPr>
                <w:rFonts w:hint="eastAsia" w:cs="Times New Roman"/>
                <w:color w:val="auto"/>
                <w:sz w:val="21"/>
                <w:szCs w:val="21"/>
                <w:highlight w:val="none"/>
                <w:lang w:val="en-US" w:eastAsia="zh-CN"/>
              </w:rPr>
              <w:t>3</w:t>
            </w:r>
            <w:r>
              <w:rPr>
                <w:rFonts w:hint="default" w:ascii="Times New Roman" w:hAnsi="Times New Roman" w:eastAsia="宋体" w:cs="Times New Roman"/>
                <w:color w:val="auto"/>
                <w:sz w:val="21"/>
                <w:szCs w:val="21"/>
                <w:highlight w:val="none"/>
                <w:lang w:val="en-US" w:eastAsia="zh-CN"/>
              </w:rPr>
              <w:t>0min；当发现废气治理设施出现故障时，通过关闭电源，待废气治理设施恢复正常运行后再进行生产。本项目非正常工况下污染物排放情况见表4-</w:t>
            </w:r>
            <w:r>
              <w:rPr>
                <w:rFonts w:hint="eastAsia" w:cs="Times New Roman"/>
                <w:color w:val="auto"/>
                <w:sz w:val="21"/>
                <w:szCs w:val="21"/>
                <w:highlight w:val="none"/>
                <w:lang w:val="en-US" w:eastAsia="zh-CN"/>
              </w:rPr>
              <w:t>6</w:t>
            </w:r>
            <w:r>
              <w:rPr>
                <w:rFonts w:hint="default" w:ascii="Times New Roman" w:hAnsi="Times New Roman" w:eastAsia="宋体" w:cs="Times New Roman"/>
                <w:color w:val="auto"/>
                <w:sz w:val="21"/>
                <w:szCs w:val="21"/>
                <w:highlight w:val="none"/>
                <w:lang w:val="en-US" w:eastAsia="zh-CN"/>
              </w:rPr>
              <w:t>。</w:t>
            </w:r>
          </w:p>
          <w:p w14:paraId="6E315342">
            <w:pPr>
              <w:keepNext w:val="0"/>
              <w:keepLines w:val="0"/>
              <w:widowControl w:val="0"/>
              <w:kinsoku/>
              <w:autoSpaceDE/>
              <w:autoSpaceDN/>
              <w:bidi w:val="0"/>
              <w:adjustRightInd/>
              <w:snapToGrid/>
              <w:spacing w:beforeLines="0" w:beforeAutospacing="0" w:afterLines="0" w:afterAutospacing="0" w:line="360" w:lineRule="auto"/>
              <w:ind w:firstLine="0" w:firstLineChars="0"/>
              <w:jc w:val="center"/>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w:t>
            </w:r>
            <w:r>
              <w:rPr>
                <w:rFonts w:hint="eastAsia" w:ascii="Times New Roman" w:hAnsi="Times New Roman" w:eastAsia="宋体" w:cs="Times New Roman"/>
                <w:b/>
                <w:bCs w:val="0"/>
                <w:color w:val="auto"/>
                <w:kern w:val="2"/>
                <w:sz w:val="21"/>
                <w:szCs w:val="21"/>
                <w:highlight w:val="none"/>
                <w:lang w:val="en-US" w:eastAsia="zh-CN" w:bidi="ar-SA"/>
              </w:rPr>
              <w:t xml:space="preserve"> </w:t>
            </w:r>
            <w:r>
              <w:rPr>
                <w:rFonts w:hint="default" w:ascii="Times New Roman" w:hAnsi="Times New Roman" w:eastAsia="宋体" w:cs="Times New Roman"/>
                <w:b/>
                <w:bCs w:val="0"/>
                <w:color w:val="auto"/>
                <w:kern w:val="2"/>
                <w:sz w:val="21"/>
                <w:szCs w:val="21"/>
                <w:highlight w:val="none"/>
                <w:lang w:val="en-US" w:eastAsia="zh-CN" w:bidi="ar-SA"/>
              </w:rPr>
              <w:t>4-</w:t>
            </w:r>
            <w:r>
              <w:rPr>
                <w:rFonts w:hint="eastAsia" w:cs="Times New Roman"/>
                <w:b/>
                <w:bCs w:val="0"/>
                <w:color w:val="auto"/>
                <w:kern w:val="2"/>
                <w:sz w:val="21"/>
                <w:szCs w:val="21"/>
                <w:highlight w:val="none"/>
                <w:lang w:val="en-US" w:eastAsia="zh-CN" w:bidi="ar-SA"/>
              </w:rPr>
              <w:t>6</w:t>
            </w:r>
            <w:r>
              <w:rPr>
                <w:rFonts w:hint="eastAsia" w:ascii="Times New Roman" w:hAnsi="Times New Roman" w:eastAsia="宋体" w:cs="Times New Roman"/>
                <w:b/>
                <w:bCs w:val="0"/>
                <w:color w:val="auto"/>
                <w:kern w:val="2"/>
                <w:sz w:val="21"/>
                <w:szCs w:val="21"/>
                <w:highlight w:val="none"/>
                <w:lang w:val="en-US" w:eastAsia="zh-CN" w:bidi="ar-SA"/>
              </w:rPr>
              <w:t xml:space="preserve"> </w:t>
            </w:r>
            <w:r>
              <w:rPr>
                <w:rFonts w:hint="default" w:ascii="Times New Roman" w:hAnsi="Times New Roman" w:eastAsia="宋体" w:cs="Times New Roman"/>
                <w:b/>
                <w:bCs w:val="0"/>
                <w:color w:val="auto"/>
                <w:kern w:val="2"/>
                <w:sz w:val="21"/>
                <w:szCs w:val="21"/>
                <w:highlight w:val="none"/>
                <w:lang w:val="en-US" w:eastAsia="zh-CN" w:bidi="ar-SA"/>
              </w:rPr>
              <w:t>非正常排放污染排放源强一览表</w:t>
            </w:r>
          </w:p>
          <w:tbl>
            <w:tblPr>
              <w:tblStyle w:val="26"/>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6"/>
              <w:gridCol w:w="660"/>
              <w:gridCol w:w="808"/>
              <w:gridCol w:w="727"/>
              <w:gridCol w:w="825"/>
              <w:gridCol w:w="446"/>
              <w:gridCol w:w="989"/>
              <w:gridCol w:w="854"/>
              <w:gridCol w:w="1084"/>
              <w:gridCol w:w="876"/>
            </w:tblGrid>
            <w:tr w14:paraId="4E697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jc w:val="center"/>
              </w:trPr>
              <w:tc>
                <w:tcPr>
                  <w:tcW w:w="413" w:type="pct"/>
                  <w:noWrap w:val="0"/>
                  <w:tcMar>
                    <w:top w:w="0" w:type="dxa"/>
                    <w:left w:w="0" w:type="dxa"/>
                    <w:bottom w:w="0" w:type="dxa"/>
                    <w:right w:w="0" w:type="dxa"/>
                  </w:tcMar>
                  <w:vAlign w:val="center"/>
                </w:tcPr>
                <w:p w14:paraId="65F1BC48">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污染源</w:t>
                  </w:r>
                </w:p>
              </w:tc>
              <w:tc>
                <w:tcPr>
                  <w:tcW w:w="416" w:type="pct"/>
                  <w:noWrap w:val="0"/>
                  <w:tcMar>
                    <w:top w:w="0" w:type="dxa"/>
                    <w:left w:w="0" w:type="dxa"/>
                    <w:bottom w:w="0" w:type="dxa"/>
                    <w:right w:w="0" w:type="dxa"/>
                  </w:tcMar>
                  <w:vAlign w:val="center"/>
                </w:tcPr>
                <w:p w14:paraId="400515B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非正常工况</w:t>
                  </w:r>
                </w:p>
              </w:tc>
              <w:tc>
                <w:tcPr>
                  <w:tcW w:w="509" w:type="pct"/>
                  <w:noWrap w:val="0"/>
                  <w:tcMar>
                    <w:top w:w="0" w:type="dxa"/>
                    <w:left w:w="0" w:type="dxa"/>
                    <w:bottom w:w="0" w:type="dxa"/>
                    <w:right w:w="0" w:type="dxa"/>
                  </w:tcMar>
                  <w:vAlign w:val="center"/>
                </w:tcPr>
                <w:p w14:paraId="15816CC5">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污染物</w:t>
                  </w:r>
                </w:p>
              </w:tc>
              <w:tc>
                <w:tcPr>
                  <w:tcW w:w="458" w:type="pct"/>
                  <w:noWrap w:val="0"/>
                  <w:tcMar>
                    <w:top w:w="0" w:type="dxa"/>
                    <w:left w:w="0" w:type="dxa"/>
                    <w:bottom w:w="0" w:type="dxa"/>
                    <w:right w:w="0" w:type="dxa"/>
                  </w:tcMar>
                  <w:vAlign w:val="center"/>
                </w:tcPr>
                <w:p w14:paraId="2C5A466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持续时间（</w:t>
                  </w:r>
                  <w:r>
                    <w:rPr>
                      <w:rFonts w:hint="default" w:ascii="Times New Roman" w:hAnsi="Times New Roman" w:eastAsia="宋体" w:cs="Times New Roman"/>
                      <w:bCs/>
                      <w:color w:val="auto"/>
                      <w:spacing w:val="-10"/>
                      <w:kern w:val="0"/>
                      <w:sz w:val="21"/>
                      <w:szCs w:val="21"/>
                      <w:highlight w:val="none"/>
                    </w:rPr>
                    <w:t>min</w:t>
                  </w:r>
                  <w:r>
                    <w:rPr>
                      <w:rFonts w:hint="default" w:ascii="Times New Roman" w:hAnsi="Times New Roman" w:eastAsia="宋体" w:cs="Times New Roman"/>
                      <w:color w:val="auto"/>
                      <w:sz w:val="21"/>
                      <w:szCs w:val="21"/>
                      <w:highlight w:val="none"/>
                    </w:rPr>
                    <w:t>）</w:t>
                  </w:r>
                </w:p>
              </w:tc>
              <w:tc>
                <w:tcPr>
                  <w:tcW w:w="520" w:type="pct"/>
                  <w:noWrap w:val="0"/>
                  <w:tcMar>
                    <w:top w:w="0" w:type="dxa"/>
                    <w:left w:w="0" w:type="dxa"/>
                    <w:bottom w:w="0" w:type="dxa"/>
                    <w:right w:w="0" w:type="dxa"/>
                  </w:tcMar>
                  <w:vAlign w:val="center"/>
                </w:tcPr>
                <w:p w14:paraId="36F312E9">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废气</w:t>
                  </w:r>
                  <w:r>
                    <w:rPr>
                      <w:rFonts w:hint="default" w:ascii="Times New Roman" w:hAnsi="Times New Roman" w:eastAsia="宋体" w:cs="Times New Roman"/>
                      <w:color w:val="auto"/>
                      <w:sz w:val="21"/>
                      <w:szCs w:val="21"/>
                      <w:highlight w:val="none"/>
                      <w:lang w:val="en-US" w:eastAsia="zh-CN"/>
                    </w:rPr>
                    <w:t>排放量</w:t>
                  </w:r>
                  <w:r>
                    <w:rPr>
                      <w:rFonts w:hint="default" w:ascii="Times New Roman" w:hAnsi="Times New Roman" w:eastAsia="宋体" w:cs="Times New Roman"/>
                      <w:color w:val="auto"/>
                      <w:sz w:val="21"/>
                      <w:szCs w:val="21"/>
                      <w:highlight w:val="none"/>
                    </w:rPr>
                    <w:t>（m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/h）</w:t>
                  </w:r>
                </w:p>
              </w:tc>
              <w:tc>
                <w:tcPr>
                  <w:tcW w:w="281" w:type="pct"/>
                  <w:noWrap w:val="0"/>
                  <w:tcMar>
                    <w:top w:w="0" w:type="dxa"/>
                    <w:left w:w="0" w:type="dxa"/>
                    <w:bottom w:w="0" w:type="dxa"/>
                    <w:right w:w="0" w:type="dxa"/>
                  </w:tcMar>
                  <w:vAlign w:val="center"/>
                </w:tcPr>
                <w:p w14:paraId="0CEC79AE">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效率</w:t>
                  </w:r>
                </w:p>
              </w:tc>
              <w:tc>
                <w:tcPr>
                  <w:tcW w:w="623" w:type="pct"/>
                  <w:noWrap w:val="0"/>
                  <w:tcMar>
                    <w:top w:w="0" w:type="dxa"/>
                    <w:left w:w="0" w:type="dxa"/>
                    <w:bottom w:w="0" w:type="dxa"/>
                    <w:right w:w="0" w:type="dxa"/>
                  </w:tcMar>
                  <w:vAlign w:val="center"/>
                </w:tcPr>
                <w:p w14:paraId="7E3C3A8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排放浓度（mg/m</w:t>
                  </w:r>
                  <w:r>
                    <w:rPr>
                      <w:rFonts w:hint="default" w:ascii="Times New Roman" w:hAnsi="Times New Roman" w:eastAsia="宋体" w:cs="Times New Roman"/>
                      <w:color w:val="auto"/>
                      <w:sz w:val="21"/>
                      <w:szCs w:val="21"/>
                      <w:highlight w:val="none"/>
                      <w:vertAlign w:val="superscript"/>
                    </w:rPr>
                    <w:t>3</w:t>
                  </w:r>
                  <w:r>
                    <w:rPr>
                      <w:rFonts w:hint="default" w:ascii="Times New Roman" w:hAnsi="Times New Roman" w:eastAsia="宋体" w:cs="Times New Roman"/>
                      <w:color w:val="auto"/>
                      <w:sz w:val="21"/>
                      <w:szCs w:val="21"/>
                      <w:highlight w:val="none"/>
                    </w:rPr>
                    <w:t>）</w:t>
                  </w:r>
                </w:p>
              </w:tc>
              <w:tc>
                <w:tcPr>
                  <w:tcW w:w="538" w:type="pct"/>
                  <w:noWrap w:val="0"/>
                  <w:tcMar>
                    <w:top w:w="0" w:type="dxa"/>
                    <w:left w:w="0" w:type="dxa"/>
                    <w:bottom w:w="0" w:type="dxa"/>
                    <w:right w:w="0" w:type="dxa"/>
                  </w:tcMar>
                  <w:vAlign w:val="center"/>
                </w:tcPr>
                <w:p w14:paraId="44C9751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排放</w:t>
                  </w:r>
                  <w:r>
                    <w:rPr>
                      <w:rFonts w:hint="default" w:ascii="Times New Roman" w:hAnsi="Times New Roman" w:eastAsia="宋体" w:cs="Times New Roman"/>
                      <w:color w:val="auto"/>
                      <w:sz w:val="21"/>
                      <w:szCs w:val="21"/>
                      <w:highlight w:val="none"/>
                      <w:lang w:val="en-US" w:eastAsia="zh-CN"/>
                    </w:rPr>
                    <w:t>速率</w:t>
                  </w:r>
                  <w:r>
                    <w:rPr>
                      <w:rFonts w:hint="default" w:ascii="Times New Roman" w:hAnsi="Times New Roman" w:eastAsia="宋体" w:cs="Times New Roman"/>
                      <w:color w:val="auto"/>
                      <w:sz w:val="21"/>
                      <w:szCs w:val="21"/>
                      <w:highlight w:val="none"/>
                    </w:rPr>
                    <w:t>（kg/h）</w:t>
                  </w:r>
                </w:p>
              </w:tc>
              <w:tc>
                <w:tcPr>
                  <w:tcW w:w="683" w:type="pct"/>
                  <w:noWrap w:val="0"/>
                  <w:tcMar>
                    <w:top w:w="0" w:type="dxa"/>
                    <w:left w:w="0" w:type="dxa"/>
                    <w:bottom w:w="0" w:type="dxa"/>
                    <w:right w:w="0" w:type="dxa"/>
                  </w:tcMar>
                  <w:vAlign w:val="center"/>
                </w:tcPr>
                <w:p w14:paraId="4124861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年排放量</w:t>
                  </w:r>
                  <w:r>
                    <w:rPr>
                      <w:rFonts w:hint="default" w:ascii="Times New Roman" w:hAnsi="Times New Roman" w:eastAsia="宋体" w:cs="Times New Roman"/>
                      <w:color w:val="auto"/>
                      <w:sz w:val="21"/>
                      <w:szCs w:val="21"/>
                      <w:highlight w:val="none"/>
                    </w:rPr>
                    <w:t>（</w:t>
                  </w:r>
                  <w:r>
                    <w:rPr>
                      <w:rFonts w:hint="eastAsia" w:cs="Times New Roman"/>
                      <w:color w:val="auto"/>
                      <w:sz w:val="21"/>
                      <w:szCs w:val="21"/>
                      <w:highlight w:val="none"/>
                      <w:lang w:val="en-US" w:eastAsia="zh-CN"/>
                    </w:rPr>
                    <w:t>t</w:t>
                  </w:r>
                  <w:r>
                    <w:rPr>
                      <w:rFonts w:hint="default" w:ascii="Times New Roman" w:hAnsi="Times New Roman" w:eastAsia="宋体" w:cs="Times New Roman"/>
                      <w:color w:val="auto"/>
                      <w:sz w:val="21"/>
                      <w:szCs w:val="21"/>
                      <w:highlight w:val="none"/>
                    </w:rPr>
                    <w:t>/</w:t>
                  </w:r>
                  <w:r>
                    <w:rPr>
                      <w:rFonts w:hint="default" w:ascii="Times New Roman" w:hAnsi="Times New Roman" w:eastAsia="宋体" w:cs="Times New Roman"/>
                      <w:color w:val="auto"/>
                      <w:sz w:val="21"/>
                      <w:szCs w:val="21"/>
                      <w:highlight w:val="none"/>
                      <w:lang w:val="en-US" w:eastAsia="zh-CN"/>
                    </w:rPr>
                    <w:t>a</w:t>
                  </w:r>
                  <w:r>
                    <w:rPr>
                      <w:rFonts w:hint="default" w:ascii="Times New Roman" w:hAnsi="Times New Roman" w:eastAsia="宋体" w:cs="Times New Roman"/>
                      <w:color w:val="auto"/>
                      <w:sz w:val="21"/>
                      <w:szCs w:val="21"/>
                      <w:highlight w:val="none"/>
                    </w:rPr>
                    <w:t>）</w:t>
                  </w:r>
                </w:p>
              </w:tc>
              <w:tc>
                <w:tcPr>
                  <w:tcW w:w="552" w:type="pct"/>
                  <w:noWrap w:val="0"/>
                  <w:tcMar>
                    <w:top w:w="0" w:type="dxa"/>
                    <w:left w:w="0" w:type="dxa"/>
                    <w:bottom w:w="0" w:type="dxa"/>
                    <w:right w:w="0" w:type="dxa"/>
                  </w:tcMar>
                  <w:vAlign w:val="center"/>
                </w:tcPr>
                <w:p w14:paraId="1DE0A69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发生频次（次/a）</w:t>
                  </w:r>
                </w:p>
              </w:tc>
            </w:tr>
            <w:tr w14:paraId="3762E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3" w:type="pct"/>
                  <w:noWrap w:val="0"/>
                  <w:tcMar>
                    <w:top w:w="0" w:type="dxa"/>
                    <w:left w:w="0" w:type="dxa"/>
                    <w:bottom w:w="0" w:type="dxa"/>
                    <w:right w:w="0" w:type="dxa"/>
                  </w:tcMar>
                  <w:vAlign w:val="center"/>
                </w:tcPr>
                <w:p w14:paraId="217664E7">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DA028</w:t>
                  </w:r>
                </w:p>
              </w:tc>
              <w:tc>
                <w:tcPr>
                  <w:tcW w:w="416" w:type="pct"/>
                  <w:noWrap w:val="0"/>
                  <w:tcMar>
                    <w:top w:w="0" w:type="dxa"/>
                    <w:left w:w="0" w:type="dxa"/>
                    <w:bottom w:w="0" w:type="dxa"/>
                    <w:right w:w="0" w:type="dxa"/>
                  </w:tcMar>
                  <w:vAlign w:val="center"/>
                </w:tcPr>
                <w:p w14:paraId="46365C5D">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水洗塔+碱洗塔和</w:t>
                  </w:r>
                  <w:r>
                    <w:rPr>
                      <w:rFonts w:hint="eastAsia" w:cs="Times New Roman"/>
                      <w:color w:val="auto"/>
                      <w:sz w:val="21"/>
                      <w:szCs w:val="21"/>
                      <w:highlight w:val="none"/>
                      <w:lang w:eastAsia="zh-CN"/>
                    </w:rPr>
                    <w:t>布袋除尘器</w:t>
                  </w:r>
                  <w:r>
                    <w:rPr>
                      <w:rFonts w:hint="default" w:ascii="Times New Roman" w:hAnsi="Times New Roman" w:eastAsia="宋体" w:cs="Times New Roman"/>
                      <w:color w:val="auto"/>
                      <w:sz w:val="21"/>
                      <w:szCs w:val="21"/>
                      <w:highlight w:val="none"/>
                    </w:rPr>
                    <w:t>装置故障</w:t>
                  </w:r>
                </w:p>
              </w:tc>
              <w:tc>
                <w:tcPr>
                  <w:tcW w:w="509" w:type="pct"/>
                  <w:noWrap w:val="0"/>
                  <w:tcMar>
                    <w:top w:w="0" w:type="dxa"/>
                    <w:left w:w="0" w:type="dxa"/>
                    <w:bottom w:w="0" w:type="dxa"/>
                    <w:right w:w="0" w:type="dxa"/>
                  </w:tcMar>
                  <w:vAlign w:val="center"/>
                </w:tcPr>
                <w:p w14:paraId="2C096A90">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颗粒物</w:t>
                  </w:r>
                </w:p>
              </w:tc>
              <w:tc>
                <w:tcPr>
                  <w:tcW w:w="458" w:type="pct"/>
                  <w:noWrap w:val="0"/>
                  <w:tcMar>
                    <w:top w:w="0" w:type="dxa"/>
                    <w:left w:w="0" w:type="dxa"/>
                    <w:bottom w:w="0" w:type="dxa"/>
                    <w:right w:w="0" w:type="dxa"/>
                  </w:tcMar>
                  <w:vAlign w:val="center"/>
                </w:tcPr>
                <w:p w14:paraId="5CA2D433">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30</w:t>
                  </w:r>
                </w:p>
              </w:tc>
              <w:tc>
                <w:tcPr>
                  <w:tcW w:w="520" w:type="pct"/>
                  <w:noWrap w:val="0"/>
                  <w:tcMar>
                    <w:top w:w="0" w:type="dxa"/>
                    <w:left w:w="0" w:type="dxa"/>
                    <w:bottom w:w="0" w:type="dxa"/>
                    <w:right w:w="0" w:type="dxa"/>
                  </w:tcMar>
                  <w:vAlign w:val="center"/>
                </w:tcPr>
                <w:p w14:paraId="13EF2CC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11000</w:t>
                  </w:r>
                </w:p>
              </w:tc>
              <w:tc>
                <w:tcPr>
                  <w:tcW w:w="281" w:type="pct"/>
                  <w:noWrap w:val="0"/>
                  <w:tcMar>
                    <w:top w:w="0" w:type="dxa"/>
                    <w:left w:w="0" w:type="dxa"/>
                    <w:bottom w:w="0" w:type="dxa"/>
                    <w:right w:w="0" w:type="dxa"/>
                  </w:tcMar>
                  <w:vAlign w:val="center"/>
                </w:tcPr>
                <w:p w14:paraId="3420EE2C">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rPr>
                  </w:pPr>
                  <w:r>
                    <w:rPr>
                      <w:rFonts w:hint="eastAsia" w:cs="Times New Roman"/>
                      <w:color w:val="auto"/>
                      <w:sz w:val="21"/>
                      <w:szCs w:val="21"/>
                      <w:highlight w:val="none"/>
                      <w:lang w:val="en-US" w:eastAsia="zh-CN"/>
                    </w:rPr>
                    <w:t>0</w:t>
                  </w:r>
                </w:p>
              </w:tc>
              <w:tc>
                <w:tcPr>
                  <w:tcW w:w="623" w:type="pct"/>
                  <w:noWrap w:val="0"/>
                  <w:tcMar>
                    <w:top w:w="0" w:type="dxa"/>
                    <w:left w:w="0" w:type="dxa"/>
                    <w:bottom w:w="0" w:type="dxa"/>
                    <w:right w:w="0" w:type="dxa"/>
                  </w:tcMar>
                  <w:vAlign w:val="center"/>
                </w:tcPr>
                <w:p w14:paraId="7729C26C">
                  <w:pPr>
                    <w:keepNext w:val="0"/>
                    <w:keepLines w:val="0"/>
                    <w:suppressLineNumbers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332.6</w:t>
                  </w:r>
                </w:p>
              </w:tc>
              <w:tc>
                <w:tcPr>
                  <w:tcW w:w="538" w:type="pct"/>
                  <w:noWrap w:val="0"/>
                  <w:tcMar>
                    <w:top w:w="0" w:type="dxa"/>
                    <w:left w:w="0" w:type="dxa"/>
                    <w:bottom w:w="0" w:type="dxa"/>
                    <w:right w:w="0" w:type="dxa"/>
                  </w:tcMar>
                  <w:vAlign w:val="center"/>
                </w:tcPr>
                <w:p w14:paraId="2E34754E">
                  <w:pPr>
                    <w:keepNext w:val="0"/>
                    <w:keepLines w:val="0"/>
                    <w:suppressLineNumbers w:val="0"/>
                    <w:spacing w:before="0" w:beforeAutospacing="0" w:after="0" w:afterAutospacing="0" w:line="240" w:lineRule="auto"/>
                    <w:ind w:left="0" w:right="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3.659</w:t>
                  </w:r>
                </w:p>
              </w:tc>
              <w:tc>
                <w:tcPr>
                  <w:tcW w:w="683" w:type="pct"/>
                  <w:noWrap w:val="0"/>
                  <w:tcMar>
                    <w:top w:w="0" w:type="dxa"/>
                    <w:left w:w="0" w:type="dxa"/>
                    <w:bottom w:w="0" w:type="dxa"/>
                    <w:right w:w="0" w:type="dxa"/>
                  </w:tcMar>
                  <w:vAlign w:val="center"/>
                </w:tcPr>
                <w:p w14:paraId="59006E16">
                  <w:pPr>
                    <w:keepNext w:val="0"/>
                    <w:keepLines w:val="0"/>
                    <w:widowControl/>
                    <w:suppressLineNumbers w:val="0"/>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0.002</w:t>
                  </w:r>
                </w:p>
              </w:tc>
              <w:tc>
                <w:tcPr>
                  <w:tcW w:w="552" w:type="pct"/>
                  <w:noWrap w:val="0"/>
                  <w:tcMar>
                    <w:top w:w="0" w:type="dxa"/>
                    <w:left w:w="0" w:type="dxa"/>
                    <w:bottom w:w="0" w:type="dxa"/>
                    <w:right w:w="0" w:type="dxa"/>
                  </w:tcMar>
                  <w:vAlign w:val="center"/>
                </w:tcPr>
                <w:p w14:paraId="6DEE812A">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w:t>
                  </w:r>
                </w:p>
              </w:tc>
            </w:tr>
          </w:tbl>
          <w:p w14:paraId="302FC601">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非正常排放属短时排放，本评价要求建设单位应采取以下措施，严格控制废气非正常排放：</w:t>
            </w:r>
          </w:p>
          <w:p w14:paraId="2639CB78">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①制定环保设备例行检查制度，加强定期维护保养，发现风机故障、损坏或排风管道破损时，应立即停止生产活动，对设备或管道进行维修，待恢复正常后方正常运行。</w:t>
            </w:r>
          </w:p>
          <w:p w14:paraId="1D7E0398">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②定期检修</w:t>
            </w:r>
            <w:r>
              <w:rPr>
                <w:rFonts w:hint="eastAsia" w:cs="Times New Roman"/>
                <w:b w:val="0"/>
                <w:bCs/>
                <w:color w:val="auto"/>
                <w:kern w:val="2"/>
                <w:sz w:val="21"/>
                <w:szCs w:val="21"/>
                <w:highlight w:val="none"/>
                <w:lang w:val="en-US" w:eastAsia="zh-CN" w:bidi="ar-SA"/>
              </w:rPr>
              <w:t>布袋除尘器装置</w:t>
            </w:r>
            <w:r>
              <w:rPr>
                <w:rFonts w:hint="default" w:ascii="Times New Roman" w:hAnsi="Times New Roman" w:eastAsia="宋体" w:cs="Times New Roman"/>
                <w:b w:val="0"/>
                <w:bCs/>
                <w:color w:val="auto"/>
                <w:kern w:val="2"/>
                <w:sz w:val="21"/>
                <w:szCs w:val="21"/>
                <w:highlight w:val="none"/>
                <w:lang w:val="en-US" w:eastAsia="zh-CN" w:bidi="ar-SA"/>
              </w:rPr>
              <w:t>，确保净化效率符合要求；检修时应停止生产活动，杜绝废气未经处理直接排放。</w:t>
            </w:r>
          </w:p>
          <w:p w14:paraId="36BABD68">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③设环保管理专员，对环保管理人员及技术人员进行岗位培训，委托具有专业资质的环境检测单位对项目排放的各类废气污染物进行定期监测。</w:t>
            </w:r>
          </w:p>
          <w:p w14:paraId="568CFEE5">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4、</w:t>
            </w:r>
            <w:r>
              <w:rPr>
                <w:rFonts w:hint="default" w:ascii="Times New Roman" w:hAnsi="Times New Roman" w:eastAsia="宋体" w:cs="Times New Roman"/>
                <w:b w:val="0"/>
                <w:bCs/>
                <w:color w:val="auto"/>
                <w:kern w:val="2"/>
                <w:sz w:val="21"/>
                <w:szCs w:val="21"/>
                <w:highlight w:val="none"/>
                <w:lang w:val="en-US" w:eastAsia="zh-CN" w:bidi="ar-SA"/>
              </w:rPr>
              <w:t>废气污染治理设施可行性</w:t>
            </w:r>
          </w:p>
          <w:p w14:paraId="4F3B9257">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本项目废气按产污工况分质分治、分类选型：投料、粉碎、包装工序产生常温干式粉尘，颗粒物干燥无水汽、无黏结性，选用布袋除尘器收集处理；喷雾干燥尾气具备高温高湿、饱和水汽易结露、粉尘水溶性强的特点，布袋滤料遇湿易糊袋堵塞，无法稳定运行，因此干燥尾气选用水喷淋+ 碱喷淋两级湿法处理。以上废气经处理后颗粒物均可满足《大气污染物综合排放标准》（GB16297-1996）限值要求，实现稳定达标排放。</w:t>
            </w:r>
          </w:p>
          <w:p w14:paraId="39EC8FD3">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依据《排污许可证申请与核发技术规范 总则》（HJ 942-2018）、《排污许可证申请与核发技术规范 食品制造工业-方便食品、食品及饲料添加剂制造工业》（HJ1030.3-2019），布袋除尘器、</w:t>
            </w:r>
            <w:r>
              <w:rPr>
                <w:rFonts w:hint="eastAsia" w:cs="Times New Roman"/>
                <w:b w:val="0"/>
                <w:bCs/>
                <w:color w:val="auto"/>
                <w:kern w:val="2"/>
                <w:sz w:val="21"/>
                <w:szCs w:val="21"/>
                <w:highlight w:val="none"/>
                <w:lang w:val="en-US" w:eastAsia="zh-CN" w:bidi="ar-SA"/>
              </w:rPr>
              <w:t>喷淋系统</w:t>
            </w:r>
            <w:r>
              <w:rPr>
                <w:rFonts w:hint="eastAsia" w:ascii="Times New Roman" w:hAnsi="Times New Roman" w:eastAsia="宋体" w:cs="Times New Roman"/>
                <w:b w:val="0"/>
                <w:bCs/>
                <w:color w:val="auto"/>
                <w:kern w:val="2"/>
                <w:sz w:val="21"/>
                <w:szCs w:val="21"/>
                <w:highlight w:val="none"/>
                <w:lang w:val="en-US" w:eastAsia="zh-CN" w:bidi="ar-SA"/>
              </w:rPr>
              <w:t>均为该行业粉尘治理推荐可行技术。对照</w:t>
            </w:r>
            <w:r>
              <w:rPr>
                <w:rFonts w:hint="eastAsia" w:cs="Times New Roman"/>
                <w:b w:val="0"/>
                <w:bCs/>
                <w:color w:val="auto"/>
                <w:kern w:val="2"/>
                <w:sz w:val="21"/>
                <w:szCs w:val="21"/>
                <w:highlight w:val="none"/>
                <w:lang w:val="en-US" w:eastAsia="zh-CN" w:bidi="ar-SA"/>
              </w:rPr>
              <w:t>2025年生态环境部发布的《国家污染防治技术指导目录》等</w:t>
            </w:r>
            <w:r>
              <w:rPr>
                <w:rFonts w:hint="eastAsia" w:ascii="Times New Roman" w:hAnsi="Times New Roman" w:eastAsia="宋体" w:cs="Times New Roman"/>
                <w:b w:val="0"/>
                <w:bCs/>
                <w:color w:val="auto"/>
                <w:kern w:val="2"/>
                <w:sz w:val="21"/>
                <w:szCs w:val="21"/>
                <w:highlight w:val="none"/>
                <w:lang w:val="en-US" w:eastAsia="zh-CN" w:bidi="ar-SA"/>
              </w:rPr>
              <w:t>相关政策，本项目喷雾干燥废气满足高温高湿、水溶性粉尘豁免条款，湿式喷淋不受限制。</w:t>
            </w:r>
          </w:p>
          <w:p w14:paraId="46954AEE">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综上，项目干式颗粒物配套布袋除尘、喷雾干燥尾气采用水喷淋 + 碱喷淋治理，属于规范可行技术。</w:t>
            </w:r>
          </w:p>
          <w:p w14:paraId="15E0FF1E">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5、</w:t>
            </w:r>
            <w:r>
              <w:rPr>
                <w:rFonts w:hint="default" w:ascii="Times New Roman" w:hAnsi="Times New Roman" w:eastAsia="宋体" w:cs="Times New Roman"/>
                <w:b w:val="0"/>
                <w:bCs/>
                <w:color w:val="auto"/>
                <w:kern w:val="2"/>
                <w:sz w:val="21"/>
                <w:szCs w:val="21"/>
                <w:highlight w:val="none"/>
                <w:lang w:val="en-US" w:eastAsia="zh-CN" w:bidi="ar-SA"/>
              </w:rPr>
              <w:t>自行检测要求</w:t>
            </w:r>
          </w:p>
          <w:p w14:paraId="3163FA84">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根据本项目生产特征和污染物的排放特征，</w:t>
            </w:r>
            <w:r>
              <w:rPr>
                <w:rFonts w:hint="eastAsia" w:ascii="Times New Roman" w:hAnsi="Times New Roman" w:eastAsia="宋体" w:cs="Times New Roman"/>
                <w:b w:val="0"/>
                <w:bCs/>
                <w:color w:val="auto"/>
                <w:kern w:val="2"/>
                <w:sz w:val="21"/>
                <w:szCs w:val="21"/>
                <w:highlight w:val="none"/>
                <w:lang w:val="en-US" w:eastAsia="zh-CN" w:bidi="ar-SA"/>
              </w:rPr>
              <w:t>按照《排污单位自行监测技术指南 总则》（HJ 819-2017）、</w:t>
            </w:r>
            <w:r>
              <w:rPr>
                <w:rFonts w:hint="eastAsia" w:ascii="Times New Roman" w:hAnsi="Times New Roman" w:eastAsia="宋体" w:cs="Times New Roman"/>
                <w:b w:val="0"/>
                <w:bCs/>
                <w:color w:val="auto"/>
                <w:sz w:val="21"/>
                <w:szCs w:val="21"/>
                <w:highlight w:val="none"/>
                <w:lang w:val="en-US" w:eastAsia="zh-CN"/>
              </w:rPr>
              <w:t>《排污许可证申请与核发技术规范 食品制造工业-方便食品、食品及饲料添加剂制造工业》（HJ 1030.3-2019）</w:t>
            </w:r>
            <w:r>
              <w:rPr>
                <w:rFonts w:hint="default" w:ascii="Times New Roman" w:hAnsi="Times New Roman" w:eastAsia="宋体" w:cs="Times New Roman"/>
                <w:b w:val="0"/>
                <w:bCs/>
                <w:color w:val="auto"/>
                <w:kern w:val="2"/>
                <w:sz w:val="21"/>
                <w:szCs w:val="21"/>
                <w:highlight w:val="none"/>
                <w:lang w:val="en-US" w:eastAsia="zh-CN" w:bidi="ar-SA"/>
              </w:rPr>
              <w:t>中相关要求</w:t>
            </w:r>
            <w:r>
              <w:rPr>
                <w:rFonts w:hint="eastAsia" w:cs="Times New Roman"/>
                <w:b w:val="0"/>
                <w:bCs/>
                <w:color w:val="auto"/>
                <w:kern w:val="2"/>
                <w:sz w:val="21"/>
                <w:szCs w:val="21"/>
                <w:highlight w:val="none"/>
                <w:lang w:val="en-US" w:eastAsia="zh-CN" w:bidi="ar-SA"/>
              </w:rPr>
              <w:t>，</w:t>
            </w:r>
            <w:r>
              <w:rPr>
                <w:rFonts w:hint="default" w:ascii="Times New Roman" w:hAnsi="Times New Roman" w:eastAsia="宋体" w:cs="Times New Roman"/>
                <w:b w:val="0"/>
                <w:bCs/>
                <w:color w:val="auto"/>
                <w:kern w:val="2"/>
                <w:sz w:val="21"/>
                <w:szCs w:val="21"/>
                <w:highlight w:val="none"/>
                <w:lang w:val="en-US" w:eastAsia="zh-CN" w:bidi="ar-SA"/>
              </w:rPr>
              <w:t>制定本项目的监测计划和工作方案。本项目投入运行后，各污染源监测指标、监测频率情况见表4-</w:t>
            </w:r>
            <w:r>
              <w:rPr>
                <w:rFonts w:hint="eastAsia" w:ascii="Times New Roman" w:hAnsi="Times New Roman" w:eastAsia="宋体" w:cs="Times New Roman"/>
                <w:b w:val="0"/>
                <w:bCs/>
                <w:color w:val="auto"/>
                <w:kern w:val="2"/>
                <w:sz w:val="21"/>
                <w:szCs w:val="21"/>
                <w:highlight w:val="none"/>
                <w:lang w:val="en-US" w:eastAsia="zh-CN" w:bidi="ar-SA"/>
              </w:rPr>
              <w:t>7</w:t>
            </w:r>
            <w:r>
              <w:rPr>
                <w:rFonts w:hint="default" w:ascii="Times New Roman" w:hAnsi="Times New Roman" w:eastAsia="宋体" w:cs="Times New Roman"/>
                <w:b w:val="0"/>
                <w:bCs/>
                <w:color w:val="auto"/>
                <w:kern w:val="2"/>
                <w:sz w:val="21"/>
                <w:szCs w:val="21"/>
                <w:highlight w:val="none"/>
                <w:lang w:val="en-US" w:eastAsia="zh-CN" w:bidi="ar-SA"/>
              </w:rPr>
              <w:t>。</w:t>
            </w:r>
          </w:p>
          <w:p w14:paraId="4DB185EC">
            <w:pPr>
              <w:keepNext w:val="0"/>
              <w:keepLines w:val="0"/>
              <w:widowControl w:val="0"/>
              <w:kinsoku/>
              <w:autoSpaceDE/>
              <w:autoSpaceDN/>
              <w:bidi w:val="0"/>
              <w:adjustRightInd/>
              <w:snapToGrid/>
              <w:spacing w:beforeLines="0" w:beforeAutospacing="0" w:afterLines="0" w:afterAutospacing="0" w:line="360" w:lineRule="auto"/>
              <w:ind w:firstLine="0" w:firstLineChars="0"/>
              <w:jc w:val="center"/>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 4-</w:t>
            </w:r>
            <w:r>
              <w:rPr>
                <w:rFonts w:hint="eastAsia" w:ascii="Times New Roman" w:hAnsi="Times New Roman" w:eastAsia="宋体" w:cs="Times New Roman"/>
                <w:b/>
                <w:bCs w:val="0"/>
                <w:color w:val="auto"/>
                <w:kern w:val="2"/>
                <w:sz w:val="21"/>
                <w:szCs w:val="21"/>
                <w:highlight w:val="none"/>
                <w:lang w:val="en-US" w:eastAsia="zh-CN" w:bidi="ar-SA"/>
              </w:rPr>
              <w:t>7</w:t>
            </w:r>
            <w:r>
              <w:rPr>
                <w:rFonts w:hint="default" w:ascii="Times New Roman" w:hAnsi="Times New Roman" w:eastAsia="宋体" w:cs="Times New Roman"/>
                <w:b/>
                <w:bCs w:val="0"/>
                <w:color w:val="auto"/>
                <w:kern w:val="2"/>
                <w:sz w:val="21"/>
                <w:szCs w:val="21"/>
                <w:highlight w:val="none"/>
                <w:lang w:val="en-US" w:eastAsia="zh-CN" w:bidi="ar-SA"/>
              </w:rPr>
              <w:t xml:space="preserve"> 废气</w:t>
            </w:r>
            <w:r>
              <w:rPr>
                <w:rFonts w:hint="eastAsia" w:ascii="Times New Roman" w:hAnsi="Times New Roman" w:eastAsia="宋体" w:cs="Times New Roman"/>
                <w:b/>
                <w:bCs w:val="0"/>
                <w:color w:val="auto"/>
                <w:kern w:val="2"/>
                <w:sz w:val="21"/>
                <w:szCs w:val="21"/>
                <w:highlight w:val="none"/>
                <w:lang w:val="en-US" w:eastAsia="zh-CN" w:bidi="ar-SA"/>
              </w:rPr>
              <w:t>监</w:t>
            </w:r>
            <w:r>
              <w:rPr>
                <w:rFonts w:hint="default" w:ascii="Times New Roman" w:hAnsi="Times New Roman" w:eastAsia="宋体" w:cs="Times New Roman"/>
                <w:b/>
                <w:bCs w:val="0"/>
                <w:color w:val="auto"/>
                <w:kern w:val="2"/>
                <w:sz w:val="21"/>
                <w:szCs w:val="21"/>
                <w:highlight w:val="none"/>
                <w:lang w:val="en-US" w:eastAsia="zh-CN" w:bidi="ar-SA"/>
              </w:rPr>
              <w:t>测要求一览表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
              <w:gridCol w:w="1748"/>
              <w:gridCol w:w="1680"/>
              <w:gridCol w:w="1994"/>
              <w:gridCol w:w="1539"/>
            </w:tblGrid>
            <w:tr w14:paraId="3F357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4" w:type="pct"/>
                  <w:noWrap w:val="0"/>
                  <w:vAlign w:val="center"/>
                </w:tcPr>
                <w:p w14:paraId="1B38E419">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污染类型</w:t>
                  </w:r>
                </w:p>
              </w:tc>
              <w:tc>
                <w:tcPr>
                  <w:tcW w:w="1101" w:type="pct"/>
                  <w:noWrap w:val="0"/>
                  <w:vAlign w:val="center"/>
                </w:tcPr>
                <w:p w14:paraId="56AE6B0D">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排放源</w:t>
                  </w:r>
                </w:p>
              </w:tc>
              <w:tc>
                <w:tcPr>
                  <w:tcW w:w="1058" w:type="pct"/>
                  <w:noWrap w:val="0"/>
                  <w:vAlign w:val="center"/>
                </w:tcPr>
                <w:p w14:paraId="340AACF7">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监测点位</w:t>
                  </w:r>
                </w:p>
              </w:tc>
              <w:tc>
                <w:tcPr>
                  <w:tcW w:w="1256" w:type="pct"/>
                  <w:noWrap w:val="0"/>
                  <w:vAlign w:val="center"/>
                </w:tcPr>
                <w:p w14:paraId="1A18A7CB">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监测因子</w:t>
                  </w:r>
                </w:p>
              </w:tc>
              <w:tc>
                <w:tcPr>
                  <w:tcW w:w="969" w:type="pct"/>
                  <w:noWrap w:val="0"/>
                  <w:vAlign w:val="center"/>
                </w:tcPr>
                <w:p w14:paraId="2E9C323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最低监测频次</w:t>
                  </w:r>
                </w:p>
              </w:tc>
            </w:tr>
            <w:tr w14:paraId="133EC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14" w:type="pct"/>
                  <w:vMerge w:val="restart"/>
                  <w:noWrap w:val="0"/>
                  <w:vAlign w:val="center"/>
                </w:tcPr>
                <w:p w14:paraId="1C4DCAB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废气</w:t>
                  </w:r>
                </w:p>
              </w:tc>
              <w:tc>
                <w:tcPr>
                  <w:tcW w:w="1101" w:type="pct"/>
                  <w:vMerge w:val="restart"/>
                  <w:noWrap w:val="0"/>
                  <w:vAlign w:val="center"/>
                </w:tcPr>
                <w:p w14:paraId="72E40103">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甘氨酸螯合物一车间废气</w:t>
                  </w:r>
                  <w:r>
                    <w:rPr>
                      <w:rFonts w:hint="eastAsia" w:ascii="Times New Roman" w:hAnsi="Times New Roman" w:eastAsia="宋体" w:cs="Times New Roman"/>
                      <w:color w:val="auto"/>
                      <w:kern w:val="0"/>
                      <w:sz w:val="21"/>
                      <w:szCs w:val="21"/>
                      <w:highlight w:val="none"/>
                      <w:lang w:val="en-US" w:eastAsia="zh-CN" w:bidi="ar-SA"/>
                    </w:rPr>
                    <w:t>排气筒</w:t>
                  </w:r>
                </w:p>
              </w:tc>
              <w:tc>
                <w:tcPr>
                  <w:tcW w:w="1058" w:type="pct"/>
                  <w:noWrap w:val="0"/>
                  <w:vAlign w:val="center"/>
                </w:tcPr>
                <w:p w14:paraId="1AF45E38">
                  <w:pPr>
                    <w:keepNext w:val="0"/>
                    <w:keepLines w:val="0"/>
                    <w:widowControl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投料、粉碎包装废气处理装置出口</w:t>
                  </w:r>
                </w:p>
              </w:tc>
              <w:tc>
                <w:tcPr>
                  <w:tcW w:w="1256" w:type="pct"/>
                  <w:noWrap w:val="0"/>
                  <w:vAlign w:val="center"/>
                </w:tcPr>
                <w:p w14:paraId="7DB0703B">
                  <w:pPr>
                    <w:keepNext w:val="0"/>
                    <w:keepLines w:val="0"/>
                    <w:widowControl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颗粒物</w:t>
                  </w:r>
                </w:p>
              </w:tc>
              <w:tc>
                <w:tcPr>
                  <w:tcW w:w="969" w:type="pct"/>
                  <w:noWrap w:val="0"/>
                  <w:vAlign w:val="center"/>
                </w:tcPr>
                <w:p w14:paraId="65265FB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1次/</w:t>
                  </w:r>
                  <w:r>
                    <w:rPr>
                      <w:rFonts w:hint="eastAsia" w:ascii="Times New Roman" w:hAnsi="Times New Roman" w:eastAsia="宋体" w:cs="Times New Roman"/>
                      <w:color w:val="auto"/>
                      <w:kern w:val="0"/>
                      <w:sz w:val="21"/>
                      <w:szCs w:val="21"/>
                      <w:highlight w:val="none"/>
                      <w:lang w:val="en-US" w:eastAsia="zh-CN" w:bidi="ar-SA"/>
                    </w:rPr>
                    <w:t>半</w:t>
                  </w:r>
                  <w:r>
                    <w:rPr>
                      <w:rFonts w:hint="default" w:ascii="Times New Roman" w:hAnsi="Times New Roman" w:eastAsia="宋体" w:cs="Times New Roman"/>
                      <w:color w:val="auto"/>
                      <w:kern w:val="0"/>
                      <w:sz w:val="21"/>
                      <w:szCs w:val="21"/>
                      <w:highlight w:val="none"/>
                      <w:lang w:val="en-US" w:eastAsia="zh-CN" w:bidi="ar-SA"/>
                    </w:rPr>
                    <w:t>年</w:t>
                  </w:r>
                </w:p>
              </w:tc>
            </w:tr>
            <w:tr w14:paraId="0C436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14" w:type="pct"/>
                  <w:vMerge w:val="continue"/>
                  <w:noWrap w:val="0"/>
                  <w:vAlign w:val="center"/>
                </w:tcPr>
                <w:p w14:paraId="52BB50E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1101" w:type="pct"/>
                  <w:vMerge w:val="continue"/>
                  <w:noWrap w:val="0"/>
                  <w:vAlign w:val="center"/>
                </w:tcPr>
                <w:p w14:paraId="467B98C2">
                  <w:pPr>
                    <w:keepNext w:val="0"/>
                    <w:keepLines w:val="0"/>
                    <w:widowControl w:val="0"/>
                    <w:suppressLineNumbers w:val="0"/>
                    <w:spacing w:before="0" w:beforeAutospacing="0" w:after="0" w:afterAutospacing="0" w:line="240" w:lineRule="auto"/>
                    <w:ind w:left="0" w:leftChars="0" w:right="0" w:firstLine="0" w:firstLineChars="0"/>
                    <w:jc w:val="center"/>
                    <w:rPr>
                      <w:rFonts w:hint="eastAsia" w:cs="Times New Roman"/>
                      <w:color w:val="auto"/>
                      <w:kern w:val="0"/>
                      <w:sz w:val="21"/>
                      <w:szCs w:val="21"/>
                      <w:highlight w:val="none"/>
                      <w:lang w:val="en-US" w:eastAsia="zh-CN" w:bidi="ar-SA"/>
                    </w:rPr>
                  </w:pPr>
                </w:p>
              </w:tc>
              <w:tc>
                <w:tcPr>
                  <w:tcW w:w="1058" w:type="pct"/>
                  <w:noWrap w:val="0"/>
                  <w:vAlign w:val="center"/>
                </w:tcPr>
                <w:p w14:paraId="04157D3C">
                  <w:pPr>
                    <w:keepNext w:val="0"/>
                    <w:keepLines w:val="0"/>
                    <w:widowControl w:val="0"/>
                    <w:suppressLineNumbers w:val="0"/>
                    <w:spacing w:before="0" w:beforeAutospacing="0" w:after="0" w:afterAutospacing="0" w:line="240" w:lineRule="auto"/>
                    <w:ind w:left="0" w:leftChars="0" w:right="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喷雾干燥废气处理装置出口</w:t>
                  </w:r>
                </w:p>
              </w:tc>
              <w:tc>
                <w:tcPr>
                  <w:tcW w:w="1256" w:type="pct"/>
                  <w:noWrap w:val="0"/>
                  <w:vAlign w:val="center"/>
                </w:tcPr>
                <w:p w14:paraId="1EC4ACC5">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颗粒物</w:t>
                  </w:r>
                </w:p>
              </w:tc>
              <w:tc>
                <w:tcPr>
                  <w:tcW w:w="969" w:type="pct"/>
                  <w:noWrap w:val="0"/>
                  <w:vAlign w:val="center"/>
                </w:tcPr>
                <w:p w14:paraId="3CA14E54">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1次/</w:t>
                  </w:r>
                  <w:r>
                    <w:rPr>
                      <w:rFonts w:hint="eastAsia" w:ascii="Times New Roman" w:hAnsi="Times New Roman" w:eastAsia="宋体" w:cs="Times New Roman"/>
                      <w:color w:val="auto"/>
                      <w:kern w:val="0"/>
                      <w:sz w:val="21"/>
                      <w:szCs w:val="21"/>
                      <w:highlight w:val="none"/>
                      <w:lang w:val="en-US" w:eastAsia="zh-CN" w:bidi="ar-SA"/>
                    </w:rPr>
                    <w:t>半</w:t>
                  </w:r>
                  <w:r>
                    <w:rPr>
                      <w:rFonts w:hint="default" w:ascii="Times New Roman" w:hAnsi="Times New Roman" w:eastAsia="宋体" w:cs="Times New Roman"/>
                      <w:color w:val="auto"/>
                      <w:kern w:val="0"/>
                      <w:sz w:val="21"/>
                      <w:szCs w:val="21"/>
                      <w:highlight w:val="none"/>
                      <w:lang w:val="en-US" w:eastAsia="zh-CN" w:bidi="ar-SA"/>
                    </w:rPr>
                    <w:t>年</w:t>
                  </w:r>
                </w:p>
              </w:tc>
            </w:tr>
            <w:tr w14:paraId="73759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4" w:type="pct"/>
                  <w:vMerge w:val="continue"/>
                  <w:noWrap w:val="0"/>
                  <w:vAlign w:val="center"/>
                </w:tcPr>
                <w:p w14:paraId="259DEB63">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1101" w:type="pct"/>
                  <w:noWrap w:val="0"/>
                  <w:vAlign w:val="center"/>
                </w:tcPr>
                <w:p w14:paraId="1DBF6F5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污水</w:t>
                  </w:r>
                  <w:r>
                    <w:rPr>
                      <w:rFonts w:hint="eastAsia" w:cs="Times New Roman"/>
                      <w:color w:val="auto"/>
                      <w:kern w:val="0"/>
                      <w:sz w:val="21"/>
                      <w:szCs w:val="21"/>
                      <w:highlight w:val="none"/>
                      <w:lang w:val="en-US" w:eastAsia="zh-CN" w:bidi="ar-SA"/>
                    </w:rPr>
                    <w:t>处理站废气</w:t>
                  </w:r>
                  <w:r>
                    <w:rPr>
                      <w:rFonts w:hint="eastAsia" w:ascii="Times New Roman" w:hAnsi="Times New Roman" w:eastAsia="宋体" w:cs="Times New Roman"/>
                      <w:color w:val="auto"/>
                      <w:kern w:val="0"/>
                      <w:sz w:val="21"/>
                      <w:szCs w:val="21"/>
                      <w:highlight w:val="none"/>
                      <w:lang w:val="en-US" w:eastAsia="zh-CN" w:bidi="ar-SA"/>
                    </w:rPr>
                    <w:t>排气筒</w:t>
                  </w:r>
                </w:p>
              </w:tc>
              <w:tc>
                <w:tcPr>
                  <w:tcW w:w="1058" w:type="pct"/>
                  <w:noWrap w:val="0"/>
                  <w:vAlign w:val="center"/>
                </w:tcPr>
                <w:p w14:paraId="0059CC74">
                  <w:pPr>
                    <w:keepNext w:val="0"/>
                    <w:keepLines w:val="0"/>
                    <w:widowControl w:val="0"/>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废气处理装置出口</w:t>
                  </w:r>
                </w:p>
              </w:tc>
              <w:tc>
                <w:tcPr>
                  <w:tcW w:w="1256" w:type="pct"/>
                  <w:noWrap w:val="0"/>
                  <w:vAlign w:val="center"/>
                </w:tcPr>
                <w:p w14:paraId="7EF339BF">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氨、</w:t>
                  </w:r>
                  <w:r>
                    <w:rPr>
                      <w:rFonts w:hint="eastAsia" w:cs="Times New Roman"/>
                      <w:color w:val="auto"/>
                      <w:kern w:val="0"/>
                      <w:sz w:val="20"/>
                      <w:szCs w:val="20"/>
                      <w:highlight w:val="none"/>
                      <w:lang w:val="en-US" w:eastAsia="zh-CN" w:bidi="ar-SA"/>
                    </w:rPr>
                    <w:t>硫化氢、</w:t>
                  </w:r>
                  <w:r>
                    <w:rPr>
                      <w:rFonts w:hint="eastAsia" w:ascii="Times New Roman" w:hAnsi="Times New Roman" w:eastAsia="宋体" w:cs="Times New Roman"/>
                      <w:color w:val="auto"/>
                      <w:kern w:val="0"/>
                      <w:sz w:val="21"/>
                      <w:szCs w:val="21"/>
                      <w:highlight w:val="none"/>
                      <w:lang w:val="en-US" w:eastAsia="zh-CN" w:bidi="ar-SA"/>
                    </w:rPr>
                    <w:t>臭气浓度</w:t>
                  </w:r>
                </w:p>
              </w:tc>
              <w:tc>
                <w:tcPr>
                  <w:tcW w:w="969" w:type="pct"/>
                  <w:noWrap w:val="0"/>
                  <w:vAlign w:val="center"/>
                </w:tcPr>
                <w:p w14:paraId="0CB437E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bookmarkStart w:id="38" w:name="OLE_LINK9"/>
                  <w:r>
                    <w:rPr>
                      <w:rFonts w:hint="default" w:ascii="Times New Roman" w:hAnsi="Times New Roman" w:eastAsia="宋体" w:cs="Times New Roman"/>
                      <w:color w:val="auto"/>
                      <w:kern w:val="0"/>
                      <w:sz w:val="21"/>
                      <w:szCs w:val="21"/>
                      <w:highlight w:val="none"/>
                      <w:lang w:val="en-US" w:eastAsia="zh-CN" w:bidi="ar-SA"/>
                    </w:rPr>
                    <w:t>1次/</w:t>
                  </w:r>
                  <w:r>
                    <w:rPr>
                      <w:rFonts w:hint="eastAsia" w:cs="Times New Roman"/>
                      <w:color w:val="auto"/>
                      <w:kern w:val="0"/>
                      <w:sz w:val="21"/>
                      <w:szCs w:val="21"/>
                      <w:highlight w:val="none"/>
                      <w:lang w:val="en-US" w:eastAsia="zh-CN" w:bidi="ar-SA"/>
                    </w:rPr>
                    <w:t>季</w:t>
                  </w:r>
                  <w:bookmarkEnd w:id="38"/>
                </w:p>
              </w:tc>
            </w:tr>
            <w:tr w14:paraId="1278F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4" w:type="pct"/>
                  <w:vMerge w:val="continue"/>
                  <w:noWrap w:val="0"/>
                  <w:vAlign w:val="center"/>
                </w:tcPr>
                <w:p w14:paraId="5EF6DC5D">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2159" w:type="pct"/>
                  <w:gridSpan w:val="2"/>
                  <w:noWrap w:val="0"/>
                  <w:vAlign w:val="center"/>
                </w:tcPr>
                <w:p w14:paraId="3730281C">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厂界</w:t>
                  </w:r>
                  <w:r>
                    <w:rPr>
                      <w:rFonts w:hint="eastAsia" w:cs="Times New Roman"/>
                      <w:color w:val="auto"/>
                      <w:kern w:val="0"/>
                      <w:sz w:val="21"/>
                      <w:szCs w:val="21"/>
                      <w:highlight w:val="none"/>
                      <w:lang w:val="en-US" w:eastAsia="zh-CN" w:bidi="ar-SA"/>
                    </w:rPr>
                    <w:t>下风向无组织排放</w:t>
                  </w:r>
                </w:p>
              </w:tc>
              <w:tc>
                <w:tcPr>
                  <w:tcW w:w="1256" w:type="pct"/>
                  <w:noWrap w:val="0"/>
                  <w:vAlign w:val="center"/>
                </w:tcPr>
                <w:p w14:paraId="69C25773">
                  <w:pPr>
                    <w:spacing w:beforeLines="0" w:afterLines="0" w:line="240" w:lineRule="auto"/>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eastAsia="宋体"/>
                      <w:color w:val="auto"/>
                      <w:spacing w:val="-6"/>
                      <w:kern w:val="0"/>
                      <w:sz w:val="21"/>
                      <w:szCs w:val="21"/>
                      <w:highlight w:val="none"/>
                      <w:lang w:val="en-US" w:eastAsia="zh-CN"/>
                    </w:rPr>
                    <w:t>颗粒物</w:t>
                  </w:r>
                  <w:r>
                    <w:rPr>
                      <w:rFonts w:hint="eastAsia"/>
                      <w:color w:val="auto"/>
                      <w:spacing w:val="-6"/>
                      <w:kern w:val="0"/>
                      <w:sz w:val="21"/>
                      <w:szCs w:val="21"/>
                      <w:highlight w:val="none"/>
                      <w:lang w:val="en-US" w:eastAsia="zh-CN"/>
                    </w:rPr>
                    <w:t>、</w:t>
                  </w:r>
                  <w:r>
                    <w:rPr>
                      <w:rFonts w:hint="eastAsia" w:ascii="Times New Roman" w:hAnsi="Times New Roman" w:eastAsia="宋体" w:cs="Times New Roman"/>
                      <w:color w:val="auto"/>
                      <w:kern w:val="0"/>
                      <w:sz w:val="21"/>
                      <w:szCs w:val="21"/>
                      <w:highlight w:val="none"/>
                      <w:lang w:val="en-US" w:eastAsia="zh-CN" w:bidi="ar-SA"/>
                    </w:rPr>
                    <w:t>氨、</w:t>
                  </w:r>
                  <w:r>
                    <w:rPr>
                      <w:rFonts w:hint="eastAsia" w:cs="Times New Roman"/>
                      <w:color w:val="auto"/>
                      <w:kern w:val="0"/>
                      <w:sz w:val="20"/>
                      <w:szCs w:val="20"/>
                      <w:highlight w:val="none"/>
                      <w:lang w:val="en-US" w:eastAsia="zh-CN" w:bidi="ar-SA"/>
                    </w:rPr>
                    <w:t>硫化氢、</w:t>
                  </w:r>
                  <w:r>
                    <w:rPr>
                      <w:rFonts w:hint="eastAsia" w:ascii="Times New Roman" w:hAnsi="Times New Roman" w:eastAsia="宋体" w:cs="Times New Roman"/>
                      <w:color w:val="auto"/>
                      <w:kern w:val="0"/>
                      <w:sz w:val="21"/>
                      <w:szCs w:val="21"/>
                      <w:highlight w:val="none"/>
                      <w:lang w:val="en-US" w:eastAsia="zh-CN" w:bidi="ar-SA"/>
                    </w:rPr>
                    <w:t>臭气浓度</w:t>
                  </w:r>
                </w:p>
              </w:tc>
              <w:tc>
                <w:tcPr>
                  <w:tcW w:w="969" w:type="pct"/>
                  <w:noWrap w:val="0"/>
                  <w:vAlign w:val="center"/>
                </w:tcPr>
                <w:p w14:paraId="3C108942">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1次/</w:t>
                  </w:r>
                  <w:r>
                    <w:rPr>
                      <w:rFonts w:hint="eastAsia" w:cs="Times New Roman"/>
                      <w:color w:val="auto"/>
                      <w:kern w:val="0"/>
                      <w:sz w:val="21"/>
                      <w:szCs w:val="21"/>
                      <w:highlight w:val="none"/>
                      <w:lang w:val="en-US" w:eastAsia="zh-CN" w:bidi="ar-SA"/>
                    </w:rPr>
                    <w:t>季</w:t>
                  </w:r>
                </w:p>
              </w:tc>
            </w:tr>
          </w:tbl>
          <w:p w14:paraId="57BF9D30">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6、</w:t>
            </w:r>
            <w:r>
              <w:rPr>
                <w:rFonts w:hint="default" w:ascii="Times New Roman" w:hAnsi="Times New Roman" w:eastAsia="宋体" w:cs="Times New Roman"/>
                <w:b w:val="0"/>
                <w:bCs/>
                <w:color w:val="auto"/>
                <w:kern w:val="2"/>
                <w:sz w:val="21"/>
                <w:szCs w:val="21"/>
                <w:highlight w:val="none"/>
                <w:lang w:val="en-US" w:eastAsia="zh-CN" w:bidi="ar-SA"/>
              </w:rPr>
              <w:t>废气排放环境影响结论</w:t>
            </w:r>
          </w:p>
          <w:p w14:paraId="11D351C0">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color w:val="auto"/>
                <w:kern w:val="2"/>
                <w:sz w:val="21"/>
                <w:szCs w:val="21"/>
                <w:highlight w:val="none"/>
                <w:lang w:val="en-US" w:eastAsia="zh-CN" w:bidi="ar-SA"/>
              </w:rPr>
            </w:pPr>
            <w:r>
              <w:rPr>
                <w:rFonts w:hint="default" w:ascii="Times New Roman" w:hAnsi="Times New Roman" w:eastAsia="宋体" w:cs="Times New Roman"/>
                <w:b w:val="0"/>
                <w:bCs/>
                <w:color w:val="auto"/>
                <w:kern w:val="2"/>
                <w:sz w:val="21"/>
                <w:szCs w:val="21"/>
                <w:highlight w:val="none"/>
                <w:lang w:val="en-US" w:eastAsia="zh-CN" w:bidi="ar-SA"/>
              </w:rPr>
              <w:t>项目所在区域环境质量现状O</w:t>
            </w:r>
            <w:r>
              <w:rPr>
                <w:rFonts w:hint="default" w:ascii="Times New Roman" w:hAnsi="Times New Roman" w:eastAsia="宋体" w:cs="Times New Roman"/>
                <w:b w:val="0"/>
                <w:bCs/>
                <w:color w:val="auto"/>
                <w:kern w:val="2"/>
                <w:sz w:val="21"/>
                <w:szCs w:val="21"/>
                <w:highlight w:val="none"/>
                <w:vertAlign w:val="subscript"/>
                <w:lang w:val="en-US" w:eastAsia="zh-CN" w:bidi="ar-SA"/>
              </w:rPr>
              <w:t>3</w:t>
            </w:r>
            <w:r>
              <w:rPr>
                <w:rFonts w:hint="default" w:ascii="Times New Roman" w:hAnsi="Times New Roman" w:eastAsia="宋体" w:cs="Times New Roman"/>
                <w:b w:val="0"/>
                <w:bCs/>
                <w:color w:val="auto"/>
                <w:kern w:val="2"/>
                <w:sz w:val="21"/>
                <w:szCs w:val="21"/>
                <w:highlight w:val="none"/>
                <w:lang w:val="en-US" w:eastAsia="zh-CN" w:bidi="ar-SA"/>
              </w:rPr>
              <w:t>日最大8小时平均第90百分位数、PM</w:t>
            </w:r>
            <w:r>
              <w:rPr>
                <w:rFonts w:hint="default" w:ascii="Times New Roman" w:hAnsi="Times New Roman" w:eastAsia="宋体" w:cs="Times New Roman"/>
                <w:b w:val="0"/>
                <w:bCs/>
                <w:color w:val="auto"/>
                <w:kern w:val="2"/>
                <w:sz w:val="21"/>
                <w:szCs w:val="21"/>
                <w:highlight w:val="none"/>
                <w:vertAlign w:val="subscript"/>
                <w:lang w:val="en-US" w:eastAsia="zh-CN" w:bidi="ar-SA"/>
              </w:rPr>
              <w:t>10</w:t>
            </w:r>
            <w:r>
              <w:rPr>
                <w:rFonts w:hint="default" w:ascii="Times New Roman" w:hAnsi="Times New Roman" w:eastAsia="宋体" w:cs="Times New Roman"/>
                <w:b w:val="0"/>
                <w:bCs/>
                <w:color w:val="auto"/>
                <w:kern w:val="2"/>
                <w:sz w:val="21"/>
                <w:szCs w:val="21"/>
                <w:highlight w:val="none"/>
                <w:lang w:val="en-US" w:eastAsia="zh-CN" w:bidi="ar-SA"/>
              </w:rPr>
              <w:t>、PM</w:t>
            </w:r>
            <w:r>
              <w:rPr>
                <w:rFonts w:hint="default" w:ascii="Times New Roman" w:hAnsi="Times New Roman" w:eastAsia="宋体" w:cs="Times New Roman"/>
                <w:b w:val="0"/>
                <w:bCs/>
                <w:color w:val="auto"/>
                <w:kern w:val="2"/>
                <w:sz w:val="21"/>
                <w:szCs w:val="21"/>
                <w:highlight w:val="none"/>
                <w:vertAlign w:val="subscript"/>
                <w:lang w:val="en-US" w:eastAsia="zh-CN" w:bidi="ar-SA"/>
              </w:rPr>
              <w:t>2.5</w:t>
            </w:r>
            <w:r>
              <w:rPr>
                <w:rFonts w:hint="default" w:ascii="Times New Roman" w:hAnsi="Times New Roman" w:eastAsia="宋体" w:cs="Times New Roman"/>
                <w:b w:val="0"/>
                <w:bCs/>
                <w:color w:val="auto"/>
                <w:kern w:val="2"/>
                <w:sz w:val="21"/>
                <w:szCs w:val="21"/>
                <w:highlight w:val="none"/>
                <w:lang w:val="en-US" w:eastAsia="zh-CN" w:bidi="ar-SA"/>
              </w:rPr>
              <w:t>超标，其他污染物达标，总体为不达标区。为最大限度</w:t>
            </w:r>
            <w:r>
              <w:rPr>
                <w:rFonts w:hint="eastAsia" w:ascii="Times New Roman" w:hAnsi="Times New Roman" w:eastAsia="宋体" w:cs="Times New Roman"/>
                <w:b w:val="0"/>
                <w:bCs/>
                <w:color w:val="auto"/>
                <w:kern w:val="2"/>
                <w:sz w:val="21"/>
                <w:szCs w:val="21"/>
                <w:highlight w:val="none"/>
                <w:lang w:val="en-US" w:eastAsia="zh-CN" w:bidi="ar-SA"/>
              </w:rPr>
              <w:t>地</w:t>
            </w:r>
            <w:r>
              <w:rPr>
                <w:rFonts w:hint="default" w:ascii="Times New Roman" w:hAnsi="Times New Roman" w:eastAsia="宋体" w:cs="Times New Roman"/>
                <w:b w:val="0"/>
                <w:bCs/>
                <w:color w:val="auto"/>
                <w:kern w:val="2"/>
                <w:sz w:val="21"/>
                <w:szCs w:val="21"/>
                <w:highlight w:val="none"/>
                <w:lang w:val="en-US" w:eastAsia="zh-CN" w:bidi="ar-SA"/>
              </w:rPr>
              <w:t>降低环境影响，本项目针对各环节产生的废气污染物采取了有效的收集治理措施。根据源强核算结果，项目排放的污染物均满足相应的排放标准要求，对周围大气环境的影响较小，不会改变项目所在地的环境功能级别。综上，本项目废气排放的环境影响是可接受的。</w:t>
            </w:r>
          </w:p>
          <w:p w14:paraId="1901B8AF">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（二）废水</w:t>
            </w:r>
          </w:p>
          <w:p w14:paraId="73A69663">
            <w:pPr>
              <w:keepNext w:val="0"/>
              <w:keepLines w:val="0"/>
              <w:widowControl w:val="0"/>
              <w:kinsoku/>
              <w:autoSpaceDE/>
              <w:autoSpaceDN/>
              <w:bidi w:val="0"/>
              <w:adjustRightInd/>
              <w:snapToGrid/>
              <w:spacing w:beforeLines="0" w:beforeAutospacing="0" w:afterLines="0" w:afterAutospacing="0" w:line="360" w:lineRule="auto"/>
              <w:ind w:left="0" w:leftChars="0" w:firstLine="420" w:firstLineChars="200"/>
              <w:jc w:val="both"/>
              <w:outlineLvl w:val="1"/>
              <w:rPr>
                <w:rFonts w:hint="eastAsia"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1、废水产生及排放情况</w:t>
            </w:r>
          </w:p>
          <w:p w14:paraId="034DA964">
            <w:pPr>
              <w:keepNext w:val="0"/>
              <w:keepLines w:val="0"/>
              <w:widowControl w:val="0"/>
              <w:kinsoku/>
              <w:autoSpaceDE/>
              <w:autoSpaceDN/>
              <w:bidi w:val="0"/>
              <w:adjustRightInd/>
              <w:snapToGrid/>
              <w:spacing w:beforeLines="0" w:beforeAutospacing="0" w:afterLines="0" w:afterAutospacing="0" w:line="360" w:lineRule="auto"/>
              <w:ind w:left="0" w:leftChars="0" w:firstLine="420" w:firstLineChars="200"/>
              <w:jc w:val="both"/>
              <w:outlineLvl w:val="1"/>
              <w:rPr>
                <w:rFonts w:hint="eastAsia" w:cs="Times New Roman"/>
                <w:b w:val="0"/>
                <w:bCs/>
                <w:color w:val="auto"/>
                <w:kern w:val="2"/>
                <w:sz w:val="21"/>
                <w:szCs w:val="21"/>
                <w:highlight w:val="none"/>
                <w:lang w:val="en-US" w:eastAsia="zh-CN" w:bidi="ar-SA"/>
              </w:rPr>
            </w:pPr>
            <w:r>
              <w:rPr>
                <w:rFonts w:hint="eastAsia" w:cs="Times New Roman"/>
                <w:b w:val="0"/>
                <w:bCs/>
                <w:color w:val="auto"/>
                <w:kern w:val="2"/>
                <w:sz w:val="21"/>
                <w:szCs w:val="21"/>
                <w:highlight w:val="none"/>
                <w:lang w:val="en-US" w:eastAsia="zh-CN" w:bidi="ar-SA"/>
              </w:rPr>
              <w:t>本</w:t>
            </w:r>
            <w:r>
              <w:rPr>
                <w:rFonts w:hint="eastAsia" w:ascii="Times New Roman" w:hAnsi="Times New Roman" w:eastAsia="宋体" w:cs="Times New Roman"/>
                <w:b w:val="0"/>
                <w:bCs/>
                <w:color w:val="auto"/>
                <w:kern w:val="2"/>
                <w:sz w:val="21"/>
                <w:szCs w:val="21"/>
                <w:highlight w:val="none"/>
                <w:lang w:val="en-US" w:eastAsia="zh-CN" w:bidi="ar-SA"/>
              </w:rPr>
              <w:t>项目</w:t>
            </w:r>
            <w:r>
              <w:rPr>
                <w:rFonts w:hint="eastAsia" w:cs="Times New Roman"/>
                <w:b w:val="0"/>
                <w:bCs/>
                <w:color w:val="auto"/>
                <w:kern w:val="2"/>
                <w:sz w:val="21"/>
                <w:szCs w:val="21"/>
                <w:highlight w:val="none"/>
                <w:lang w:val="en-US" w:eastAsia="zh-CN" w:bidi="ar-SA"/>
              </w:rPr>
              <w:t>新增</w:t>
            </w:r>
            <w:r>
              <w:rPr>
                <w:rFonts w:hint="eastAsia" w:ascii="Times New Roman" w:hAnsi="Times New Roman" w:eastAsia="宋体" w:cs="Times New Roman"/>
                <w:b w:val="0"/>
                <w:bCs/>
                <w:color w:val="auto"/>
                <w:kern w:val="2"/>
                <w:sz w:val="21"/>
                <w:szCs w:val="21"/>
                <w:highlight w:val="none"/>
                <w:lang w:val="en-US" w:eastAsia="zh-CN" w:bidi="ar-SA"/>
              </w:rPr>
              <w:t>废水主要为生产废水，包括</w:t>
            </w:r>
            <w:r>
              <w:rPr>
                <w:rFonts w:hint="eastAsia" w:cs="Times New Roman"/>
                <w:b w:val="0"/>
                <w:bCs/>
                <w:color w:val="auto"/>
                <w:kern w:val="2"/>
                <w:sz w:val="21"/>
                <w:szCs w:val="21"/>
                <w:highlight w:val="none"/>
                <w:lang w:val="en-US" w:eastAsia="zh-CN" w:bidi="ar-SA"/>
              </w:rPr>
              <w:t>软水制备废水、</w:t>
            </w:r>
            <w:commentRangeStart w:id="8"/>
            <w:r>
              <w:rPr>
                <w:rFonts w:hint="eastAsia" w:cs="Times New Roman"/>
                <w:b w:val="0"/>
                <w:bCs/>
                <w:color w:val="auto"/>
                <w:kern w:val="2"/>
                <w:sz w:val="21"/>
                <w:szCs w:val="21"/>
                <w:highlight w:val="none"/>
                <w:lang w:val="en-US" w:eastAsia="zh-CN" w:bidi="ar-SA"/>
              </w:rPr>
              <w:t>生产废水、</w:t>
            </w:r>
            <w:commentRangeEnd w:id="8"/>
            <w:r>
              <w:commentReference w:id="8"/>
            </w:r>
            <w:r>
              <w:rPr>
                <w:rFonts w:hint="eastAsia" w:cs="Times New Roman"/>
                <w:b w:val="0"/>
                <w:bCs/>
                <w:color w:val="auto"/>
                <w:kern w:val="2"/>
                <w:sz w:val="21"/>
                <w:szCs w:val="21"/>
                <w:highlight w:val="none"/>
                <w:lang w:val="en-US" w:eastAsia="zh-CN" w:bidi="ar-SA"/>
              </w:rPr>
              <w:t>设备冲洗废水、废气治理系统废水、循环冷却系统排水和车间地面冲洗废水</w:t>
            </w:r>
            <w:r>
              <w:rPr>
                <w:rFonts w:hint="default" w:ascii="Times New Roman" w:hAnsi="Times New Roman" w:eastAsia="宋体" w:cs="Times New Roman"/>
                <w:b w:val="0"/>
                <w:bCs/>
                <w:color w:val="auto"/>
                <w:kern w:val="2"/>
                <w:sz w:val="21"/>
                <w:szCs w:val="21"/>
                <w:highlight w:val="none"/>
                <w:lang w:val="en-US" w:eastAsia="zh-CN" w:bidi="ar-SA"/>
              </w:rPr>
              <w:t>。</w:t>
            </w:r>
            <w:r>
              <w:rPr>
                <w:rFonts w:hint="eastAsia" w:cs="Times New Roman"/>
                <w:b w:val="0"/>
                <w:bCs/>
                <w:color w:val="auto"/>
                <w:kern w:val="2"/>
                <w:sz w:val="21"/>
                <w:szCs w:val="21"/>
                <w:highlight w:val="none"/>
                <w:lang w:val="en-US" w:eastAsia="zh-CN" w:bidi="ar-SA"/>
              </w:rPr>
              <w:t>现有工程污水处理站进口监测数据见监测报告（乐新检测YS20250307）。</w:t>
            </w:r>
          </w:p>
          <w:p w14:paraId="2B48A095">
            <w:pPr>
              <w:keepNext w:val="0"/>
              <w:keepLines w:val="0"/>
              <w:widowControl w:val="0"/>
              <w:kinsoku/>
              <w:autoSpaceDE/>
              <w:autoSpaceDN/>
              <w:bidi w:val="0"/>
              <w:adjustRightInd/>
              <w:snapToGrid/>
              <w:spacing w:beforeLines="0" w:beforeAutospacing="0" w:afterLines="0" w:afterAutospacing="0" w:line="360" w:lineRule="auto"/>
              <w:ind w:left="0" w:leftChars="0" w:firstLine="420" w:firstLineChars="200"/>
              <w:jc w:val="both"/>
              <w:outlineLvl w:val="1"/>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本项目废水利用厂内综合污水处理站处理，</w:t>
            </w:r>
            <w:r>
              <w:rPr>
                <w:rFonts w:hint="eastAsia" w:ascii="Times New Roman" w:hAnsi="Times New Roman" w:eastAsia="宋体" w:cs="Times New Roman"/>
                <w:color w:val="auto"/>
                <w:kern w:val="0"/>
                <w:sz w:val="21"/>
                <w:szCs w:val="21"/>
                <w:highlight w:val="none"/>
                <w:lang w:val="en-US" w:eastAsia="zh-CN" w:bidi="ar-SA"/>
              </w:rPr>
              <w:t>处理</w:t>
            </w:r>
            <w:r>
              <w:rPr>
                <w:rFonts w:hint="eastAsia" w:cs="Times New Roman"/>
                <w:color w:val="auto"/>
                <w:kern w:val="0"/>
                <w:sz w:val="21"/>
                <w:szCs w:val="21"/>
                <w:highlight w:val="none"/>
                <w:lang w:val="en-US" w:eastAsia="zh-CN" w:bidi="ar-SA"/>
              </w:rPr>
              <w:t>能力</w:t>
            </w:r>
            <w:r>
              <w:rPr>
                <w:rFonts w:hint="eastAsia" w:ascii="Times New Roman" w:hAnsi="Times New Roman" w:eastAsia="宋体" w:cs="Times New Roman"/>
                <w:color w:val="auto"/>
                <w:kern w:val="0"/>
                <w:sz w:val="21"/>
                <w:szCs w:val="21"/>
                <w:highlight w:val="none"/>
                <w:lang w:val="en-US" w:eastAsia="zh-CN" w:bidi="ar-SA"/>
              </w:rPr>
              <w:t>为1600m</w:t>
            </w:r>
            <w:r>
              <w:rPr>
                <w:rFonts w:hint="eastAsia" w:ascii="Times New Roman" w:hAnsi="Times New Roman" w:eastAsia="宋体" w:cs="Times New Roman"/>
                <w:color w:val="auto"/>
                <w:kern w:val="0"/>
                <w:sz w:val="21"/>
                <w:szCs w:val="21"/>
                <w:highlight w:val="none"/>
                <w:vertAlign w:val="superscript"/>
                <w:lang w:val="en-US" w:eastAsia="zh-CN" w:bidi="ar-SA"/>
              </w:rPr>
              <w:t>3</w:t>
            </w:r>
            <w:r>
              <w:rPr>
                <w:rFonts w:hint="eastAsia" w:ascii="Times New Roman" w:hAnsi="Times New Roman" w:eastAsia="宋体" w:cs="Times New Roman"/>
                <w:color w:val="auto"/>
                <w:kern w:val="0"/>
                <w:sz w:val="21"/>
                <w:szCs w:val="21"/>
                <w:highlight w:val="none"/>
                <w:lang w:val="en-US" w:eastAsia="zh-CN" w:bidi="ar-SA"/>
              </w:rPr>
              <w:t>/d，</w:t>
            </w:r>
            <w:r>
              <w:rPr>
                <w:rFonts w:hint="eastAsia" w:cs="Times New Roman"/>
                <w:color w:val="auto"/>
                <w:kern w:val="0"/>
                <w:sz w:val="21"/>
                <w:szCs w:val="21"/>
                <w:highlight w:val="none"/>
                <w:lang w:val="en-US" w:eastAsia="zh-CN" w:bidi="ar-SA"/>
              </w:rPr>
              <w:t>现有工程</w:t>
            </w:r>
            <w:r>
              <w:rPr>
                <w:rFonts w:hint="eastAsia" w:ascii="Times New Roman" w:hAnsi="Times New Roman" w:eastAsia="宋体" w:cs="Times New Roman"/>
                <w:color w:val="auto"/>
                <w:kern w:val="0"/>
                <w:sz w:val="21"/>
                <w:szCs w:val="21"/>
                <w:highlight w:val="none"/>
                <w:lang w:val="en-US" w:eastAsia="zh-CN" w:bidi="ar-SA"/>
              </w:rPr>
              <w:t>实际</w:t>
            </w:r>
            <w:r>
              <w:rPr>
                <w:rFonts w:hint="eastAsia" w:cs="Times New Roman"/>
                <w:color w:val="auto"/>
                <w:kern w:val="0"/>
                <w:sz w:val="21"/>
                <w:szCs w:val="21"/>
                <w:highlight w:val="none"/>
                <w:lang w:val="en-US" w:eastAsia="zh-CN" w:bidi="ar-SA"/>
              </w:rPr>
              <w:t>全厂排水量</w:t>
            </w:r>
            <w:r>
              <w:rPr>
                <w:rFonts w:hint="eastAsia" w:ascii="Times New Roman" w:hAnsi="Times New Roman" w:eastAsia="宋体" w:cs="Times New Roman"/>
                <w:color w:val="auto"/>
                <w:kern w:val="0"/>
                <w:sz w:val="21"/>
                <w:szCs w:val="21"/>
                <w:highlight w:val="none"/>
                <w:lang w:val="en-US" w:eastAsia="zh-CN" w:bidi="ar-SA"/>
              </w:rPr>
              <w:t>为</w:t>
            </w:r>
            <w:r>
              <w:rPr>
                <w:rFonts w:hint="eastAsia"/>
                <w:color w:val="auto"/>
                <w:sz w:val="21"/>
                <w:szCs w:val="21"/>
                <w:highlight w:val="none"/>
                <w:lang w:val="en-US" w:eastAsia="zh-CN"/>
              </w:rPr>
              <w:t>924.32</w:t>
            </w:r>
            <w:r>
              <w:rPr>
                <w:rFonts w:hint="eastAsia" w:ascii="Times New Roman" w:hAnsi="Times New Roman" w:eastAsia="宋体" w:cs="Times New Roman"/>
                <w:color w:val="auto"/>
                <w:kern w:val="0"/>
                <w:sz w:val="21"/>
                <w:szCs w:val="21"/>
                <w:highlight w:val="none"/>
                <w:lang w:val="en-US" w:eastAsia="zh-CN" w:bidi="ar-SA"/>
              </w:rPr>
              <w:t>m</w:t>
            </w:r>
            <w:r>
              <w:rPr>
                <w:rFonts w:hint="eastAsia" w:ascii="Times New Roman" w:hAnsi="Times New Roman" w:eastAsia="宋体" w:cs="Times New Roman"/>
                <w:color w:val="auto"/>
                <w:kern w:val="0"/>
                <w:sz w:val="21"/>
                <w:szCs w:val="21"/>
                <w:highlight w:val="none"/>
                <w:vertAlign w:val="superscript"/>
                <w:lang w:val="en-US" w:eastAsia="zh-CN" w:bidi="ar-SA"/>
              </w:rPr>
              <w:t>3</w:t>
            </w:r>
            <w:r>
              <w:rPr>
                <w:rFonts w:hint="eastAsia" w:ascii="Times New Roman" w:hAnsi="Times New Roman" w:eastAsia="宋体" w:cs="Times New Roman"/>
                <w:color w:val="auto"/>
                <w:kern w:val="0"/>
                <w:sz w:val="21"/>
                <w:szCs w:val="21"/>
                <w:highlight w:val="none"/>
                <w:lang w:val="en-US" w:eastAsia="zh-CN" w:bidi="ar-SA"/>
              </w:rPr>
              <w:t>/d，尚有</w:t>
            </w:r>
            <w:r>
              <w:rPr>
                <w:rFonts w:hint="eastAsia" w:cs="Times New Roman"/>
                <w:color w:val="auto"/>
                <w:kern w:val="0"/>
                <w:sz w:val="21"/>
                <w:szCs w:val="21"/>
                <w:highlight w:val="none"/>
                <w:lang w:val="en-US" w:eastAsia="zh-CN" w:bidi="ar-SA"/>
              </w:rPr>
              <w:t>675.68</w:t>
            </w:r>
            <w:r>
              <w:rPr>
                <w:rFonts w:hint="eastAsia" w:ascii="Times New Roman" w:hAnsi="Times New Roman" w:eastAsia="宋体" w:cs="Times New Roman"/>
                <w:color w:val="auto"/>
                <w:kern w:val="0"/>
                <w:sz w:val="21"/>
                <w:szCs w:val="21"/>
                <w:highlight w:val="none"/>
                <w:lang w:val="en-US" w:eastAsia="zh-CN" w:bidi="ar-SA"/>
              </w:rPr>
              <w:t>m</w:t>
            </w:r>
            <w:r>
              <w:rPr>
                <w:rFonts w:hint="eastAsia" w:ascii="Times New Roman" w:hAnsi="Times New Roman" w:eastAsia="宋体" w:cs="Times New Roman"/>
                <w:color w:val="auto"/>
                <w:kern w:val="0"/>
                <w:sz w:val="21"/>
                <w:szCs w:val="21"/>
                <w:highlight w:val="none"/>
                <w:vertAlign w:val="superscript"/>
                <w:lang w:val="en-US" w:eastAsia="zh-CN" w:bidi="ar-SA"/>
              </w:rPr>
              <w:t>3</w:t>
            </w:r>
            <w:r>
              <w:rPr>
                <w:rFonts w:hint="eastAsia" w:ascii="Times New Roman" w:hAnsi="Times New Roman" w:eastAsia="宋体" w:cs="Times New Roman"/>
                <w:color w:val="auto"/>
                <w:kern w:val="0"/>
                <w:sz w:val="21"/>
                <w:szCs w:val="21"/>
                <w:highlight w:val="none"/>
                <w:lang w:val="en-US" w:eastAsia="zh-CN" w:bidi="ar-SA"/>
              </w:rPr>
              <w:t>/d处理余量</w:t>
            </w:r>
            <w:r>
              <w:rPr>
                <w:rFonts w:hint="eastAsia" w:cs="Times New Roman"/>
                <w:color w:val="auto"/>
                <w:kern w:val="0"/>
                <w:sz w:val="21"/>
                <w:szCs w:val="21"/>
                <w:highlight w:val="none"/>
                <w:lang w:val="en-US" w:eastAsia="zh-CN" w:bidi="ar-SA"/>
              </w:rPr>
              <w:t>，因此，</w:t>
            </w:r>
            <w:r>
              <w:rPr>
                <w:rFonts w:hint="eastAsia" w:ascii="Times New Roman" w:hAnsi="Times New Roman" w:eastAsia="宋体" w:cs="Times New Roman"/>
                <w:color w:val="auto"/>
                <w:kern w:val="0"/>
                <w:sz w:val="21"/>
                <w:szCs w:val="21"/>
                <w:highlight w:val="none"/>
                <w:lang w:val="en-US" w:eastAsia="zh-CN" w:bidi="ar-SA"/>
              </w:rPr>
              <w:t>现有工程污水处理站有能力</w:t>
            </w:r>
            <w:r>
              <w:rPr>
                <w:rFonts w:hint="eastAsia" w:cs="Times New Roman"/>
                <w:color w:val="auto"/>
                <w:kern w:val="0"/>
                <w:sz w:val="21"/>
                <w:szCs w:val="21"/>
                <w:highlight w:val="none"/>
                <w:lang w:val="en-US" w:eastAsia="zh-CN" w:bidi="ar-SA"/>
              </w:rPr>
              <w:t>可满足本项目</w:t>
            </w:r>
            <w:r>
              <w:rPr>
                <w:rFonts w:hint="eastAsia" w:ascii="Times New Roman" w:hAnsi="Times New Roman" w:eastAsia="宋体" w:cs="Times New Roman"/>
                <w:color w:val="auto"/>
                <w:kern w:val="0"/>
                <w:sz w:val="21"/>
                <w:szCs w:val="21"/>
                <w:highlight w:val="none"/>
                <w:lang w:val="en-US" w:eastAsia="zh-CN" w:bidi="ar-SA"/>
              </w:rPr>
              <w:t>。</w:t>
            </w:r>
          </w:p>
          <w:p w14:paraId="5D3F69F1">
            <w:pPr>
              <w:widowControl w:val="0"/>
              <w:spacing w:line="360" w:lineRule="auto"/>
              <w:ind w:firstLine="480"/>
              <w:jc w:val="both"/>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厂综合</w:t>
            </w:r>
            <w:r>
              <w:rPr>
                <w:rFonts w:hint="eastAsia" w:ascii="Times New Roman" w:hAnsi="Times New Roman" w:eastAsia="宋体" w:cs="Times New Roman"/>
                <w:color w:val="auto"/>
                <w:kern w:val="0"/>
                <w:sz w:val="21"/>
                <w:szCs w:val="21"/>
                <w:highlight w:val="none"/>
                <w:lang w:val="en-US" w:eastAsia="zh-CN" w:bidi="ar-SA"/>
              </w:rPr>
              <w:t>污水处理站采用</w:t>
            </w:r>
            <w:r>
              <w:rPr>
                <w:rFonts w:hint="eastAsia" w:cs="Times New Roman"/>
                <w:color w:val="auto"/>
                <w:kern w:val="0"/>
                <w:sz w:val="21"/>
                <w:szCs w:val="21"/>
                <w:highlight w:val="none"/>
                <w:lang w:val="en-US" w:eastAsia="zh-CN" w:bidi="ar-SA"/>
              </w:rPr>
              <w:t>“</w:t>
            </w:r>
            <w:r>
              <w:rPr>
                <w:rFonts w:hint="eastAsia" w:ascii="Times New Roman" w:hAnsi="Times New Roman" w:eastAsia="宋体" w:cs="Times New Roman"/>
                <w:color w:val="auto"/>
                <w:kern w:val="0"/>
                <w:sz w:val="21"/>
                <w:szCs w:val="21"/>
                <w:highlight w:val="none"/>
                <w:lang w:val="en-US" w:eastAsia="zh-CN" w:bidi="ar-SA"/>
              </w:rPr>
              <w:t>调节池＋初沉池+水解酸化池＋水解酸化池沉淀池+好氧池+一级沉淀池+二级水解酸化池+二级接触氧化池+二级沉淀沉池+混凝气浮</w:t>
            </w:r>
            <w:r>
              <w:rPr>
                <w:rFonts w:hint="eastAsia" w:cs="Times New Roman"/>
                <w:color w:val="auto"/>
                <w:kern w:val="0"/>
                <w:sz w:val="21"/>
                <w:szCs w:val="21"/>
                <w:highlight w:val="none"/>
                <w:lang w:val="en-US" w:eastAsia="zh-CN" w:bidi="ar-SA"/>
              </w:rPr>
              <w:t>”处理</w:t>
            </w:r>
            <w:r>
              <w:rPr>
                <w:rFonts w:hint="eastAsia" w:ascii="Times New Roman" w:hAnsi="Times New Roman" w:eastAsia="宋体" w:cs="Times New Roman"/>
                <w:color w:val="auto"/>
                <w:kern w:val="0"/>
                <w:sz w:val="21"/>
                <w:szCs w:val="21"/>
                <w:highlight w:val="none"/>
                <w:lang w:val="en-US" w:eastAsia="zh-CN" w:bidi="ar-SA"/>
              </w:rPr>
              <w:t>工艺。</w:t>
            </w:r>
            <w:r>
              <w:rPr>
                <w:rFonts w:hint="eastAsia" w:cs="Times New Roman"/>
                <w:color w:val="auto"/>
                <w:kern w:val="0"/>
                <w:sz w:val="21"/>
                <w:szCs w:val="21"/>
                <w:highlight w:val="none"/>
                <w:lang w:val="en-US" w:eastAsia="zh-CN" w:bidi="ar-SA"/>
              </w:rPr>
              <w:t>污水处理站的进、出水指标见表4-8。</w:t>
            </w:r>
          </w:p>
          <w:p w14:paraId="75A5B4FB">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0" w:firstLineChars="0"/>
              <w:jc w:val="center"/>
              <w:textAlignment w:val="baseline"/>
              <w:outlineLvl w:val="1"/>
              <w:rPr>
                <w:rFonts w:hint="eastAsia"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 4-</w:t>
            </w:r>
            <w:r>
              <w:rPr>
                <w:rFonts w:hint="eastAsia" w:ascii="Times New Roman" w:hAnsi="Times New Roman" w:eastAsia="宋体" w:cs="Times New Roman"/>
                <w:b/>
                <w:bCs w:val="0"/>
                <w:color w:val="auto"/>
                <w:kern w:val="2"/>
                <w:sz w:val="21"/>
                <w:szCs w:val="21"/>
                <w:highlight w:val="none"/>
                <w:lang w:val="en-US" w:eastAsia="zh-CN" w:bidi="ar-SA"/>
              </w:rPr>
              <w:t>8</w:t>
            </w:r>
            <w:r>
              <w:rPr>
                <w:rFonts w:hint="default" w:ascii="Times New Roman" w:hAnsi="Times New Roman" w:eastAsia="宋体" w:cs="Times New Roman"/>
                <w:b/>
                <w:bCs w:val="0"/>
                <w:color w:val="auto"/>
                <w:kern w:val="2"/>
                <w:sz w:val="21"/>
                <w:szCs w:val="21"/>
                <w:highlight w:val="none"/>
                <w:lang w:val="en-US" w:eastAsia="zh-CN" w:bidi="ar-SA"/>
              </w:rPr>
              <w:t xml:space="preserve"> </w:t>
            </w:r>
            <w:r>
              <w:rPr>
                <w:rFonts w:hint="eastAsia" w:cs="Times New Roman"/>
                <w:b/>
                <w:bCs w:val="0"/>
                <w:color w:val="auto"/>
                <w:kern w:val="2"/>
                <w:sz w:val="21"/>
                <w:szCs w:val="21"/>
                <w:highlight w:val="none"/>
                <w:lang w:val="en-US" w:eastAsia="zh-CN" w:bidi="ar-SA"/>
              </w:rPr>
              <w:t xml:space="preserve">污水处理站进、出水指标  </w:t>
            </w:r>
            <w:r>
              <w:rPr>
                <w:rFonts w:hint="default" w:ascii="Times New Roman" w:hAnsi="Times New Roman" w:eastAsia="宋体" w:cs="Times New Roman"/>
                <w:b/>
                <w:bCs w:val="0"/>
                <w:color w:val="auto"/>
                <w:kern w:val="2"/>
                <w:sz w:val="21"/>
                <w:szCs w:val="21"/>
                <w:highlight w:val="none"/>
                <w:lang w:val="en-US" w:eastAsia="zh-CN" w:bidi="ar-SA"/>
              </w:rPr>
              <w:t>单位：mg/L）</w:t>
            </w:r>
          </w:p>
          <w:tbl>
            <w:tblPr>
              <w:tblStyle w:val="25"/>
              <w:tblW w:w="499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915"/>
              <w:gridCol w:w="743"/>
              <w:gridCol w:w="743"/>
              <w:gridCol w:w="743"/>
              <w:gridCol w:w="743"/>
              <w:gridCol w:w="744"/>
              <w:gridCol w:w="1138"/>
              <w:gridCol w:w="1142"/>
            </w:tblGrid>
            <w:tr w14:paraId="34FCBF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1210" w:type="pct"/>
                  <w:tcBorders>
                    <w:top w:val="single" w:color="auto" w:sz="4" w:space="0"/>
                    <w:left w:val="single" w:color="auto" w:sz="4" w:space="0"/>
                    <w:bottom w:val="single" w:color="auto" w:sz="4" w:space="0"/>
                    <w:right w:val="single" w:color="auto" w:sz="4" w:space="0"/>
                    <w:tl2br w:val="single" w:color="auto" w:sz="4" w:space="0"/>
                  </w:tcBorders>
                  <w:noWrap w:val="0"/>
                  <w:vAlign w:val="center"/>
                </w:tcPr>
                <w:p w14:paraId="46E31E1E">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lang w:val="en-US" w:eastAsia="zh-CN"/>
                    </w:rPr>
                    <w:t xml:space="preserve">       </w:t>
                  </w:r>
                  <w:r>
                    <w:rPr>
                      <w:rFonts w:hint="default" w:ascii="Times New Roman" w:hAnsi="Times New Roman" w:eastAsia="宋体" w:cs="Times New Roman"/>
                      <w:b w:val="0"/>
                      <w:bCs w:val="0"/>
                      <w:snapToGrid w:val="0"/>
                      <w:color w:val="auto"/>
                      <w:kern w:val="0"/>
                      <w:sz w:val="21"/>
                      <w:szCs w:val="21"/>
                      <w:highlight w:val="none"/>
                    </w:rPr>
                    <w:t>污染物</w:t>
                  </w:r>
                </w:p>
                <w:p w14:paraId="372AE61D">
                  <w:pPr>
                    <w:keepNext w:val="0"/>
                    <w:keepLines w:val="0"/>
                    <w:suppressLineNumbers w:val="0"/>
                    <w:snapToGrid w:val="0"/>
                    <w:spacing w:before="0" w:beforeAutospacing="0" w:after="0" w:afterAutospacing="0" w:line="240" w:lineRule="exact"/>
                    <w:ind w:left="0" w:right="0" w:firstLine="0" w:firstLineChars="0"/>
                    <w:jc w:val="both"/>
                    <w:rPr>
                      <w:rFonts w:hint="eastAsia" w:ascii="Times New Roman" w:hAnsi="Times New Roman" w:eastAsia="宋体" w:cs="Times New Roman"/>
                      <w:b w:val="0"/>
                      <w:bCs w:val="0"/>
                      <w:snapToGrid w:val="0"/>
                      <w:color w:val="auto"/>
                      <w:kern w:val="0"/>
                      <w:sz w:val="21"/>
                      <w:szCs w:val="21"/>
                      <w:highlight w:val="none"/>
                      <w:lang w:eastAsia="zh-CN"/>
                    </w:rPr>
                  </w:pPr>
                  <w:r>
                    <w:rPr>
                      <w:rFonts w:hint="eastAsia" w:ascii="Times New Roman" w:hAnsi="Times New Roman" w:eastAsia="宋体" w:cs="Times New Roman"/>
                      <w:b w:val="0"/>
                      <w:bCs w:val="0"/>
                      <w:snapToGrid w:val="0"/>
                      <w:color w:val="auto"/>
                      <w:kern w:val="0"/>
                      <w:sz w:val="21"/>
                      <w:szCs w:val="21"/>
                      <w:highlight w:val="none"/>
                      <w:lang w:eastAsia="zh-CN"/>
                    </w:rPr>
                    <w:t>类别</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0DA0649D">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pH</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424F9376">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COD</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2912DBA3">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BOD</w:t>
                  </w:r>
                  <w:r>
                    <w:rPr>
                      <w:rFonts w:hint="default" w:ascii="Times New Roman" w:hAnsi="Times New Roman" w:eastAsia="宋体" w:cs="Times New Roman"/>
                      <w:b w:val="0"/>
                      <w:bCs w:val="0"/>
                      <w:snapToGrid w:val="0"/>
                      <w:color w:val="auto"/>
                      <w:kern w:val="0"/>
                      <w:sz w:val="21"/>
                      <w:szCs w:val="21"/>
                      <w:highlight w:val="none"/>
                      <w:vertAlign w:val="subscript"/>
                    </w:rPr>
                    <w:t>5</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20432C19">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SS</w:t>
                  </w:r>
                </w:p>
              </w:tc>
              <w:tc>
                <w:tcPr>
                  <w:tcW w:w="470" w:type="pct"/>
                  <w:tcBorders>
                    <w:top w:val="single" w:color="auto" w:sz="4" w:space="0"/>
                    <w:left w:val="single" w:color="auto" w:sz="4" w:space="0"/>
                    <w:bottom w:val="single" w:color="auto" w:sz="4" w:space="0"/>
                    <w:right w:val="single" w:color="auto" w:sz="4" w:space="0"/>
                  </w:tcBorders>
                  <w:noWrap w:val="0"/>
                  <w:vAlign w:val="center"/>
                </w:tcPr>
                <w:p w14:paraId="0E33CD7E">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氨氮</w:t>
                  </w:r>
                </w:p>
              </w:tc>
              <w:tc>
                <w:tcPr>
                  <w:tcW w:w="719" w:type="pct"/>
                  <w:tcBorders>
                    <w:top w:val="single" w:color="auto" w:sz="4" w:space="0"/>
                    <w:left w:val="single" w:color="auto" w:sz="4" w:space="0"/>
                    <w:bottom w:val="single" w:color="auto" w:sz="4" w:space="0"/>
                    <w:right w:val="single" w:color="auto" w:sz="4" w:space="0"/>
                  </w:tcBorders>
                  <w:noWrap w:val="0"/>
                  <w:vAlign w:val="center"/>
                </w:tcPr>
                <w:p w14:paraId="7A433047">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总氮</w:t>
                  </w:r>
                </w:p>
                <w:p w14:paraId="27A280D9">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default" w:ascii="Times New Roman" w:hAnsi="Times New Roman" w:eastAsia="宋体" w:cs="Times New Roman"/>
                      <w:b w:val="0"/>
                      <w:bCs w:val="0"/>
                      <w:snapToGrid w:val="0"/>
                      <w:color w:val="auto"/>
                      <w:kern w:val="0"/>
                      <w:sz w:val="21"/>
                      <w:szCs w:val="21"/>
                      <w:highlight w:val="none"/>
                    </w:rPr>
                    <w:t>（以N计）</w:t>
                  </w:r>
                </w:p>
              </w:tc>
              <w:tc>
                <w:tcPr>
                  <w:tcW w:w="721" w:type="pct"/>
                  <w:tcBorders>
                    <w:top w:val="single" w:color="auto" w:sz="4" w:space="0"/>
                    <w:left w:val="single" w:color="auto" w:sz="4" w:space="0"/>
                    <w:bottom w:val="single" w:color="auto" w:sz="4" w:space="0"/>
                    <w:right w:val="single" w:color="auto" w:sz="4" w:space="0"/>
                  </w:tcBorders>
                  <w:noWrap w:val="0"/>
                  <w:vAlign w:val="center"/>
                </w:tcPr>
                <w:p w14:paraId="45AE6156">
                  <w:pPr>
                    <w:keepNext w:val="0"/>
                    <w:keepLines w:val="0"/>
                    <w:suppressLineNumbers w:val="0"/>
                    <w:snapToGrid w:val="0"/>
                    <w:spacing w:before="0" w:beforeAutospacing="0" w:after="0" w:afterAutospacing="0" w:line="240" w:lineRule="exact"/>
                    <w:ind w:left="0" w:right="0" w:firstLine="0" w:firstLineChars="0"/>
                    <w:jc w:val="center"/>
                    <w:rPr>
                      <w:rFonts w:hint="eastAsia" w:ascii="Times New Roman" w:hAnsi="Times New Roman" w:eastAsia="宋体" w:cs="Times New Roman"/>
                      <w:b w:val="0"/>
                      <w:bCs w:val="0"/>
                      <w:snapToGrid w:val="0"/>
                      <w:color w:val="auto"/>
                      <w:kern w:val="0"/>
                      <w:sz w:val="21"/>
                      <w:szCs w:val="21"/>
                      <w:highlight w:val="none"/>
                      <w:lang w:eastAsia="zh-CN"/>
                    </w:rPr>
                  </w:pPr>
                  <w:r>
                    <w:rPr>
                      <w:rFonts w:hint="eastAsia" w:cs="Times New Roman"/>
                      <w:b w:val="0"/>
                      <w:bCs w:val="0"/>
                      <w:snapToGrid w:val="0"/>
                      <w:color w:val="auto"/>
                      <w:kern w:val="0"/>
                      <w:sz w:val="21"/>
                      <w:szCs w:val="21"/>
                      <w:highlight w:val="none"/>
                      <w:lang w:eastAsia="zh-CN"/>
                    </w:rPr>
                    <w:t>石油类</w:t>
                  </w:r>
                </w:p>
              </w:tc>
            </w:tr>
            <w:tr w14:paraId="338F0D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1210" w:type="pct"/>
                  <w:tcBorders>
                    <w:top w:val="single" w:color="auto" w:sz="4" w:space="0"/>
                    <w:left w:val="single" w:color="auto" w:sz="4" w:space="0"/>
                    <w:bottom w:val="single" w:color="auto" w:sz="4" w:space="0"/>
                    <w:right w:val="single" w:color="auto" w:sz="4" w:space="0"/>
                  </w:tcBorders>
                  <w:noWrap w:val="0"/>
                  <w:vAlign w:val="center"/>
                </w:tcPr>
                <w:p w14:paraId="7ECE1C2B">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eastAsia" w:ascii="Times New Roman" w:hAnsi="Times New Roman" w:eastAsia="宋体" w:cs="Times New Roman"/>
                      <w:b w:val="0"/>
                      <w:bCs w:val="0"/>
                      <w:snapToGrid w:val="0"/>
                      <w:color w:val="auto"/>
                      <w:kern w:val="0"/>
                      <w:sz w:val="21"/>
                      <w:szCs w:val="21"/>
                      <w:highlight w:val="none"/>
                      <w:lang w:eastAsia="zh-CN"/>
                    </w:rPr>
                    <w:t>进水指标</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484EF73E">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rPr>
                  </w:pPr>
                  <w:r>
                    <w:rPr>
                      <w:rFonts w:hint="eastAsia" w:ascii="Times New Roman" w:hAnsi="Times New Roman" w:eastAsia="宋体" w:cs="Times New Roman"/>
                      <w:b w:val="0"/>
                      <w:bCs w:val="0"/>
                      <w:snapToGrid w:val="0"/>
                      <w:color w:val="auto"/>
                      <w:kern w:val="0"/>
                      <w:sz w:val="21"/>
                      <w:szCs w:val="21"/>
                      <w:highlight w:val="none"/>
                      <w:lang w:val="en-US" w:eastAsia="zh-CN"/>
                    </w:rPr>
                    <w:t>7</w:t>
                  </w:r>
                  <w:r>
                    <w:rPr>
                      <w:rFonts w:hint="default" w:ascii="Times New Roman" w:hAnsi="Times New Roman" w:eastAsia="宋体" w:cs="Times New Roman"/>
                      <w:b w:val="0"/>
                      <w:bCs w:val="0"/>
                      <w:snapToGrid w:val="0"/>
                      <w:color w:val="auto"/>
                      <w:kern w:val="0"/>
                      <w:sz w:val="21"/>
                      <w:szCs w:val="21"/>
                      <w:highlight w:val="none"/>
                    </w:rPr>
                    <w:t>~9</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0EF7022C">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5000</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7D0B96EF">
                  <w:pPr>
                    <w:keepNext w:val="0"/>
                    <w:keepLines w:val="0"/>
                    <w:suppressLineNumbers w:val="0"/>
                    <w:snapToGrid w:val="0"/>
                    <w:spacing w:before="0" w:beforeAutospacing="0" w:after="0" w:afterAutospacing="0" w:line="240" w:lineRule="exact"/>
                    <w:ind w:left="0" w:right="0" w:firstLine="0" w:firstLineChars="0"/>
                    <w:jc w:val="center"/>
                    <w:rPr>
                      <w:rFonts w:hint="eastAsia"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3F4F81FE">
                  <w:pPr>
                    <w:keepNext w:val="0"/>
                    <w:keepLines w:val="0"/>
                    <w:suppressLineNumbers w:val="0"/>
                    <w:snapToGrid w:val="0"/>
                    <w:spacing w:before="0" w:beforeAutospacing="0" w:after="0" w:afterAutospacing="0" w:line="240" w:lineRule="exact"/>
                    <w:ind w:left="0" w:right="0" w:firstLine="0" w:firstLineChars="0"/>
                    <w:jc w:val="center"/>
                    <w:rPr>
                      <w:rFonts w:hint="eastAsia"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w:t>
                  </w:r>
                </w:p>
              </w:tc>
              <w:tc>
                <w:tcPr>
                  <w:tcW w:w="470" w:type="pct"/>
                  <w:tcBorders>
                    <w:top w:val="single" w:color="auto" w:sz="4" w:space="0"/>
                    <w:left w:val="single" w:color="auto" w:sz="4" w:space="0"/>
                    <w:bottom w:val="single" w:color="auto" w:sz="4" w:space="0"/>
                    <w:right w:val="single" w:color="auto" w:sz="4" w:space="0"/>
                  </w:tcBorders>
                  <w:noWrap w:val="0"/>
                  <w:vAlign w:val="center"/>
                </w:tcPr>
                <w:p w14:paraId="4253A9BC">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300</w:t>
                  </w:r>
                </w:p>
              </w:tc>
              <w:tc>
                <w:tcPr>
                  <w:tcW w:w="719" w:type="pct"/>
                  <w:tcBorders>
                    <w:top w:val="single" w:color="auto" w:sz="4" w:space="0"/>
                    <w:left w:val="single" w:color="auto" w:sz="4" w:space="0"/>
                    <w:bottom w:val="single" w:color="auto" w:sz="4" w:space="0"/>
                    <w:right w:val="single" w:color="auto" w:sz="4" w:space="0"/>
                  </w:tcBorders>
                  <w:noWrap w:val="0"/>
                  <w:vAlign w:val="center"/>
                </w:tcPr>
                <w:p w14:paraId="26EB52B2">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500</w:t>
                  </w:r>
                </w:p>
              </w:tc>
              <w:tc>
                <w:tcPr>
                  <w:tcW w:w="721" w:type="pct"/>
                  <w:tcBorders>
                    <w:top w:val="single" w:color="auto" w:sz="4" w:space="0"/>
                    <w:left w:val="single" w:color="auto" w:sz="4" w:space="0"/>
                    <w:bottom w:val="single" w:color="auto" w:sz="4" w:space="0"/>
                    <w:right w:val="single" w:color="auto" w:sz="4" w:space="0"/>
                  </w:tcBorders>
                  <w:noWrap w:val="0"/>
                  <w:vAlign w:val="center"/>
                </w:tcPr>
                <w:p w14:paraId="71D7AD84">
                  <w:pPr>
                    <w:keepNext w:val="0"/>
                    <w:keepLines w:val="0"/>
                    <w:suppressLineNumbers w:val="0"/>
                    <w:snapToGrid w:val="0"/>
                    <w:spacing w:before="0" w:beforeAutospacing="0" w:after="0" w:afterAutospacing="0" w:line="240" w:lineRule="exact"/>
                    <w:ind w:left="0" w:right="0" w:firstLine="0" w:firstLineChars="0"/>
                    <w:jc w:val="center"/>
                    <w:rPr>
                      <w:rFonts w:hint="default" w:cs="Times New Roman"/>
                      <w:b w:val="0"/>
                      <w:bCs w:val="0"/>
                      <w:snapToGrid w:val="0"/>
                      <w:color w:val="auto"/>
                      <w:kern w:val="0"/>
                      <w:sz w:val="21"/>
                      <w:szCs w:val="21"/>
                      <w:highlight w:val="none"/>
                      <w:lang w:val="en-US" w:eastAsia="zh-CN"/>
                    </w:rPr>
                  </w:pPr>
                  <w:r>
                    <w:rPr>
                      <w:rFonts w:hint="eastAsia" w:cs="Times New Roman"/>
                      <w:b w:val="0"/>
                      <w:bCs w:val="0"/>
                      <w:snapToGrid w:val="0"/>
                      <w:color w:val="auto"/>
                      <w:kern w:val="0"/>
                      <w:sz w:val="21"/>
                      <w:szCs w:val="21"/>
                      <w:highlight w:val="none"/>
                      <w:lang w:val="en-US" w:eastAsia="zh-CN"/>
                    </w:rPr>
                    <w:t>-</w:t>
                  </w:r>
                </w:p>
              </w:tc>
            </w:tr>
            <w:tr w14:paraId="03CFC8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1210" w:type="pct"/>
                  <w:tcBorders>
                    <w:top w:val="single" w:color="auto" w:sz="4" w:space="0"/>
                    <w:left w:val="single" w:color="auto" w:sz="4" w:space="0"/>
                    <w:bottom w:val="single" w:color="auto" w:sz="4" w:space="0"/>
                    <w:right w:val="single" w:color="auto" w:sz="4" w:space="0"/>
                  </w:tcBorders>
                  <w:noWrap w:val="0"/>
                  <w:vAlign w:val="center"/>
                </w:tcPr>
                <w:p w14:paraId="0ED336E3">
                  <w:pPr>
                    <w:keepNext w:val="0"/>
                    <w:keepLines w:val="0"/>
                    <w:suppressLineNumbers w:val="0"/>
                    <w:snapToGrid w:val="0"/>
                    <w:spacing w:before="0" w:beforeAutospacing="0" w:after="0" w:afterAutospacing="0" w:line="240" w:lineRule="exact"/>
                    <w:ind w:left="0" w:right="0" w:firstLine="0" w:firstLineChars="0"/>
                    <w:jc w:val="center"/>
                    <w:rPr>
                      <w:rFonts w:hint="eastAsia" w:ascii="Times New Roman" w:hAnsi="Times New Roman" w:eastAsia="宋体" w:cs="Times New Roman"/>
                      <w:b w:val="0"/>
                      <w:bCs w:val="0"/>
                      <w:snapToGrid w:val="0"/>
                      <w:color w:val="auto"/>
                      <w:kern w:val="0"/>
                      <w:sz w:val="21"/>
                      <w:szCs w:val="21"/>
                      <w:highlight w:val="none"/>
                      <w:lang w:eastAsia="zh-CN"/>
                    </w:rPr>
                  </w:pPr>
                  <w:r>
                    <w:rPr>
                      <w:rFonts w:hint="eastAsia" w:ascii="Times New Roman" w:hAnsi="Times New Roman" w:eastAsia="宋体" w:cs="Times New Roman"/>
                      <w:b w:val="0"/>
                      <w:bCs w:val="0"/>
                      <w:snapToGrid w:val="0"/>
                      <w:color w:val="auto"/>
                      <w:kern w:val="0"/>
                      <w:sz w:val="21"/>
                      <w:szCs w:val="21"/>
                      <w:highlight w:val="none"/>
                      <w:lang w:eastAsia="zh-CN"/>
                    </w:rPr>
                    <w:t>出水指标</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2EBECCB7">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default" w:ascii="Times New Roman" w:hAnsi="Times New Roman" w:eastAsia="宋体" w:cs="Times New Roman"/>
                      <w:b w:val="0"/>
                      <w:bCs w:val="0"/>
                      <w:snapToGrid w:val="0"/>
                      <w:color w:val="auto"/>
                      <w:kern w:val="0"/>
                      <w:sz w:val="21"/>
                      <w:szCs w:val="21"/>
                      <w:highlight w:val="none"/>
                      <w:lang w:val="en-US" w:eastAsia="zh-CN"/>
                    </w:rPr>
                    <w:t>6~9</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197458B5">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cs="Times New Roman"/>
                      <w:b w:val="0"/>
                      <w:bCs w:val="0"/>
                      <w:snapToGrid w:val="0"/>
                      <w:color w:val="auto"/>
                      <w:kern w:val="0"/>
                      <w:sz w:val="21"/>
                      <w:szCs w:val="21"/>
                      <w:highlight w:val="none"/>
                      <w:lang w:val="en-US" w:eastAsia="zh-CN"/>
                    </w:rPr>
                    <w:t>5</w:t>
                  </w:r>
                  <w:r>
                    <w:rPr>
                      <w:rFonts w:hint="eastAsia" w:ascii="Times New Roman" w:hAnsi="Times New Roman" w:eastAsia="宋体" w:cs="Times New Roman"/>
                      <w:b w:val="0"/>
                      <w:bCs w:val="0"/>
                      <w:snapToGrid w:val="0"/>
                      <w:color w:val="auto"/>
                      <w:kern w:val="0"/>
                      <w:sz w:val="21"/>
                      <w:szCs w:val="21"/>
                      <w:highlight w:val="none"/>
                      <w:lang w:val="en-US" w:eastAsia="zh-CN"/>
                    </w:rPr>
                    <w:t>00</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1603634B">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180</w:t>
                  </w:r>
                </w:p>
              </w:tc>
              <w:tc>
                <w:tcPr>
                  <w:tcW w:w="469" w:type="pct"/>
                  <w:tcBorders>
                    <w:top w:val="single" w:color="auto" w:sz="4" w:space="0"/>
                    <w:left w:val="single" w:color="auto" w:sz="4" w:space="0"/>
                    <w:bottom w:val="single" w:color="auto" w:sz="4" w:space="0"/>
                    <w:right w:val="single" w:color="auto" w:sz="4" w:space="0"/>
                  </w:tcBorders>
                  <w:noWrap w:val="0"/>
                  <w:vAlign w:val="center"/>
                </w:tcPr>
                <w:p w14:paraId="06DEC52E">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cs="Times New Roman"/>
                      <w:b w:val="0"/>
                      <w:bCs w:val="0"/>
                      <w:snapToGrid w:val="0"/>
                      <w:color w:val="auto"/>
                      <w:kern w:val="0"/>
                      <w:sz w:val="21"/>
                      <w:szCs w:val="21"/>
                      <w:highlight w:val="none"/>
                      <w:lang w:val="en-US" w:eastAsia="zh-CN"/>
                    </w:rPr>
                    <w:t>200</w:t>
                  </w:r>
                </w:p>
              </w:tc>
              <w:tc>
                <w:tcPr>
                  <w:tcW w:w="470" w:type="pct"/>
                  <w:tcBorders>
                    <w:top w:val="single" w:color="auto" w:sz="4" w:space="0"/>
                    <w:left w:val="single" w:color="auto" w:sz="4" w:space="0"/>
                    <w:bottom w:val="single" w:color="auto" w:sz="4" w:space="0"/>
                    <w:right w:val="single" w:color="auto" w:sz="4" w:space="0"/>
                  </w:tcBorders>
                  <w:noWrap w:val="0"/>
                  <w:vAlign w:val="center"/>
                </w:tcPr>
                <w:p w14:paraId="736ACE9E">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48</w:t>
                  </w:r>
                </w:p>
              </w:tc>
              <w:tc>
                <w:tcPr>
                  <w:tcW w:w="719" w:type="pct"/>
                  <w:tcBorders>
                    <w:top w:val="single" w:color="auto" w:sz="4" w:space="0"/>
                    <w:left w:val="single" w:color="auto" w:sz="4" w:space="0"/>
                    <w:bottom w:val="single" w:color="auto" w:sz="4" w:space="0"/>
                    <w:right w:val="single" w:color="auto" w:sz="4" w:space="0"/>
                  </w:tcBorders>
                  <w:noWrap w:val="0"/>
                  <w:vAlign w:val="center"/>
                </w:tcPr>
                <w:p w14:paraId="732E78CF">
                  <w:pPr>
                    <w:keepNext w:val="0"/>
                    <w:keepLines w:val="0"/>
                    <w:suppressLineNumbers w:val="0"/>
                    <w:snapToGrid w:val="0"/>
                    <w:spacing w:before="0" w:beforeAutospacing="0" w:after="0" w:afterAutospacing="0" w:line="240" w:lineRule="exact"/>
                    <w:ind w:left="0" w:right="0" w:firstLine="0" w:firstLineChars="0"/>
                    <w:jc w:val="center"/>
                    <w:rPr>
                      <w:rFonts w:hint="default" w:ascii="Times New Roman" w:hAnsi="Times New Roman" w:eastAsia="宋体" w:cs="Times New Roman"/>
                      <w:b w:val="0"/>
                      <w:bCs w:val="0"/>
                      <w:snapToGrid w:val="0"/>
                      <w:color w:val="auto"/>
                      <w:kern w:val="0"/>
                      <w:sz w:val="21"/>
                      <w:szCs w:val="21"/>
                      <w:highlight w:val="none"/>
                      <w:lang w:val="en-US" w:eastAsia="zh-CN"/>
                    </w:rPr>
                  </w:pPr>
                  <w:r>
                    <w:rPr>
                      <w:rFonts w:hint="eastAsia" w:ascii="Times New Roman" w:hAnsi="Times New Roman" w:eastAsia="宋体" w:cs="Times New Roman"/>
                      <w:b w:val="0"/>
                      <w:bCs w:val="0"/>
                      <w:snapToGrid w:val="0"/>
                      <w:color w:val="auto"/>
                      <w:kern w:val="0"/>
                      <w:sz w:val="21"/>
                      <w:szCs w:val="21"/>
                      <w:highlight w:val="none"/>
                      <w:lang w:val="en-US" w:eastAsia="zh-CN"/>
                    </w:rPr>
                    <w:t>70</w:t>
                  </w:r>
                </w:p>
              </w:tc>
              <w:tc>
                <w:tcPr>
                  <w:tcW w:w="721" w:type="pct"/>
                  <w:tcBorders>
                    <w:top w:val="single" w:color="auto" w:sz="4" w:space="0"/>
                    <w:left w:val="single" w:color="auto" w:sz="4" w:space="0"/>
                    <w:bottom w:val="single" w:color="auto" w:sz="4" w:space="0"/>
                    <w:right w:val="single" w:color="auto" w:sz="4" w:space="0"/>
                  </w:tcBorders>
                  <w:noWrap w:val="0"/>
                  <w:vAlign w:val="center"/>
                </w:tcPr>
                <w:p w14:paraId="0AE96D66">
                  <w:pPr>
                    <w:keepNext w:val="0"/>
                    <w:keepLines w:val="0"/>
                    <w:suppressLineNumbers w:val="0"/>
                    <w:snapToGrid w:val="0"/>
                    <w:spacing w:before="0" w:beforeAutospacing="0" w:after="0" w:afterAutospacing="0" w:line="240" w:lineRule="exact"/>
                    <w:ind w:left="0" w:right="0" w:firstLine="0" w:firstLineChars="0"/>
                    <w:jc w:val="center"/>
                    <w:rPr>
                      <w:rFonts w:hint="default" w:cs="Times New Roman"/>
                      <w:b w:val="0"/>
                      <w:bCs w:val="0"/>
                      <w:snapToGrid w:val="0"/>
                      <w:color w:val="auto"/>
                      <w:kern w:val="0"/>
                      <w:sz w:val="21"/>
                      <w:szCs w:val="21"/>
                      <w:highlight w:val="none"/>
                      <w:lang w:val="en-US" w:eastAsia="zh-CN"/>
                    </w:rPr>
                  </w:pPr>
                  <w:r>
                    <w:rPr>
                      <w:rFonts w:hint="eastAsia" w:cs="Times New Roman"/>
                      <w:b w:val="0"/>
                      <w:bCs w:val="0"/>
                      <w:snapToGrid w:val="0"/>
                      <w:color w:val="auto"/>
                      <w:kern w:val="0"/>
                      <w:sz w:val="21"/>
                      <w:szCs w:val="21"/>
                      <w:highlight w:val="none"/>
                      <w:lang w:val="en-US" w:eastAsia="zh-CN"/>
                    </w:rPr>
                    <w:t>20</w:t>
                  </w:r>
                </w:p>
              </w:tc>
            </w:tr>
          </w:tbl>
          <w:p w14:paraId="356E4015">
            <w:pPr>
              <w:adjustRightInd/>
              <w:snapToGrid/>
              <w:spacing w:beforeLines="0" w:afterLines="0" w:line="360" w:lineRule="auto"/>
              <w:ind w:firstLine="420" w:firstLineChars="200"/>
              <w:rPr>
                <w:rFonts w:hint="eastAsia" w:ascii="Times New Roman" w:hAnsi="Times New Roman" w:eastAsia="宋体" w:cs="Times New Roman"/>
                <w:b w:val="0"/>
                <w:bCs w:val="0"/>
                <w:color w:val="auto"/>
                <w:kern w:val="0"/>
                <w:sz w:val="21"/>
                <w:szCs w:val="21"/>
                <w:highlight w:val="none"/>
                <w:lang w:val="en-US" w:eastAsia="zh-CN" w:bidi="ar-SA"/>
              </w:rPr>
            </w:pPr>
            <w:r>
              <w:rPr>
                <w:rFonts w:hint="eastAsia" w:ascii="Times New Roman" w:hAnsi="Times New Roman" w:eastAsia="宋体" w:cs="Times New Roman"/>
                <w:b w:val="0"/>
                <w:bCs w:val="0"/>
                <w:color w:val="auto"/>
                <w:kern w:val="0"/>
                <w:sz w:val="21"/>
                <w:szCs w:val="21"/>
                <w:highlight w:val="none"/>
                <w:lang w:val="en-US" w:eastAsia="zh-CN" w:bidi="ar-SA"/>
              </w:rPr>
              <w:t>废水中主要污染物符合《污水综合排放标准》（GB8978</w:t>
            </w:r>
            <w:r>
              <w:rPr>
                <w:rFonts w:hint="eastAsia" w:cs="Times New Roman"/>
                <w:b w:val="0"/>
                <w:bCs w:val="0"/>
                <w:color w:val="auto"/>
                <w:kern w:val="0"/>
                <w:sz w:val="21"/>
                <w:szCs w:val="21"/>
                <w:highlight w:val="none"/>
                <w:lang w:val="en-US" w:eastAsia="zh-CN" w:bidi="ar-SA"/>
              </w:rPr>
              <w:t>-</w:t>
            </w:r>
            <w:r>
              <w:rPr>
                <w:rFonts w:hint="eastAsia" w:ascii="Times New Roman" w:hAnsi="Times New Roman" w:eastAsia="宋体" w:cs="Times New Roman"/>
                <w:b w:val="0"/>
                <w:bCs w:val="0"/>
                <w:color w:val="auto"/>
                <w:kern w:val="0"/>
                <w:sz w:val="21"/>
                <w:szCs w:val="21"/>
                <w:highlight w:val="none"/>
                <w:lang w:val="en-US" w:eastAsia="zh-CN" w:bidi="ar-SA"/>
              </w:rPr>
              <w:t>1996）表4三级标准并同时满足</w:t>
            </w:r>
            <w:r>
              <w:rPr>
                <w:rFonts w:hint="eastAsia" w:cs="Times New Roman"/>
                <w:b w:val="0"/>
                <w:bCs w:val="0"/>
                <w:color w:val="auto"/>
                <w:kern w:val="0"/>
                <w:sz w:val="21"/>
                <w:szCs w:val="21"/>
                <w:highlight w:val="none"/>
                <w:lang w:val="en-US" w:eastAsia="zh-CN" w:bidi="ar-SA"/>
              </w:rPr>
              <w:t>石家庄高新区循化环境水务有限公司（良村南污水处理厂）</w:t>
            </w:r>
            <w:r>
              <w:rPr>
                <w:rFonts w:hint="eastAsia" w:ascii="Times New Roman" w:hAnsi="Times New Roman" w:eastAsia="宋体" w:cs="Times New Roman"/>
                <w:b w:val="0"/>
                <w:bCs w:val="0"/>
                <w:color w:val="auto"/>
                <w:kern w:val="0"/>
                <w:sz w:val="21"/>
                <w:szCs w:val="21"/>
                <w:highlight w:val="none"/>
                <w:lang w:val="en-US" w:eastAsia="zh-CN" w:bidi="ar-SA"/>
              </w:rPr>
              <w:t>进水水质要求。</w:t>
            </w:r>
          </w:p>
          <w:p w14:paraId="5C107687">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r>
              <w:rPr>
                <w:rFonts w:hint="default" w:ascii="Times New Roman" w:hAnsi="Times New Roman" w:cs="Times New Roman"/>
                <w:bCs/>
                <w:color w:val="auto"/>
                <w:spacing w:val="-10"/>
                <w:sz w:val="21"/>
                <w:szCs w:val="21"/>
                <w:highlight w:val="none"/>
                <w:lang w:val="en-US" w:eastAsia="zh-CN"/>
              </w:rPr>
              <w:t>本项目建成后，全厂废水排放情况一览表见表4-</w:t>
            </w:r>
            <w:r>
              <w:rPr>
                <w:rFonts w:hint="eastAsia" w:ascii="Times New Roman" w:hAnsi="Times New Roman" w:cs="Times New Roman"/>
                <w:bCs/>
                <w:color w:val="auto"/>
                <w:spacing w:val="-10"/>
                <w:sz w:val="21"/>
                <w:szCs w:val="21"/>
                <w:highlight w:val="none"/>
                <w:lang w:val="en-US" w:eastAsia="zh-CN"/>
              </w:rPr>
              <w:t>9，废水排放口情况见表4-10</w:t>
            </w:r>
            <w:r>
              <w:rPr>
                <w:rFonts w:hint="default" w:ascii="Times New Roman" w:hAnsi="Times New Roman" w:cs="Times New Roman"/>
                <w:bCs/>
                <w:color w:val="auto"/>
                <w:spacing w:val="-10"/>
                <w:sz w:val="21"/>
                <w:szCs w:val="21"/>
                <w:highlight w:val="none"/>
                <w:lang w:val="en-US" w:eastAsia="zh-CN"/>
              </w:rPr>
              <w:t>。</w:t>
            </w:r>
          </w:p>
          <w:p w14:paraId="579E1FE2">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5BFF590E">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7C621A19">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3F31E7B3">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4ABF891D">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0559B349">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175C3C06">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67FCA3F3">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0BFE7EFB">
            <w:pPr>
              <w:adjustRightInd/>
              <w:snapToGrid/>
              <w:spacing w:beforeLines="0" w:afterLines="0" w:line="360" w:lineRule="auto"/>
              <w:ind w:firstLine="380" w:firstLineChars="200"/>
              <w:rPr>
                <w:rFonts w:hint="default" w:ascii="Times New Roman" w:hAnsi="Times New Roman" w:cs="Times New Roman"/>
                <w:bCs/>
                <w:color w:val="auto"/>
                <w:spacing w:val="-10"/>
                <w:sz w:val="21"/>
                <w:szCs w:val="21"/>
                <w:highlight w:val="none"/>
                <w:lang w:val="en-US" w:eastAsia="zh-CN"/>
              </w:rPr>
            </w:pPr>
          </w:p>
          <w:p w14:paraId="10BBCCF3">
            <w:pPr>
              <w:adjustRightInd/>
              <w:snapToGrid/>
              <w:spacing w:beforeLines="0" w:afterLines="0" w:line="360" w:lineRule="auto"/>
              <w:ind w:firstLine="380" w:firstLineChars="200"/>
              <w:rPr>
                <w:rFonts w:hint="eastAsia" w:ascii="Times New Roman" w:hAnsi="Times New Roman" w:cs="Times New Roman"/>
                <w:bCs/>
                <w:color w:val="auto"/>
                <w:spacing w:val="-10"/>
                <w:sz w:val="21"/>
                <w:szCs w:val="21"/>
                <w:highlight w:val="none"/>
                <w:lang w:val="en-US" w:eastAsia="zh-CN"/>
              </w:rPr>
            </w:pPr>
          </w:p>
        </w:tc>
      </w:tr>
    </w:tbl>
    <w:p w14:paraId="39540FE7">
      <w:pPr>
        <w:rPr>
          <w:color w:val="auto"/>
          <w:highlight w:val="none"/>
        </w:rPr>
        <w:sectPr>
          <w:pgSz w:w="11907" w:h="16840"/>
          <w:pgMar w:top="1701" w:right="1531" w:bottom="1644"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499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2727"/>
      </w:tblGrid>
      <w:tr w14:paraId="03F32F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7" w:type="pct"/>
            <w:noWrap w:val="0"/>
            <w:vAlign w:val="center"/>
          </w:tcPr>
          <w:p w14:paraId="7A24788E">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0F17648C">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2244DF9E">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65295A60">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5344D051">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14CAF3B1">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bCs/>
                <w:color w:val="auto"/>
                <w:sz w:val="21"/>
                <w:szCs w:val="21"/>
                <w:highlight w:val="none"/>
              </w:rPr>
              <w:t>措施</w:t>
            </w:r>
          </w:p>
        </w:tc>
        <w:tc>
          <w:tcPr>
            <w:tcW w:w="4642" w:type="pct"/>
            <w:noWrap w:val="0"/>
            <w:vAlign w:val="center"/>
          </w:tcPr>
          <w:p w14:paraId="279B72A7">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0" w:firstLineChars="0"/>
              <w:jc w:val="center"/>
              <w:textAlignment w:val="baseline"/>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 4-</w:t>
            </w:r>
            <w:r>
              <w:rPr>
                <w:rFonts w:hint="eastAsia" w:cs="Times New Roman"/>
                <w:b/>
                <w:bCs w:val="0"/>
                <w:color w:val="auto"/>
                <w:kern w:val="2"/>
                <w:sz w:val="21"/>
                <w:szCs w:val="21"/>
                <w:highlight w:val="none"/>
                <w:lang w:val="en-US" w:eastAsia="zh-CN" w:bidi="ar-SA"/>
              </w:rPr>
              <w:t>9</w:t>
            </w:r>
            <w:r>
              <w:rPr>
                <w:rFonts w:hint="default" w:ascii="Times New Roman" w:hAnsi="Times New Roman" w:eastAsia="宋体" w:cs="Times New Roman"/>
                <w:b/>
                <w:bCs w:val="0"/>
                <w:color w:val="auto"/>
                <w:kern w:val="2"/>
                <w:sz w:val="21"/>
                <w:szCs w:val="21"/>
                <w:highlight w:val="none"/>
                <w:lang w:val="en-US" w:eastAsia="zh-CN" w:bidi="ar-SA"/>
              </w:rPr>
              <w:t xml:space="preserve"> 项目</w:t>
            </w:r>
            <w:r>
              <w:rPr>
                <w:rFonts w:hint="eastAsia" w:cs="Times New Roman"/>
                <w:b/>
                <w:bCs w:val="0"/>
                <w:color w:val="auto"/>
                <w:kern w:val="2"/>
                <w:sz w:val="21"/>
                <w:szCs w:val="21"/>
                <w:highlight w:val="none"/>
                <w:lang w:val="en-US" w:eastAsia="zh-CN" w:bidi="ar-SA"/>
              </w:rPr>
              <w:t>建成后全厂</w:t>
            </w:r>
            <w:r>
              <w:rPr>
                <w:rFonts w:hint="default" w:ascii="Times New Roman" w:hAnsi="Times New Roman" w:eastAsia="宋体" w:cs="Times New Roman"/>
                <w:b/>
                <w:bCs w:val="0"/>
                <w:color w:val="auto"/>
                <w:kern w:val="2"/>
                <w:sz w:val="21"/>
                <w:szCs w:val="21"/>
                <w:highlight w:val="none"/>
                <w:lang w:val="en-US" w:eastAsia="zh-CN" w:bidi="ar-SA"/>
              </w:rPr>
              <w:t>废水污染物排放情况一览表</w:t>
            </w:r>
          </w:p>
          <w:tbl>
            <w:tblPr>
              <w:tblStyle w:val="25"/>
              <w:tblW w:w="12435" w:type="dxa"/>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12"/>
              <w:gridCol w:w="649"/>
              <w:gridCol w:w="651"/>
              <w:gridCol w:w="677"/>
              <w:gridCol w:w="967"/>
              <w:gridCol w:w="1101"/>
              <w:gridCol w:w="735"/>
              <w:gridCol w:w="1134"/>
              <w:gridCol w:w="569"/>
              <w:gridCol w:w="1224"/>
              <w:gridCol w:w="1020"/>
              <w:gridCol w:w="765"/>
              <w:gridCol w:w="1200"/>
              <w:gridCol w:w="1031"/>
            </w:tblGrid>
            <w:tr w14:paraId="0A3756C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restart"/>
                  <w:tcBorders>
                    <w:left w:val="single" w:color="auto" w:sz="4" w:space="0"/>
                  </w:tcBorders>
                  <w:noWrap w:val="0"/>
                  <w:vAlign w:val="center"/>
                </w:tcPr>
                <w:p w14:paraId="3542DED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产排污环节</w:t>
                  </w:r>
                </w:p>
              </w:tc>
              <w:tc>
                <w:tcPr>
                  <w:tcW w:w="649" w:type="dxa"/>
                  <w:vMerge w:val="restart"/>
                  <w:noWrap w:val="0"/>
                  <w:vAlign w:val="center"/>
                </w:tcPr>
                <w:p w14:paraId="724CE7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新增</w:t>
                  </w:r>
                  <w:r>
                    <w:rPr>
                      <w:rFonts w:hint="eastAsia" w:ascii="Times New Roman" w:hAnsi="Times New Roman" w:eastAsia="宋体" w:cs="Times New Roman"/>
                      <w:color w:val="auto"/>
                      <w:kern w:val="2"/>
                      <w:sz w:val="21"/>
                      <w:szCs w:val="21"/>
                      <w:highlight w:val="none"/>
                      <w:lang w:val="en-US" w:eastAsia="zh-CN" w:bidi="ar-SA"/>
                    </w:rPr>
                    <w:t>废水排放量</w:t>
                  </w:r>
                  <w:r>
                    <w:rPr>
                      <w:rFonts w:ascii="Times New Roman" w:hAnsi="Times New Roman" w:eastAsia="宋体" w:cs="Times New Roman"/>
                      <w:color w:val="auto"/>
                      <w:kern w:val="2"/>
                      <w:sz w:val="21"/>
                      <w:szCs w:val="21"/>
                      <w:highlight w:val="none"/>
                      <w:lang w:val="en-US" w:eastAsia="zh-CN" w:bidi="ar-SA"/>
                    </w:rPr>
                    <w:t>m</w:t>
                  </w:r>
                  <w:r>
                    <w:rPr>
                      <w:rFonts w:ascii="Times New Roman" w:hAnsi="Times New Roman" w:eastAsia="宋体" w:cs="Times New Roman"/>
                      <w:color w:val="auto"/>
                      <w:kern w:val="2"/>
                      <w:sz w:val="21"/>
                      <w:szCs w:val="21"/>
                      <w:highlight w:val="none"/>
                      <w:vertAlign w:val="superscript"/>
                      <w:lang w:val="en-US" w:eastAsia="zh-CN" w:bidi="ar-SA"/>
                    </w:rPr>
                    <w:t>3</w:t>
                  </w:r>
                  <w:r>
                    <w:rPr>
                      <w:rFonts w:ascii="Times New Roman" w:hAnsi="Times New Roman" w:eastAsia="宋体" w:cs="Times New Roman"/>
                      <w:color w:val="auto"/>
                      <w:kern w:val="2"/>
                      <w:sz w:val="21"/>
                      <w:szCs w:val="21"/>
                      <w:highlight w:val="none"/>
                      <w:lang w:val="en-US" w:eastAsia="zh-CN" w:bidi="ar-SA"/>
                    </w:rPr>
                    <w:t>/d</w:t>
                  </w:r>
                </w:p>
              </w:tc>
              <w:tc>
                <w:tcPr>
                  <w:tcW w:w="651" w:type="dxa"/>
                  <w:vMerge w:val="restart"/>
                  <w:noWrap w:val="0"/>
                  <w:vAlign w:val="center"/>
                </w:tcPr>
                <w:p w14:paraId="16BCFC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主要污染因子</w:t>
                  </w:r>
                </w:p>
              </w:tc>
              <w:tc>
                <w:tcPr>
                  <w:tcW w:w="677" w:type="dxa"/>
                  <w:vMerge w:val="restart"/>
                  <w:noWrap w:val="0"/>
                  <w:vAlign w:val="center"/>
                </w:tcPr>
                <w:p w14:paraId="7610A4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产生浓度</w:t>
                  </w:r>
                  <w:r>
                    <w:rPr>
                      <w:rFonts w:ascii="Times New Roman" w:hAnsi="Times New Roman" w:eastAsia="宋体" w:cs="Times New Roman"/>
                      <w:color w:val="auto"/>
                      <w:kern w:val="2"/>
                      <w:sz w:val="21"/>
                      <w:szCs w:val="21"/>
                      <w:highlight w:val="none"/>
                      <w:lang w:val="en-US" w:eastAsia="zh-CN" w:bidi="ar-SA"/>
                    </w:rPr>
                    <w:t>mg</w:t>
                  </w:r>
                  <w:r>
                    <w:rPr>
                      <w:rFonts w:hint="eastAsia" w:ascii="Times New Roman" w:hAnsi="Times New Roman" w:eastAsia="宋体" w:cs="Times New Roman"/>
                      <w:color w:val="auto"/>
                      <w:kern w:val="2"/>
                      <w:sz w:val="21"/>
                      <w:szCs w:val="21"/>
                      <w:highlight w:val="none"/>
                      <w:lang w:val="en-US" w:eastAsia="zh-CN" w:bidi="ar-SA"/>
                    </w:rPr>
                    <w:t>/</w:t>
                  </w:r>
                  <w:r>
                    <w:rPr>
                      <w:rFonts w:ascii="Times New Roman" w:hAnsi="Times New Roman" w:eastAsia="宋体" w:cs="Times New Roman"/>
                      <w:color w:val="auto"/>
                      <w:kern w:val="2"/>
                      <w:sz w:val="21"/>
                      <w:szCs w:val="21"/>
                      <w:highlight w:val="none"/>
                      <w:lang w:val="en-US" w:eastAsia="zh-CN" w:bidi="ar-SA"/>
                    </w:rPr>
                    <w:t>L</w:t>
                  </w:r>
                </w:p>
              </w:tc>
              <w:tc>
                <w:tcPr>
                  <w:tcW w:w="967" w:type="dxa"/>
                  <w:vMerge w:val="restart"/>
                  <w:noWrap w:val="0"/>
                  <w:vAlign w:val="center"/>
                </w:tcPr>
                <w:p w14:paraId="2D06E6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新增废水混合水质</w:t>
                  </w:r>
                  <w:r>
                    <w:rPr>
                      <w:rFonts w:ascii="Times New Roman" w:hAnsi="Times New Roman" w:eastAsia="宋体" w:cs="Times New Roman"/>
                      <w:color w:val="auto"/>
                      <w:kern w:val="2"/>
                      <w:sz w:val="21"/>
                      <w:szCs w:val="21"/>
                      <w:highlight w:val="none"/>
                      <w:lang w:val="en-US" w:eastAsia="zh-CN" w:bidi="ar-SA"/>
                    </w:rPr>
                    <w:t>mg</w:t>
                  </w:r>
                  <w:r>
                    <w:rPr>
                      <w:rFonts w:hint="eastAsia" w:ascii="Times New Roman" w:hAnsi="Times New Roman" w:eastAsia="宋体" w:cs="Times New Roman"/>
                      <w:color w:val="auto"/>
                      <w:kern w:val="2"/>
                      <w:sz w:val="21"/>
                      <w:szCs w:val="21"/>
                      <w:highlight w:val="none"/>
                      <w:lang w:val="en-US" w:eastAsia="zh-CN" w:bidi="ar-SA"/>
                    </w:rPr>
                    <w:t>/</w:t>
                  </w:r>
                  <w:r>
                    <w:rPr>
                      <w:rFonts w:ascii="Times New Roman" w:hAnsi="Times New Roman" w:eastAsia="宋体" w:cs="Times New Roman"/>
                      <w:color w:val="auto"/>
                      <w:kern w:val="2"/>
                      <w:sz w:val="21"/>
                      <w:szCs w:val="21"/>
                      <w:highlight w:val="none"/>
                      <w:lang w:val="en-US" w:eastAsia="zh-CN" w:bidi="ar-SA"/>
                    </w:rPr>
                    <w:t>L</w:t>
                  </w:r>
                </w:p>
              </w:tc>
              <w:tc>
                <w:tcPr>
                  <w:tcW w:w="1101" w:type="dxa"/>
                  <w:vMerge w:val="restart"/>
                  <w:noWrap w:val="0"/>
                  <w:vAlign w:val="center"/>
                </w:tcPr>
                <w:p w14:paraId="325E0D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现有工程废水进口监测情况</w:t>
                  </w:r>
                  <w:r>
                    <w:rPr>
                      <w:rFonts w:ascii="Times New Roman" w:hAnsi="Times New Roman" w:eastAsia="宋体" w:cs="Times New Roman"/>
                      <w:color w:val="auto"/>
                      <w:kern w:val="2"/>
                      <w:sz w:val="21"/>
                      <w:szCs w:val="21"/>
                      <w:highlight w:val="none"/>
                      <w:lang w:val="en-US" w:eastAsia="zh-CN" w:bidi="ar-SA"/>
                    </w:rPr>
                    <w:t>mg</w:t>
                  </w:r>
                  <w:r>
                    <w:rPr>
                      <w:rFonts w:hint="eastAsia" w:ascii="Times New Roman" w:hAnsi="Times New Roman" w:eastAsia="宋体" w:cs="Times New Roman"/>
                      <w:color w:val="auto"/>
                      <w:kern w:val="2"/>
                      <w:sz w:val="21"/>
                      <w:szCs w:val="21"/>
                      <w:highlight w:val="none"/>
                      <w:lang w:val="en-US" w:eastAsia="zh-CN" w:bidi="ar-SA"/>
                    </w:rPr>
                    <w:t>/</w:t>
                  </w:r>
                  <w:r>
                    <w:rPr>
                      <w:rFonts w:ascii="Times New Roman" w:hAnsi="Times New Roman" w:eastAsia="宋体" w:cs="Times New Roman"/>
                      <w:color w:val="auto"/>
                      <w:kern w:val="2"/>
                      <w:sz w:val="21"/>
                      <w:szCs w:val="21"/>
                      <w:highlight w:val="none"/>
                      <w:lang w:val="en-US" w:eastAsia="zh-CN" w:bidi="ar-SA"/>
                    </w:rPr>
                    <w:t>L</w:t>
                  </w:r>
                </w:p>
              </w:tc>
              <w:tc>
                <w:tcPr>
                  <w:tcW w:w="735" w:type="dxa"/>
                  <w:vMerge w:val="restart"/>
                  <w:noWrap w:val="0"/>
                  <w:vAlign w:val="center"/>
                </w:tcPr>
                <w:p w14:paraId="13AB0D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现有排水量</w:t>
                  </w:r>
                  <w:r>
                    <w:rPr>
                      <w:rFonts w:ascii="Times New Roman" w:hAnsi="Times New Roman" w:eastAsia="宋体" w:cs="Times New Roman"/>
                      <w:color w:val="auto"/>
                      <w:kern w:val="2"/>
                      <w:sz w:val="21"/>
                      <w:szCs w:val="21"/>
                      <w:highlight w:val="none"/>
                      <w:lang w:val="en-US" w:eastAsia="zh-CN" w:bidi="ar-SA"/>
                    </w:rPr>
                    <w:t>m</w:t>
                  </w:r>
                  <w:r>
                    <w:rPr>
                      <w:rFonts w:ascii="Times New Roman" w:hAnsi="Times New Roman" w:eastAsia="宋体" w:cs="Times New Roman"/>
                      <w:color w:val="auto"/>
                      <w:kern w:val="2"/>
                      <w:sz w:val="21"/>
                      <w:szCs w:val="21"/>
                      <w:highlight w:val="none"/>
                      <w:vertAlign w:val="superscript"/>
                      <w:lang w:val="en-US" w:eastAsia="zh-CN" w:bidi="ar-SA"/>
                    </w:rPr>
                    <w:t>3</w:t>
                  </w:r>
                  <w:r>
                    <w:rPr>
                      <w:rFonts w:ascii="Times New Roman" w:hAnsi="Times New Roman" w:eastAsia="宋体" w:cs="Times New Roman"/>
                      <w:color w:val="auto"/>
                      <w:kern w:val="2"/>
                      <w:sz w:val="21"/>
                      <w:szCs w:val="21"/>
                      <w:highlight w:val="none"/>
                      <w:lang w:val="en-US" w:eastAsia="zh-CN" w:bidi="ar-SA"/>
                    </w:rPr>
                    <w:t>/d</w:t>
                  </w:r>
                </w:p>
              </w:tc>
              <w:tc>
                <w:tcPr>
                  <w:tcW w:w="1134" w:type="dxa"/>
                  <w:vMerge w:val="restart"/>
                  <w:noWrap w:val="0"/>
                  <w:vAlign w:val="center"/>
                </w:tcPr>
                <w:p w14:paraId="701A9C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项目建成后全厂废水进口水质</w:t>
                  </w:r>
                  <w:r>
                    <w:rPr>
                      <w:rFonts w:ascii="Times New Roman" w:hAnsi="Times New Roman" w:eastAsia="宋体" w:cs="Times New Roman"/>
                      <w:color w:val="auto"/>
                      <w:kern w:val="2"/>
                      <w:sz w:val="21"/>
                      <w:szCs w:val="21"/>
                      <w:highlight w:val="none"/>
                      <w:lang w:val="en-US" w:eastAsia="zh-CN" w:bidi="ar-SA"/>
                    </w:rPr>
                    <w:t>mg</w:t>
                  </w:r>
                  <w:r>
                    <w:rPr>
                      <w:rFonts w:hint="eastAsia" w:ascii="Times New Roman" w:hAnsi="Times New Roman" w:eastAsia="宋体" w:cs="Times New Roman"/>
                      <w:color w:val="auto"/>
                      <w:kern w:val="2"/>
                      <w:sz w:val="21"/>
                      <w:szCs w:val="21"/>
                      <w:highlight w:val="none"/>
                      <w:lang w:val="en-US" w:eastAsia="zh-CN" w:bidi="ar-SA"/>
                    </w:rPr>
                    <w:t>/</w:t>
                  </w:r>
                  <w:r>
                    <w:rPr>
                      <w:rFonts w:ascii="Times New Roman" w:hAnsi="Times New Roman" w:eastAsia="宋体" w:cs="Times New Roman"/>
                      <w:color w:val="auto"/>
                      <w:kern w:val="2"/>
                      <w:sz w:val="21"/>
                      <w:szCs w:val="21"/>
                      <w:highlight w:val="none"/>
                      <w:lang w:val="en-US" w:eastAsia="zh-CN" w:bidi="ar-SA"/>
                    </w:rPr>
                    <w:t>L</w:t>
                  </w:r>
                </w:p>
              </w:tc>
              <w:tc>
                <w:tcPr>
                  <w:tcW w:w="3578" w:type="dxa"/>
                  <w:gridSpan w:val="4"/>
                  <w:noWrap w:val="0"/>
                  <w:vAlign w:val="center"/>
                </w:tcPr>
                <w:p w14:paraId="2C45D95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治理设施</w:t>
                  </w:r>
                </w:p>
              </w:tc>
              <w:tc>
                <w:tcPr>
                  <w:tcW w:w="1200" w:type="dxa"/>
                  <w:vMerge w:val="restart"/>
                  <w:noWrap w:val="0"/>
                  <w:vAlign w:val="center"/>
                </w:tcPr>
                <w:p w14:paraId="6EAD77A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排放浓度</w:t>
                  </w:r>
                  <w:r>
                    <w:rPr>
                      <w:rFonts w:ascii="Times New Roman" w:hAnsi="Times New Roman" w:eastAsia="宋体" w:cs="Times New Roman"/>
                      <w:color w:val="auto"/>
                      <w:kern w:val="2"/>
                      <w:sz w:val="21"/>
                      <w:szCs w:val="21"/>
                      <w:highlight w:val="none"/>
                      <w:lang w:val="en-US" w:eastAsia="zh-CN" w:bidi="ar-SA"/>
                    </w:rPr>
                    <w:t>mg</w:t>
                  </w:r>
                  <w:r>
                    <w:rPr>
                      <w:rFonts w:hint="eastAsia" w:ascii="Times New Roman" w:hAnsi="Times New Roman" w:eastAsia="宋体" w:cs="Times New Roman"/>
                      <w:color w:val="auto"/>
                      <w:kern w:val="2"/>
                      <w:sz w:val="21"/>
                      <w:szCs w:val="21"/>
                      <w:highlight w:val="none"/>
                      <w:lang w:val="en-US" w:eastAsia="zh-CN" w:bidi="ar-SA"/>
                    </w:rPr>
                    <w:t>/</w:t>
                  </w:r>
                  <w:r>
                    <w:rPr>
                      <w:rFonts w:ascii="Times New Roman" w:hAnsi="Times New Roman" w:eastAsia="宋体" w:cs="Times New Roman"/>
                      <w:color w:val="auto"/>
                      <w:kern w:val="2"/>
                      <w:sz w:val="21"/>
                      <w:szCs w:val="21"/>
                      <w:highlight w:val="none"/>
                      <w:lang w:val="en-US" w:eastAsia="zh-CN" w:bidi="ar-SA"/>
                    </w:rPr>
                    <w:t>L</w:t>
                  </w:r>
                </w:p>
              </w:tc>
              <w:tc>
                <w:tcPr>
                  <w:tcW w:w="1031" w:type="dxa"/>
                  <w:vMerge w:val="restart"/>
                  <w:tcBorders>
                    <w:right w:val="single" w:color="auto" w:sz="4" w:space="0"/>
                  </w:tcBorders>
                  <w:noWrap w:val="0"/>
                  <w:vAlign w:val="center"/>
                </w:tcPr>
                <w:p w14:paraId="4DC7FBA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排放量</w:t>
                  </w:r>
                  <w:r>
                    <w:rPr>
                      <w:rFonts w:ascii="Times New Roman" w:hAnsi="Times New Roman" w:eastAsia="宋体" w:cs="Times New Roman"/>
                      <w:color w:val="auto"/>
                      <w:kern w:val="2"/>
                      <w:sz w:val="21"/>
                      <w:szCs w:val="21"/>
                      <w:highlight w:val="none"/>
                      <w:lang w:val="en-US" w:eastAsia="zh-CN" w:bidi="ar-SA"/>
                    </w:rPr>
                    <w:t>t/a</w:t>
                  </w:r>
                </w:p>
              </w:tc>
            </w:tr>
            <w:tr w14:paraId="4361683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0D5E16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56E3AF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vMerge w:val="continue"/>
                  <w:noWrap w:val="0"/>
                  <w:vAlign w:val="center"/>
                </w:tcPr>
                <w:p w14:paraId="539BA6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77" w:type="dxa"/>
                  <w:vMerge w:val="continue"/>
                  <w:noWrap w:val="0"/>
                  <w:vAlign w:val="center"/>
                </w:tcPr>
                <w:p w14:paraId="494444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967" w:type="dxa"/>
                  <w:vMerge w:val="continue"/>
                  <w:noWrap w:val="0"/>
                  <w:vAlign w:val="center"/>
                </w:tcPr>
                <w:p w14:paraId="4D180C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35228C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521234E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3505B6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noWrap w:val="0"/>
                  <w:vAlign w:val="center"/>
                </w:tcPr>
                <w:p w14:paraId="24097F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处理能力</w:t>
                  </w:r>
                  <w:r>
                    <w:rPr>
                      <w:rFonts w:ascii="Times New Roman" w:hAnsi="Times New Roman" w:eastAsia="宋体" w:cs="Times New Roman"/>
                      <w:color w:val="auto"/>
                      <w:kern w:val="2"/>
                      <w:sz w:val="21"/>
                      <w:szCs w:val="21"/>
                      <w:highlight w:val="none"/>
                      <w:lang w:val="en-US" w:eastAsia="zh-CN" w:bidi="ar-SA"/>
                    </w:rPr>
                    <w:t>m</w:t>
                  </w:r>
                  <w:r>
                    <w:rPr>
                      <w:rFonts w:ascii="Times New Roman" w:hAnsi="Times New Roman" w:eastAsia="宋体" w:cs="Times New Roman"/>
                      <w:color w:val="auto"/>
                      <w:kern w:val="2"/>
                      <w:sz w:val="21"/>
                      <w:szCs w:val="21"/>
                      <w:highlight w:val="none"/>
                      <w:vertAlign w:val="superscript"/>
                      <w:lang w:val="en-US" w:eastAsia="zh-CN" w:bidi="ar-SA"/>
                    </w:rPr>
                    <w:t>3</w:t>
                  </w:r>
                  <w:r>
                    <w:rPr>
                      <w:rFonts w:ascii="Times New Roman" w:hAnsi="Times New Roman" w:eastAsia="宋体" w:cs="Times New Roman"/>
                      <w:color w:val="auto"/>
                      <w:kern w:val="2"/>
                      <w:sz w:val="21"/>
                      <w:szCs w:val="21"/>
                      <w:highlight w:val="none"/>
                      <w:lang w:val="en-US" w:eastAsia="zh-CN" w:bidi="ar-SA"/>
                    </w:rPr>
                    <w:t>/d</w:t>
                  </w:r>
                </w:p>
              </w:tc>
              <w:tc>
                <w:tcPr>
                  <w:tcW w:w="1224" w:type="dxa"/>
                  <w:noWrap w:val="0"/>
                  <w:vAlign w:val="center"/>
                </w:tcPr>
                <w:p w14:paraId="670E93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治理工艺</w:t>
                  </w:r>
                </w:p>
              </w:tc>
              <w:tc>
                <w:tcPr>
                  <w:tcW w:w="1020" w:type="dxa"/>
                  <w:noWrap w:val="0"/>
                  <w:vAlign w:val="center"/>
                </w:tcPr>
                <w:p w14:paraId="68CBC1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治理效率</w:t>
                  </w:r>
                  <w:r>
                    <w:rPr>
                      <w:rFonts w:ascii="Times New Roman" w:hAnsi="Times New Roman" w:eastAsia="宋体" w:cs="Times New Roman"/>
                      <w:color w:val="auto"/>
                      <w:kern w:val="2"/>
                      <w:sz w:val="21"/>
                      <w:szCs w:val="21"/>
                      <w:highlight w:val="none"/>
                      <w:lang w:val="en-US" w:eastAsia="zh-CN" w:bidi="ar-SA"/>
                    </w:rPr>
                    <w:t>%</w:t>
                  </w:r>
                </w:p>
              </w:tc>
              <w:tc>
                <w:tcPr>
                  <w:tcW w:w="765" w:type="dxa"/>
                  <w:noWrap w:val="0"/>
                  <w:vAlign w:val="center"/>
                </w:tcPr>
                <w:p w14:paraId="7ABE1B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是否为可行技术</w:t>
                  </w:r>
                </w:p>
              </w:tc>
              <w:tc>
                <w:tcPr>
                  <w:tcW w:w="1200" w:type="dxa"/>
                  <w:vMerge w:val="continue"/>
                  <w:noWrap w:val="0"/>
                  <w:vAlign w:val="center"/>
                </w:tcPr>
                <w:p w14:paraId="1789929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7360C4E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0417DF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restart"/>
                  <w:tcBorders>
                    <w:left w:val="single" w:color="auto" w:sz="4" w:space="0"/>
                  </w:tcBorders>
                  <w:noWrap w:val="0"/>
                  <w:vAlign w:val="center"/>
                </w:tcPr>
                <w:p w14:paraId="16630DF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软水制备废水</w:t>
                  </w:r>
                </w:p>
              </w:tc>
              <w:tc>
                <w:tcPr>
                  <w:tcW w:w="649" w:type="dxa"/>
                  <w:vMerge w:val="restart"/>
                  <w:noWrap w:val="0"/>
                  <w:vAlign w:val="center"/>
                </w:tcPr>
                <w:p w14:paraId="73BA52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0.96</w:t>
                  </w:r>
                </w:p>
              </w:tc>
              <w:tc>
                <w:tcPr>
                  <w:tcW w:w="651" w:type="dxa"/>
                  <w:noWrap w:val="0"/>
                  <w:vAlign w:val="center"/>
                </w:tcPr>
                <w:p w14:paraId="383073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COD</w:t>
                  </w:r>
                </w:p>
              </w:tc>
              <w:tc>
                <w:tcPr>
                  <w:tcW w:w="677" w:type="dxa"/>
                  <w:noWrap w:val="0"/>
                  <w:vAlign w:val="center"/>
                </w:tcPr>
                <w:p w14:paraId="30A027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35</w:t>
                  </w:r>
                </w:p>
              </w:tc>
              <w:tc>
                <w:tcPr>
                  <w:tcW w:w="967" w:type="dxa"/>
                  <w:vMerge w:val="restart"/>
                  <w:noWrap w:val="0"/>
                  <w:vAlign w:val="center"/>
                </w:tcPr>
                <w:p w14:paraId="17670FD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pH：5-6</w:t>
                  </w:r>
                </w:p>
                <w:p w14:paraId="739704B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COD：4267</w:t>
                  </w:r>
                </w:p>
                <w:p w14:paraId="23F76B1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BOD</w:t>
                  </w:r>
                  <w:r>
                    <w:rPr>
                      <w:rFonts w:hint="eastAsia" w:cs="Times New Roman"/>
                      <w:color w:val="0000FF"/>
                      <w:kern w:val="2"/>
                      <w:sz w:val="21"/>
                      <w:szCs w:val="21"/>
                      <w:highlight w:val="none"/>
                      <w:vertAlign w:val="subscript"/>
                      <w:lang w:val="en-US" w:eastAsia="zh-CN" w:bidi="ar-SA"/>
                    </w:rPr>
                    <w:t>5</w:t>
                  </w:r>
                  <w:r>
                    <w:rPr>
                      <w:rFonts w:hint="eastAsia" w:cs="Times New Roman"/>
                      <w:color w:val="0000FF"/>
                      <w:kern w:val="2"/>
                      <w:sz w:val="21"/>
                      <w:szCs w:val="21"/>
                      <w:highlight w:val="none"/>
                      <w:lang w:val="en-US" w:eastAsia="zh-CN" w:bidi="ar-SA"/>
                    </w:rPr>
                    <w:t>：2710</w:t>
                  </w:r>
                </w:p>
                <w:p w14:paraId="567DBD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氨氮：255</w:t>
                  </w:r>
                </w:p>
                <w:p w14:paraId="7E7B3E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0000FF"/>
                      <w:kern w:val="2"/>
                      <w:sz w:val="21"/>
                      <w:szCs w:val="21"/>
                      <w:highlight w:val="none"/>
                      <w:lang w:val="en-US" w:eastAsia="zh-CN" w:bidi="ar-SA"/>
                    </w:rPr>
                    <w:t>SS：503</w:t>
                  </w:r>
                </w:p>
              </w:tc>
              <w:tc>
                <w:tcPr>
                  <w:tcW w:w="1101" w:type="dxa"/>
                  <w:vMerge w:val="restart"/>
                  <w:noWrap w:val="0"/>
                  <w:vAlign w:val="center"/>
                </w:tcPr>
                <w:p w14:paraId="6487E0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pH：8</w:t>
                  </w:r>
                </w:p>
                <w:p w14:paraId="1E7489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COD：2020</w:t>
                  </w:r>
                </w:p>
                <w:p w14:paraId="303E22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BOD</w:t>
                  </w:r>
                  <w:r>
                    <w:rPr>
                      <w:rFonts w:hint="eastAsia" w:cs="Times New Roman"/>
                      <w:color w:val="auto"/>
                      <w:kern w:val="2"/>
                      <w:sz w:val="21"/>
                      <w:szCs w:val="21"/>
                      <w:highlight w:val="none"/>
                      <w:vertAlign w:val="subscript"/>
                      <w:lang w:val="en-US" w:eastAsia="zh-CN" w:bidi="ar-SA"/>
                    </w:rPr>
                    <w:t>5</w:t>
                  </w:r>
                  <w:r>
                    <w:rPr>
                      <w:rFonts w:hint="eastAsia" w:cs="Times New Roman"/>
                      <w:color w:val="auto"/>
                      <w:kern w:val="2"/>
                      <w:sz w:val="21"/>
                      <w:szCs w:val="21"/>
                      <w:highlight w:val="none"/>
                      <w:lang w:val="en-US" w:eastAsia="zh-CN" w:bidi="ar-SA"/>
                    </w:rPr>
                    <w:t>：770</w:t>
                  </w:r>
                </w:p>
                <w:p w14:paraId="4F2A3C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氨氮：110</w:t>
                  </w:r>
                </w:p>
                <w:p w14:paraId="45DFB6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SS：192</w:t>
                  </w:r>
                </w:p>
                <w:p w14:paraId="5D1477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石油类：1.56</w:t>
                  </w:r>
                </w:p>
                <w:p w14:paraId="2354BE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总锌：0.409</w:t>
                  </w:r>
                </w:p>
                <w:p w14:paraId="2FE3632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总磷：3.11</w:t>
                  </w:r>
                </w:p>
                <w:p w14:paraId="5711DC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总氮：151</w:t>
                  </w:r>
                </w:p>
                <w:p w14:paraId="05F0FA6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甲醛：1.31</w:t>
                  </w:r>
                </w:p>
                <w:p w14:paraId="654597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总铜：ND</w:t>
                  </w:r>
                </w:p>
                <w:p w14:paraId="18CEC5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AOX：0.00174</w:t>
                  </w:r>
                </w:p>
                <w:p w14:paraId="51B140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氟化物：0.98</w:t>
                  </w:r>
                </w:p>
              </w:tc>
              <w:tc>
                <w:tcPr>
                  <w:tcW w:w="735" w:type="dxa"/>
                  <w:vMerge w:val="restart"/>
                  <w:noWrap w:val="0"/>
                  <w:vAlign w:val="center"/>
                </w:tcPr>
                <w:p w14:paraId="14DDB7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924.32</w:t>
                  </w:r>
                </w:p>
              </w:tc>
              <w:tc>
                <w:tcPr>
                  <w:tcW w:w="1134" w:type="dxa"/>
                  <w:vMerge w:val="restart"/>
                  <w:noWrap w:val="0"/>
                  <w:vAlign w:val="center"/>
                </w:tcPr>
                <w:p w14:paraId="4193C0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pH：8</w:t>
                  </w:r>
                </w:p>
                <w:p w14:paraId="57D965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COD：2070</w:t>
                  </w:r>
                </w:p>
                <w:p w14:paraId="7C8CBA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BOD</w:t>
                  </w:r>
                  <w:r>
                    <w:rPr>
                      <w:rFonts w:hint="eastAsia" w:cs="Times New Roman"/>
                      <w:color w:val="0000FF"/>
                      <w:kern w:val="2"/>
                      <w:sz w:val="21"/>
                      <w:szCs w:val="21"/>
                      <w:highlight w:val="none"/>
                      <w:vertAlign w:val="subscript"/>
                      <w:lang w:val="en-US" w:eastAsia="zh-CN" w:bidi="ar-SA"/>
                    </w:rPr>
                    <w:t>5</w:t>
                  </w:r>
                  <w:r>
                    <w:rPr>
                      <w:rFonts w:hint="eastAsia" w:cs="Times New Roman"/>
                      <w:color w:val="0000FF"/>
                      <w:kern w:val="2"/>
                      <w:sz w:val="21"/>
                      <w:szCs w:val="21"/>
                      <w:highlight w:val="none"/>
                      <w:lang w:val="en-US" w:eastAsia="zh-CN" w:bidi="ar-SA"/>
                    </w:rPr>
                    <w:t>：781氨氮：111</w:t>
                  </w:r>
                </w:p>
                <w:p w14:paraId="7DCAC09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SS：194</w:t>
                  </w:r>
                </w:p>
                <w:p w14:paraId="5A065AF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石油类：1.55</w:t>
                  </w:r>
                </w:p>
                <w:p w14:paraId="5E171E4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总锌：0.41</w:t>
                  </w:r>
                </w:p>
                <w:p w14:paraId="10DFA14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总磷：3.09</w:t>
                  </w:r>
                </w:p>
                <w:p w14:paraId="46C5EF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总氮：150</w:t>
                  </w:r>
                </w:p>
                <w:p w14:paraId="72E54C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甲醛：1.30</w:t>
                  </w:r>
                </w:p>
                <w:p w14:paraId="62DB47D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总铜：ND</w:t>
                  </w:r>
                </w:p>
                <w:p w14:paraId="066B49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AOX：0.0017</w:t>
                  </w:r>
                </w:p>
                <w:p w14:paraId="1C7A67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氟化物：0.97</w:t>
                  </w:r>
                </w:p>
              </w:tc>
              <w:tc>
                <w:tcPr>
                  <w:tcW w:w="569" w:type="dxa"/>
                  <w:vMerge w:val="restart"/>
                  <w:noWrap w:val="0"/>
                  <w:vAlign w:val="center"/>
                </w:tcPr>
                <w:p w14:paraId="3E722B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0000FF"/>
                      <w:kern w:val="2"/>
                      <w:sz w:val="21"/>
                      <w:szCs w:val="21"/>
                      <w:highlight w:val="none"/>
                      <w:lang w:val="en-US" w:eastAsia="zh-CN" w:bidi="ar-SA"/>
                    </w:rPr>
                  </w:pPr>
                  <w:r>
                    <w:rPr>
                      <w:rFonts w:hint="eastAsia" w:cs="Times New Roman"/>
                      <w:color w:val="auto"/>
                      <w:kern w:val="2"/>
                      <w:sz w:val="21"/>
                      <w:szCs w:val="21"/>
                      <w:highlight w:val="none"/>
                      <w:lang w:val="en-US" w:eastAsia="zh-CN" w:bidi="ar-SA"/>
                    </w:rPr>
                    <w:t>1600</w:t>
                  </w:r>
                </w:p>
              </w:tc>
              <w:tc>
                <w:tcPr>
                  <w:tcW w:w="1224" w:type="dxa"/>
                  <w:vMerge w:val="restart"/>
                  <w:noWrap w:val="0"/>
                  <w:vAlign w:val="center"/>
                </w:tcPr>
                <w:p w14:paraId="4BE6EC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调节池＋初沉池+水解酸化池＋水解酸化池沉淀池+好氧池+一级沉淀池+二级水解酸化池+二级接触氧化池+二级沉淀沉池+混凝气浮</w:t>
                  </w:r>
                </w:p>
              </w:tc>
              <w:tc>
                <w:tcPr>
                  <w:tcW w:w="1020" w:type="dxa"/>
                  <w:vMerge w:val="restart"/>
                  <w:noWrap w:val="0"/>
                  <w:vAlign w:val="center"/>
                </w:tcPr>
                <w:p w14:paraId="23030D5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COD：96.2</w:t>
                  </w:r>
                </w:p>
                <w:p w14:paraId="50865E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BOD</w:t>
                  </w:r>
                  <w:r>
                    <w:rPr>
                      <w:rFonts w:hint="eastAsia" w:cs="Times New Roman"/>
                      <w:color w:val="auto"/>
                      <w:kern w:val="2"/>
                      <w:sz w:val="21"/>
                      <w:szCs w:val="21"/>
                      <w:highlight w:val="none"/>
                      <w:vertAlign w:val="subscript"/>
                      <w:lang w:val="en-US" w:eastAsia="zh-CN" w:bidi="ar-SA"/>
                    </w:rPr>
                    <w:t>5</w:t>
                  </w:r>
                  <w:r>
                    <w:rPr>
                      <w:rFonts w:hint="eastAsia" w:cs="Times New Roman"/>
                      <w:color w:val="auto"/>
                      <w:kern w:val="2"/>
                      <w:sz w:val="21"/>
                      <w:szCs w:val="21"/>
                      <w:highlight w:val="none"/>
                      <w:lang w:val="en-US" w:eastAsia="zh-CN" w:bidi="ar-SA"/>
                    </w:rPr>
                    <w:t>：96.2</w:t>
                  </w:r>
                </w:p>
                <w:p w14:paraId="6B0285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氨氮：98.1</w:t>
                  </w:r>
                </w:p>
                <w:p w14:paraId="427803E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SS：93.8</w:t>
                  </w:r>
                </w:p>
                <w:p w14:paraId="29CBBC4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石油类：64.1</w:t>
                  </w:r>
                </w:p>
                <w:p w14:paraId="1BB47B0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总锌：29.1总磷：61.1</w:t>
                  </w:r>
                </w:p>
                <w:p w14:paraId="54F0F1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总氮：80</w:t>
                  </w:r>
                </w:p>
                <w:p w14:paraId="5DBBBE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甲醛：89.3</w:t>
                  </w:r>
                </w:p>
                <w:p w14:paraId="56C630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总铜：88</w:t>
                  </w:r>
                </w:p>
                <w:p w14:paraId="03ABCA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AOX：77.5</w:t>
                  </w:r>
                </w:p>
                <w:p w14:paraId="775198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氟化物：53.1</w:t>
                  </w:r>
                </w:p>
              </w:tc>
              <w:tc>
                <w:tcPr>
                  <w:tcW w:w="765" w:type="dxa"/>
                  <w:vMerge w:val="restart"/>
                  <w:noWrap w:val="0"/>
                  <w:vAlign w:val="center"/>
                </w:tcPr>
                <w:p w14:paraId="197FCB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是</w:t>
                  </w:r>
                </w:p>
              </w:tc>
              <w:tc>
                <w:tcPr>
                  <w:tcW w:w="1200" w:type="dxa"/>
                  <w:vMerge w:val="restart"/>
                  <w:noWrap w:val="0"/>
                  <w:vAlign w:val="center"/>
                </w:tcPr>
                <w:p w14:paraId="50B2ED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0000FF"/>
                      <w:kern w:val="2"/>
                      <w:sz w:val="21"/>
                      <w:szCs w:val="21"/>
                      <w:highlight w:val="none"/>
                      <w:lang w:val="en-US" w:eastAsia="zh-CN" w:bidi="ar-SA"/>
                    </w:rPr>
                  </w:pPr>
                  <w:r>
                    <w:rPr>
                      <w:rFonts w:hint="eastAsia" w:cs="Times New Roman"/>
                      <w:color w:val="0000FF"/>
                      <w:kern w:val="2"/>
                      <w:sz w:val="21"/>
                      <w:szCs w:val="21"/>
                      <w:highlight w:val="none"/>
                      <w:lang w:val="en-US" w:eastAsia="zh-CN" w:bidi="ar-SA"/>
                    </w:rPr>
                    <w:t>pH：8</w:t>
                  </w:r>
                </w:p>
                <w:p w14:paraId="3640A082">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COD：77.3</w:t>
                  </w:r>
                </w:p>
                <w:p w14:paraId="71EAD170">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BOD</w:t>
                  </w:r>
                  <w:r>
                    <w:rPr>
                      <w:rFonts w:hint="eastAsia" w:cs="Times New Roman"/>
                      <w:color w:val="5300FF"/>
                      <w:kern w:val="2"/>
                      <w:sz w:val="21"/>
                      <w:szCs w:val="21"/>
                      <w:highlight w:val="none"/>
                      <w:vertAlign w:val="subscript"/>
                      <w:lang w:val="en-US" w:eastAsia="zh-CN" w:bidi="ar-SA"/>
                    </w:rPr>
                    <w:t>5</w:t>
                  </w:r>
                  <w:r>
                    <w:rPr>
                      <w:rFonts w:hint="eastAsia" w:cs="Times New Roman"/>
                      <w:color w:val="5300FF"/>
                      <w:kern w:val="2"/>
                      <w:sz w:val="21"/>
                      <w:szCs w:val="21"/>
                      <w:highlight w:val="none"/>
                      <w:lang w:val="en-US" w:eastAsia="zh-CN" w:bidi="ar-SA"/>
                    </w:rPr>
                    <w:t>：29.7</w:t>
                  </w:r>
                </w:p>
                <w:p w14:paraId="1F6AA99C">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氨氮：2.11</w:t>
                  </w:r>
                </w:p>
                <w:p w14:paraId="775F0903">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SS：12.0</w:t>
                  </w:r>
                </w:p>
                <w:p w14:paraId="4059BA79">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石油类：0.56</w:t>
                  </w:r>
                </w:p>
                <w:p w14:paraId="2931FBAB">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总锌：0.288</w:t>
                  </w:r>
                </w:p>
                <w:p w14:paraId="64B29F5D">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总磷：1.2</w:t>
                  </w:r>
                </w:p>
                <w:p w14:paraId="0FC8AA8C">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总氮：30.1</w:t>
                  </w:r>
                </w:p>
                <w:p w14:paraId="63A35D62">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甲醛：0.140</w:t>
                  </w:r>
                </w:p>
                <w:p w14:paraId="25AD424D">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总铜：ND</w:t>
                  </w:r>
                </w:p>
                <w:p w14:paraId="4D990A5A">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AOX：0.0004</w:t>
                  </w:r>
                </w:p>
                <w:p w14:paraId="144B96FC">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5300FF"/>
                      <w:kern w:val="2"/>
                      <w:sz w:val="21"/>
                      <w:szCs w:val="21"/>
                      <w:highlight w:val="none"/>
                      <w:lang w:val="en-US" w:eastAsia="zh-CN" w:bidi="ar-SA"/>
                    </w:rPr>
                    <w:t>氟化物：0.457</w:t>
                  </w:r>
                </w:p>
              </w:tc>
              <w:tc>
                <w:tcPr>
                  <w:tcW w:w="1031" w:type="dxa"/>
                  <w:vMerge w:val="restart"/>
                  <w:tcBorders>
                    <w:right w:val="single" w:color="auto" w:sz="4" w:space="0"/>
                  </w:tcBorders>
                  <w:noWrap w:val="0"/>
                  <w:vAlign w:val="center"/>
                </w:tcPr>
                <w:p w14:paraId="5375A7AD">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COD：21.552</w:t>
                  </w:r>
                </w:p>
                <w:p w14:paraId="654FF83B">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BOD</w:t>
                  </w:r>
                  <w:r>
                    <w:rPr>
                      <w:rFonts w:hint="eastAsia" w:cs="Times New Roman"/>
                      <w:color w:val="5300FF"/>
                      <w:kern w:val="2"/>
                      <w:sz w:val="21"/>
                      <w:szCs w:val="21"/>
                      <w:highlight w:val="none"/>
                      <w:vertAlign w:val="subscript"/>
                      <w:lang w:val="en-US" w:eastAsia="zh-CN" w:bidi="ar-SA"/>
                    </w:rPr>
                    <w:t>5</w:t>
                  </w:r>
                  <w:r>
                    <w:rPr>
                      <w:rFonts w:hint="eastAsia" w:cs="Times New Roman"/>
                      <w:color w:val="5300FF"/>
                      <w:kern w:val="2"/>
                      <w:sz w:val="21"/>
                      <w:szCs w:val="21"/>
                      <w:highlight w:val="none"/>
                      <w:lang w:val="en-US" w:eastAsia="zh-CN" w:bidi="ar-SA"/>
                    </w:rPr>
                    <w:t>：8.283</w:t>
                  </w:r>
                </w:p>
                <w:p w14:paraId="021B3325">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氨氮：0.588</w:t>
                  </w:r>
                </w:p>
                <w:p w14:paraId="02F76FC2">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5300FF"/>
                      <w:kern w:val="2"/>
                      <w:sz w:val="21"/>
                      <w:szCs w:val="21"/>
                      <w:highlight w:val="none"/>
                      <w:lang w:val="en-US" w:eastAsia="zh-CN" w:bidi="ar-SA"/>
                    </w:rPr>
                  </w:pPr>
                  <w:r>
                    <w:rPr>
                      <w:rFonts w:hint="eastAsia" w:cs="Times New Roman"/>
                      <w:color w:val="5300FF"/>
                      <w:kern w:val="2"/>
                      <w:sz w:val="21"/>
                      <w:szCs w:val="21"/>
                      <w:highlight w:val="none"/>
                      <w:lang w:val="en-US" w:eastAsia="zh-CN" w:bidi="ar-SA"/>
                    </w:rPr>
                    <w:t>SS：3.352</w:t>
                  </w:r>
                </w:p>
                <w:p w14:paraId="22739834">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石油类：0.155</w:t>
                  </w:r>
                </w:p>
                <w:p w14:paraId="2E21A306">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总锌：0.080</w:t>
                  </w:r>
                </w:p>
                <w:p w14:paraId="3586F68F">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总磷：0.335</w:t>
                  </w:r>
                </w:p>
                <w:p w14:paraId="5DBD882A">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总氮：8.374</w:t>
                  </w:r>
                </w:p>
                <w:p w14:paraId="2DDB7D48">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甲醛：0.039</w:t>
                  </w:r>
                </w:p>
                <w:p w14:paraId="1CFBC717">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总铜：0</w:t>
                  </w:r>
                </w:p>
                <w:p w14:paraId="141D42BB">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AOX：0.0001</w:t>
                  </w:r>
                </w:p>
                <w:p w14:paraId="1AA82969">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氟化物：0.127</w:t>
                  </w:r>
                </w:p>
              </w:tc>
            </w:tr>
            <w:tr w14:paraId="12B0012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751172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5E3C495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53CCA4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SS</w:t>
                  </w:r>
                </w:p>
              </w:tc>
              <w:tc>
                <w:tcPr>
                  <w:tcW w:w="677" w:type="dxa"/>
                  <w:noWrap w:val="0"/>
                  <w:vAlign w:val="center"/>
                </w:tcPr>
                <w:p w14:paraId="0B6BD3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30</w:t>
                  </w:r>
                </w:p>
              </w:tc>
              <w:tc>
                <w:tcPr>
                  <w:tcW w:w="967" w:type="dxa"/>
                  <w:vMerge w:val="continue"/>
                  <w:noWrap w:val="0"/>
                  <w:vAlign w:val="center"/>
                </w:tcPr>
                <w:p w14:paraId="65D819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p>
              </w:tc>
              <w:tc>
                <w:tcPr>
                  <w:tcW w:w="1101" w:type="dxa"/>
                  <w:vMerge w:val="continue"/>
                  <w:noWrap w:val="0"/>
                  <w:vAlign w:val="center"/>
                </w:tcPr>
                <w:p w14:paraId="38CBA1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p>
              </w:tc>
              <w:tc>
                <w:tcPr>
                  <w:tcW w:w="735" w:type="dxa"/>
                  <w:vMerge w:val="continue"/>
                  <w:noWrap w:val="0"/>
                  <w:vAlign w:val="center"/>
                </w:tcPr>
                <w:p w14:paraId="7AF2657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p>
              </w:tc>
              <w:tc>
                <w:tcPr>
                  <w:tcW w:w="1134" w:type="dxa"/>
                  <w:vMerge w:val="continue"/>
                  <w:noWrap w:val="0"/>
                  <w:vAlign w:val="center"/>
                </w:tcPr>
                <w:p w14:paraId="4E20289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cs="Times New Roman"/>
                      <w:color w:val="auto"/>
                      <w:kern w:val="2"/>
                      <w:sz w:val="21"/>
                      <w:szCs w:val="21"/>
                      <w:highlight w:val="none"/>
                      <w:lang w:val="en-US" w:eastAsia="zh-CN" w:bidi="ar-SA"/>
                    </w:rPr>
                  </w:pPr>
                </w:p>
              </w:tc>
              <w:tc>
                <w:tcPr>
                  <w:tcW w:w="569" w:type="dxa"/>
                  <w:vMerge w:val="continue"/>
                  <w:noWrap w:val="0"/>
                  <w:vAlign w:val="center"/>
                </w:tcPr>
                <w:p w14:paraId="7C7115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6FCC2F3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38EEF3A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2D349E7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23FBC688">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5C1EC734">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ascii="Times New Roman" w:hAnsi="Times New Roman" w:eastAsia="宋体" w:cs="Times New Roman"/>
                      <w:color w:val="auto"/>
                      <w:kern w:val="2"/>
                      <w:sz w:val="21"/>
                      <w:szCs w:val="21"/>
                      <w:highlight w:val="none"/>
                      <w:lang w:val="en-US" w:eastAsia="zh-CN" w:bidi="ar-SA"/>
                    </w:rPr>
                  </w:pPr>
                </w:p>
              </w:tc>
            </w:tr>
            <w:tr w14:paraId="47FD78B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restart"/>
                  <w:tcBorders>
                    <w:left w:val="single" w:color="auto" w:sz="4" w:space="0"/>
                  </w:tcBorders>
                  <w:noWrap w:val="0"/>
                  <w:vAlign w:val="center"/>
                </w:tcPr>
                <w:p w14:paraId="4864BC6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废气治理系统废水</w:t>
                  </w:r>
                </w:p>
              </w:tc>
              <w:tc>
                <w:tcPr>
                  <w:tcW w:w="649" w:type="dxa"/>
                  <w:vMerge w:val="restart"/>
                  <w:noWrap w:val="0"/>
                  <w:vAlign w:val="center"/>
                </w:tcPr>
                <w:p w14:paraId="3E6682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0000FF"/>
                      <w:kern w:val="2"/>
                      <w:sz w:val="21"/>
                      <w:szCs w:val="21"/>
                      <w:highlight w:val="none"/>
                      <w:lang w:val="en-US" w:eastAsia="zh-CN" w:bidi="ar-SA"/>
                    </w:rPr>
                    <w:t>2.40</w:t>
                  </w:r>
                </w:p>
              </w:tc>
              <w:tc>
                <w:tcPr>
                  <w:tcW w:w="651" w:type="dxa"/>
                  <w:noWrap w:val="0"/>
                  <w:vAlign w:val="center"/>
                </w:tcPr>
                <w:p w14:paraId="49823A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pH</w:t>
                  </w:r>
                </w:p>
              </w:tc>
              <w:tc>
                <w:tcPr>
                  <w:tcW w:w="677" w:type="dxa"/>
                  <w:noWrap w:val="0"/>
                  <w:vAlign w:val="center"/>
                </w:tcPr>
                <w:p w14:paraId="1D1F1D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4.0</w:t>
                  </w:r>
                </w:p>
              </w:tc>
              <w:tc>
                <w:tcPr>
                  <w:tcW w:w="967" w:type="dxa"/>
                  <w:vMerge w:val="continue"/>
                  <w:noWrap w:val="0"/>
                  <w:vAlign w:val="center"/>
                </w:tcPr>
                <w:p w14:paraId="5AAC23D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5758E2E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2FD4F2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75087BC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7AD356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7017AD2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1C249AD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6F95E1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01A1E3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73AD56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2858FF5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0AF66F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44E0EB6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7E37B2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COD</w:t>
                  </w:r>
                </w:p>
              </w:tc>
              <w:tc>
                <w:tcPr>
                  <w:tcW w:w="677" w:type="dxa"/>
                  <w:noWrap w:val="0"/>
                  <w:vAlign w:val="center"/>
                </w:tcPr>
                <w:p w14:paraId="609645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9000</w:t>
                  </w:r>
                </w:p>
              </w:tc>
              <w:tc>
                <w:tcPr>
                  <w:tcW w:w="967" w:type="dxa"/>
                  <w:vMerge w:val="continue"/>
                  <w:noWrap w:val="0"/>
                  <w:vAlign w:val="center"/>
                </w:tcPr>
                <w:p w14:paraId="66461D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5F7B32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2E43525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242C6D6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4F42F8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78287D6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737A2B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047CFB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348A5BF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7303E5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1221C3F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652B19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2F58B39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5140D8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SS</w:t>
                  </w:r>
                </w:p>
              </w:tc>
              <w:tc>
                <w:tcPr>
                  <w:tcW w:w="677" w:type="dxa"/>
                  <w:noWrap w:val="0"/>
                  <w:vAlign w:val="center"/>
                </w:tcPr>
                <w:p w14:paraId="3E4A8F6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1000</w:t>
                  </w:r>
                </w:p>
              </w:tc>
              <w:tc>
                <w:tcPr>
                  <w:tcW w:w="967" w:type="dxa"/>
                  <w:vMerge w:val="continue"/>
                  <w:noWrap w:val="0"/>
                  <w:vAlign w:val="center"/>
                </w:tcPr>
                <w:p w14:paraId="2C00F5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11794EB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0DF59E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6A60005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01C3AF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3F40E6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7549E2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1EAEC8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5CE78F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028610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2792226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207F0B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7CFCFA6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2EE748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氨氮</w:t>
                  </w:r>
                </w:p>
              </w:tc>
              <w:tc>
                <w:tcPr>
                  <w:tcW w:w="677" w:type="dxa"/>
                  <w:noWrap w:val="0"/>
                  <w:vAlign w:val="center"/>
                </w:tcPr>
                <w:p w14:paraId="2A3B9D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500</w:t>
                  </w:r>
                </w:p>
              </w:tc>
              <w:tc>
                <w:tcPr>
                  <w:tcW w:w="967" w:type="dxa"/>
                  <w:vMerge w:val="continue"/>
                  <w:noWrap w:val="0"/>
                  <w:vAlign w:val="center"/>
                </w:tcPr>
                <w:p w14:paraId="0392AB0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679C29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08AC14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370A303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7FD697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097C810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118EEC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161218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7D294F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31AD467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73C157A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5572A77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53A45A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4F727D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BOD</w:t>
                  </w:r>
                  <w:r>
                    <w:rPr>
                      <w:rFonts w:hint="eastAsia" w:cs="Times New Roman"/>
                      <w:color w:val="auto"/>
                      <w:kern w:val="2"/>
                      <w:sz w:val="21"/>
                      <w:szCs w:val="21"/>
                      <w:highlight w:val="none"/>
                      <w:vertAlign w:val="subscript"/>
                      <w:lang w:val="en-US" w:eastAsia="zh-CN" w:bidi="ar-SA"/>
                    </w:rPr>
                    <w:t>5</w:t>
                  </w:r>
                </w:p>
              </w:tc>
              <w:tc>
                <w:tcPr>
                  <w:tcW w:w="677" w:type="dxa"/>
                  <w:noWrap w:val="0"/>
                  <w:vAlign w:val="center"/>
                </w:tcPr>
                <w:p w14:paraId="13FE6E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6150</w:t>
                  </w:r>
                </w:p>
              </w:tc>
              <w:tc>
                <w:tcPr>
                  <w:tcW w:w="967" w:type="dxa"/>
                  <w:vMerge w:val="continue"/>
                  <w:noWrap w:val="0"/>
                  <w:vAlign w:val="center"/>
                </w:tcPr>
                <w:p w14:paraId="58266C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3F4640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594441F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23B84E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300041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2594EB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4999E11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741D68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627C67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1F5EA5E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05D3EA45">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restart"/>
                  <w:tcBorders>
                    <w:left w:val="single" w:color="auto" w:sz="4" w:space="0"/>
                  </w:tcBorders>
                  <w:noWrap w:val="0"/>
                  <w:vAlign w:val="center"/>
                </w:tcPr>
                <w:p w14:paraId="48DA202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设备冲洗废水</w:t>
                  </w:r>
                </w:p>
              </w:tc>
              <w:tc>
                <w:tcPr>
                  <w:tcW w:w="649" w:type="dxa"/>
                  <w:vMerge w:val="restart"/>
                  <w:noWrap w:val="0"/>
                  <w:vAlign w:val="center"/>
                </w:tcPr>
                <w:p w14:paraId="0BFF266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0.40</w:t>
                  </w:r>
                </w:p>
              </w:tc>
              <w:tc>
                <w:tcPr>
                  <w:tcW w:w="651" w:type="dxa"/>
                  <w:noWrap w:val="0"/>
                  <w:vAlign w:val="center"/>
                </w:tcPr>
                <w:p w14:paraId="3A56733E">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pH</w:t>
                  </w:r>
                </w:p>
              </w:tc>
              <w:tc>
                <w:tcPr>
                  <w:tcW w:w="677" w:type="dxa"/>
                  <w:noWrap w:val="0"/>
                  <w:vAlign w:val="center"/>
                </w:tcPr>
                <w:p w14:paraId="75E1A9C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6-7</w:t>
                  </w:r>
                </w:p>
              </w:tc>
              <w:tc>
                <w:tcPr>
                  <w:tcW w:w="967" w:type="dxa"/>
                  <w:vMerge w:val="continue"/>
                  <w:noWrap w:val="0"/>
                  <w:vAlign w:val="center"/>
                </w:tcPr>
                <w:p w14:paraId="30BC625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37E640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3908F45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5941A9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109BCA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3C3607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7ABAE8B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6AE7C0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3A55F3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720B7C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61847FE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55" w:hRule="atLeast"/>
                <w:jc w:val="center"/>
              </w:trPr>
              <w:tc>
                <w:tcPr>
                  <w:tcW w:w="712" w:type="dxa"/>
                  <w:vMerge w:val="continue"/>
                  <w:tcBorders>
                    <w:left w:val="single" w:color="auto" w:sz="4" w:space="0"/>
                  </w:tcBorders>
                  <w:noWrap w:val="0"/>
                  <w:vAlign w:val="center"/>
                </w:tcPr>
                <w:p w14:paraId="41D50CB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3061295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4C5ACEDA">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SS</w:t>
                  </w:r>
                </w:p>
              </w:tc>
              <w:tc>
                <w:tcPr>
                  <w:tcW w:w="677" w:type="dxa"/>
                  <w:noWrap w:val="0"/>
                  <w:vAlign w:val="center"/>
                </w:tcPr>
                <w:p w14:paraId="368CFA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400</w:t>
                  </w:r>
                </w:p>
              </w:tc>
              <w:tc>
                <w:tcPr>
                  <w:tcW w:w="967" w:type="dxa"/>
                  <w:vMerge w:val="continue"/>
                  <w:noWrap w:val="0"/>
                  <w:vAlign w:val="center"/>
                </w:tcPr>
                <w:p w14:paraId="5ECA95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4921F1F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749388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268D088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2EEBD1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036038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4ECB70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199067A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28F53F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3C8D52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54A4B87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02164A3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49" w:type="dxa"/>
                  <w:vMerge w:val="continue"/>
                  <w:noWrap w:val="0"/>
                  <w:vAlign w:val="center"/>
                </w:tcPr>
                <w:p w14:paraId="5267ECD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34361F9B">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COD</w:t>
                  </w:r>
                </w:p>
              </w:tc>
              <w:tc>
                <w:tcPr>
                  <w:tcW w:w="677" w:type="dxa"/>
                  <w:noWrap w:val="0"/>
                  <w:vAlign w:val="center"/>
                </w:tcPr>
                <w:p w14:paraId="0025212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150</w:t>
                  </w:r>
                </w:p>
              </w:tc>
              <w:tc>
                <w:tcPr>
                  <w:tcW w:w="967" w:type="dxa"/>
                  <w:vMerge w:val="continue"/>
                  <w:noWrap w:val="0"/>
                  <w:vAlign w:val="center"/>
                </w:tcPr>
                <w:p w14:paraId="37D2B2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55742BE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0C7EB1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3CFE642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15F09C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187A39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3EEF73D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41B253D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579074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742C26C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710ABD3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5861C9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p>
              </w:tc>
              <w:tc>
                <w:tcPr>
                  <w:tcW w:w="649" w:type="dxa"/>
                  <w:vMerge w:val="continue"/>
                  <w:noWrap w:val="0"/>
                  <w:vAlign w:val="center"/>
                </w:tcPr>
                <w:p w14:paraId="5328F5F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5CFF5AC3">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BOD</w:t>
                  </w:r>
                  <w:r>
                    <w:rPr>
                      <w:rFonts w:ascii="Times New Roman" w:hAnsi="Times New Roman" w:eastAsiaTheme="minorEastAsia"/>
                      <w:color w:val="auto"/>
                      <w:sz w:val="21"/>
                      <w:szCs w:val="21"/>
                      <w:highlight w:val="none"/>
                      <w:vertAlign w:val="subscript"/>
                    </w:rPr>
                    <w:t>5</w:t>
                  </w:r>
                </w:p>
              </w:tc>
              <w:tc>
                <w:tcPr>
                  <w:tcW w:w="677" w:type="dxa"/>
                  <w:noWrap w:val="0"/>
                  <w:vAlign w:val="center"/>
                </w:tcPr>
                <w:p w14:paraId="7CA1C35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300</w:t>
                  </w:r>
                </w:p>
              </w:tc>
              <w:tc>
                <w:tcPr>
                  <w:tcW w:w="967" w:type="dxa"/>
                  <w:vMerge w:val="continue"/>
                  <w:noWrap w:val="0"/>
                  <w:vAlign w:val="center"/>
                </w:tcPr>
                <w:p w14:paraId="05D47F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4A4AE34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68822A8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1F57ED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681D9EE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25A51FD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77F1C19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3D82F3B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72EAAC4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2937EC0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073820C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6F8482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p>
              </w:tc>
              <w:tc>
                <w:tcPr>
                  <w:tcW w:w="649" w:type="dxa"/>
                  <w:vMerge w:val="continue"/>
                  <w:noWrap w:val="0"/>
                  <w:vAlign w:val="center"/>
                </w:tcPr>
                <w:p w14:paraId="26F4F38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72519C76">
                  <w:pPr>
                    <w:keepNext w:val="0"/>
                    <w:keepLines w:val="0"/>
                    <w:pageBreakBefore w:val="0"/>
                    <w:kinsoku/>
                    <w:wordWrap/>
                    <w:overflowPunct/>
                    <w:topLinePunct w:val="0"/>
                    <w:autoSpaceDE/>
                    <w:autoSpaceDN/>
                    <w:bidi w:val="0"/>
                    <w:adjustRightInd w:val="0"/>
                    <w:snapToGrid w:val="0"/>
                    <w:spacing w:line="240" w:lineRule="auto"/>
                    <w:jc w:val="center"/>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氨氮</w:t>
                  </w:r>
                </w:p>
              </w:tc>
              <w:tc>
                <w:tcPr>
                  <w:tcW w:w="677" w:type="dxa"/>
                  <w:noWrap w:val="0"/>
                  <w:vAlign w:val="center"/>
                </w:tcPr>
                <w:p w14:paraId="095B3A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500</w:t>
                  </w:r>
                </w:p>
              </w:tc>
              <w:tc>
                <w:tcPr>
                  <w:tcW w:w="967" w:type="dxa"/>
                  <w:vMerge w:val="continue"/>
                  <w:noWrap w:val="0"/>
                  <w:vAlign w:val="center"/>
                </w:tcPr>
                <w:p w14:paraId="7F4810A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366408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15E180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3924D46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174AE06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11927F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3E35F8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2B6561F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46F629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0B42BD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13797E4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restart"/>
                  <w:tcBorders>
                    <w:left w:val="single" w:color="auto" w:sz="4" w:space="0"/>
                  </w:tcBorders>
                  <w:noWrap w:val="0"/>
                  <w:vAlign w:val="center"/>
                </w:tcPr>
                <w:p w14:paraId="1F22A6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循环冷却水系统排水</w:t>
                  </w:r>
                </w:p>
              </w:tc>
              <w:tc>
                <w:tcPr>
                  <w:tcW w:w="649" w:type="dxa"/>
                  <w:vMerge w:val="restart"/>
                  <w:noWrap w:val="0"/>
                  <w:vAlign w:val="center"/>
                </w:tcPr>
                <w:p w14:paraId="6F62810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1.73</w:t>
                  </w:r>
                </w:p>
              </w:tc>
              <w:tc>
                <w:tcPr>
                  <w:tcW w:w="651" w:type="dxa"/>
                  <w:noWrap w:val="0"/>
                  <w:vAlign w:val="center"/>
                </w:tcPr>
                <w:p w14:paraId="21FDC44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COD</w:t>
                  </w:r>
                </w:p>
              </w:tc>
              <w:tc>
                <w:tcPr>
                  <w:tcW w:w="677" w:type="dxa"/>
                  <w:noWrap w:val="0"/>
                  <w:vAlign w:val="center"/>
                </w:tcPr>
                <w:p w14:paraId="5BA2FA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1000</w:t>
                  </w:r>
                </w:p>
              </w:tc>
              <w:tc>
                <w:tcPr>
                  <w:tcW w:w="967" w:type="dxa"/>
                  <w:vMerge w:val="continue"/>
                  <w:noWrap w:val="0"/>
                  <w:vAlign w:val="center"/>
                </w:tcPr>
                <w:p w14:paraId="10007E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2937E19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0E6BB11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20EB7C8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58716B2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53C7BD4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77AA9B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06CE651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6D5A0B8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0E5E6C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r w14:paraId="198C06B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12" w:type="dxa"/>
                  <w:vMerge w:val="continue"/>
                  <w:tcBorders>
                    <w:left w:val="single" w:color="auto" w:sz="4" w:space="0"/>
                  </w:tcBorders>
                  <w:noWrap w:val="0"/>
                  <w:vAlign w:val="center"/>
                </w:tcPr>
                <w:p w14:paraId="1B9B7D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cs="Times New Roman"/>
                      <w:color w:val="auto"/>
                      <w:kern w:val="2"/>
                      <w:sz w:val="21"/>
                      <w:szCs w:val="21"/>
                      <w:highlight w:val="none"/>
                      <w:lang w:val="en-US" w:eastAsia="zh-CN" w:bidi="ar-SA"/>
                    </w:rPr>
                  </w:pPr>
                </w:p>
              </w:tc>
              <w:tc>
                <w:tcPr>
                  <w:tcW w:w="649" w:type="dxa"/>
                  <w:vMerge w:val="continue"/>
                  <w:noWrap w:val="0"/>
                  <w:vAlign w:val="center"/>
                </w:tcPr>
                <w:p w14:paraId="10FADB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51" w:type="dxa"/>
                  <w:noWrap w:val="0"/>
                  <w:vAlign w:val="center"/>
                </w:tcPr>
                <w:p w14:paraId="6CE19A5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Times New Roman" w:hAnsi="Times New Roman" w:cs="Times New Roman" w:eastAsiaTheme="minorEastAsia"/>
                      <w:color w:val="auto"/>
                      <w:kern w:val="2"/>
                      <w:sz w:val="21"/>
                      <w:szCs w:val="21"/>
                      <w:highlight w:val="none"/>
                      <w:lang w:val="en-US" w:eastAsia="zh-CN" w:bidi="ar-SA"/>
                    </w:rPr>
                  </w:pPr>
                  <w:r>
                    <w:rPr>
                      <w:rFonts w:ascii="Times New Roman" w:hAnsi="Times New Roman" w:eastAsiaTheme="minorEastAsia"/>
                      <w:color w:val="auto"/>
                      <w:sz w:val="21"/>
                      <w:szCs w:val="21"/>
                      <w:highlight w:val="none"/>
                    </w:rPr>
                    <w:t>SS</w:t>
                  </w:r>
                </w:p>
              </w:tc>
              <w:tc>
                <w:tcPr>
                  <w:tcW w:w="677" w:type="dxa"/>
                  <w:noWrap w:val="0"/>
                  <w:vAlign w:val="center"/>
                </w:tcPr>
                <w:p w14:paraId="5D3D2F5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100</w:t>
                  </w:r>
                </w:p>
              </w:tc>
              <w:tc>
                <w:tcPr>
                  <w:tcW w:w="967" w:type="dxa"/>
                  <w:vMerge w:val="continue"/>
                  <w:noWrap w:val="0"/>
                  <w:vAlign w:val="center"/>
                </w:tcPr>
                <w:p w14:paraId="087A40A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01" w:type="dxa"/>
                  <w:vMerge w:val="continue"/>
                  <w:noWrap w:val="0"/>
                  <w:vAlign w:val="center"/>
                </w:tcPr>
                <w:p w14:paraId="2DAB380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35" w:type="dxa"/>
                  <w:vMerge w:val="continue"/>
                  <w:noWrap w:val="0"/>
                  <w:vAlign w:val="center"/>
                </w:tcPr>
                <w:p w14:paraId="6DED5DB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134" w:type="dxa"/>
                  <w:vMerge w:val="continue"/>
                  <w:noWrap w:val="0"/>
                  <w:vAlign w:val="center"/>
                </w:tcPr>
                <w:p w14:paraId="5BCD1CA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569" w:type="dxa"/>
                  <w:vMerge w:val="continue"/>
                  <w:noWrap w:val="0"/>
                  <w:vAlign w:val="center"/>
                </w:tcPr>
                <w:p w14:paraId="4059741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24" w:type="dxa"/>
                  <w:vMerge w:val="continue"/>
                  <w:noWrap w:val="0"/>
                  <w:vAlign w:val="center"/>
                </w:tcPr>
                <w:p w14:paraId="200971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20" w:type="dxa"/>
                  <w:vMerge w:val="continue"/>
                  <w:noWrap w:val="0"/>
                  <w:vAlign w:val="center"/>
                </w:tcPr>
                <w:p w14:paraId="4A42642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765" w:type="dxa"/>
                  <w:vMerge w:val="continue"/>
                  <w:noWrap w:val="0"/>
                  <w:vAlign w:val="center"/>
                </w:tcPr>
                <w:p w14:paraId="0517D6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200" w:type="dxa"/>
                  <w:vMerge w:val="continue"/>
                  <w:noWrap w:val="0"/>
                  <w:vAlign w:val="center"/>
                </w:tcPr>
                <w:p w14:paraId="145110F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1031" w:type="dxa"/>
                  <w:vMerge w:val="continue"/>
                  <w:tcBorders>
                    <w:right w:val="single" w:color="auto" w:sz="4" w:space="0"/>
                  </w:tcBorders>
                  <w:noWrap w:val="0"/>
                  <w:vAlign w:val="center"/>
                </w:tcPr>
                <w:p w14:paraId="07E06DF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kern w:val="2"/>
                      <w:sz w:val="21"/>
                      <w:szCs w:val="21"/>
                      <w:highlight w:val="none"/>
                      <w:lang w:val="en-US" w:eastAsia="zh-CN" w:bidi="ar-SA"/>
                    </w:rPr>
                  </w:pPr>
                </w:p>
              </w:tc>
            </w:tr>
          </w:tbl>
          <w:p w14:paraId="684FC28E">
            <w:pPr>
              <w:adjustRightInd/>
              <w:snapToGrid/>
              <w:spacing w:beforeLines="0" w:afterLines="0" w:line="360" w:lineRule="auto"/>
              <w:ind w:firstLine="380" w:firstLineChars="200"/>
              <w:rPr>
                <w:rFonts w:hint="eastAsia" w:ascii="宋体" w:hAnsi="宋体" w:cs="宋体"/>
                <w:bCs/>
                <w:color w:val="auto"/>
                <w:spacing w:val="-10"/>
                <w:sz w:val="21"/>
                <w:szCs w:val="21"/>
                <w:highlight w:val="none"/>
                <w:lang w:val="en-US" w:eastAsia="zh-CN"/>
              </w:rPr>
            </w:pPr>
          </w:p>
          <w:p w14:paraId="5D322437">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tc>
      </w:tr>
    </w:tbl>
    <w:p w14:paraId="10B50C5C">
      <w:pPr>
        <w:pStyle w:val="35"/>
        <w:rPr>
          <w:rFonts w:hint="eastAsia" w:ascii="宋体" w:cs="宋体"/>
          <w:b/>
          <w:color w:val="auto"/>
          <w:kern w:val="0"/>
          <w:sz w:val="28"/>
          <w:szCs w:val="28"/>
          <w:highlight w:val="none"/>
        </w:rPr>
        <w:sectPr>
          <w:pgSz w:w="16840" w:h="11907" w:orient="landscape"/>
          <w:pgMar w:top="1531" w:right="1701" w:bottom="1531" w:left="1644" w:header="851" w:footer="851" w:gutter="0"/>
          <w:pgBorders>
            <w:top w:val="none" w:sz="0" w:space="0"/>
            <w:left w:val="none" w:sz="0" w:space="0"/>
            <w:bottom w:val="none" w:sz="0" w:space="0"/>
            <w:right w:val="none" w:sz="0" w:space="0"/>
          </w:pgBorders>
          <w:pgNumType w:fmt="numberInDash"/>
          <w:cols w:space="720" w:num="1"/>
          <w:docGrid w:linePitch="312" w:charSpace="0"/>
        </w:sectPr>
      </w:pPr>
    </w:p>
    <w:tbl>
      <w:tblPr>
        <w:tblStyle w:val="25"/>
        <w:tblW w:w="899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13"/>
        <w:gridCol w:w="8648"/>
      </w:tblGrid>
      <w:tr w14:paraId="54B0E8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46" w:type="dxa"/>
            <w:noWrap w:val="0"/>
            <w:vAlign w:val="center"/>
          </w:tcPr>
          <w:p w14:paraId="71284072">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运营</w:t>
            </w:r>
          </w:p>
          <w:p w14:paraId="6359FA8D">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期环</w:t>
            </w:r>
          </w:p>
          <w:p w14:paraId="7EE0EB08">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境影</w:t>
            </w:r>
          </w:p>
          <w:p w14:paraId="6417EB24">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响和</w:t>
            </w:r>
          </w:p>
          <w:p w14:paraId="307F0EF0">
            <w:pPr>
              <w:adjustRightInd/>
              <w:snapToGrid/>
              <w:spacing w:line="240" w:lineRule="auto"/>
              <w:jc w:val="center"/>
              <w:rPr>
                <w:rFonts w:hint="eastAsia" w:ascii="宋体" w:hAnsi="宋体" w:cs="宋体"/>
                <w:bCs/>
                <w:color w:val="auto"/>
                <w:sz w:val="21"/>
                <w:szCs w:val="21"/>
                <w:highlight w:val="none"/>
              </w:rPr>
            </w:pPr>
            <w:r>
              <w:rPr>
                <w:rFonts w:hint="eastAsia" w:ascii="宋体" w:hAnsi="宋体" w:cs="宋体"/>
                <w:bCs/>
                <w:color w:val="auto"/>
                <w:sz w:val="21"/>
                <w:szCs w:val="21"/>
                <w:highlight w:val="none"/>
              </w:rPr>
              <w:t>保护</w:t>
            </w:r>
          </w:p>
          <w:p w14:paraId="011D3C22">
            <w:pPr>
              <w:adjustRightInd/>
              <w:snapToGrid/>
              <w:spacing w:beforeLines="0" w:afterLines="0" w:line="240" w:lineRule="auto"/>
              <w:jc w:val="center"/>
              <w:rPr>
                <w:rFonts w:ascii="宋体" w:hAnsi="宋体" w:cs="宋体"/>
                <w:color w:val="auto"/>
                <w:kern w:val="0"/>
                <w:sz w:val="21"/>
                <w:szCs w:val="21"/>
                <w:highlight w:val="none"/>
              </w:rPr>
            </w:pPr>
            <w:r>
              <w:rPr>
                <w:rFonts w:hint="eastAsia" w:ascii="宋体" w:hAnsi="宋体" w:cs="宋体"/>
                <w:bCs/>
                <w:color w:val="auto"/>
                <w:sz w:val="21"/>
                <w:szCs w:val="21"/>
                <w:highlight w:val="none"/>
              </w:rPr>
              <w:t>措施</w:t>
            </w:r>
          </w:p>
        </w:tc>
        <w:tc>
          <w:tcPr>
            <w:tcW w:w="8162" w:type="dxa"/>
            <w:noWrap w:val="0"/>
            <w:vAlign w:val="center"/>
          </w:tcPr>
          <w:p w14:paraId="045EAB52">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0" w:firstLineChars="0"/>
              <w:jc w:val="center"/>
              <w:textAlignment w:val="baseline"/>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default" w:ascii="Times New Roman" w:hAnsi="Times New Roman" w:eastAsia="宋体" w:cs="Times New Roman"/>
                <w:b/>
                <w:bCs w:val="0"/>
                <w:color w:val="auto"/>
                <w:kern w:val="2"/>
                <w:sz w:val="21"/>
                <w:szCs w:val="21"/>
                <w:highlight w:val="none"/>
                <w:lang w:val="en-US" w:eastAsia="zh-CN" w:bidi="ar-SA"/>
              </w:rPr>
              <w:t>表</w:t>
            </w:r>
            <w:r>
              <w:rPr>
                <w:rFonts w:hint="eastAsia" w:ascii="Times New Roman" w:hAnsi="Times New Roman" w:eastAsia="宋体" w:cs="Times New Roman"/>
                <w:b/>
                <w:bCs w:val="0"/>
                <w:color w:val="auto"/>
                <w:kern w:val="2"/>
                <w:sz w:val="21"/>
                <w:szCs w:val="21"/>
                <w:highlight w:val="none"/>
                <w:lang w:val="en-US" w:eastAsia="zh-CN" w:bidi="ar-SA"/>
              </w:rPr>
              <w:t xml:space="preserve"> 4-</w:t>
            </w:r>
            <w:r>
              <w:rPr>
                <w:rFonts w:hint="eastAsia" w:cs="Times New Roman"/>
                <w:b/>
                <w:bCs w:val="0"/>
                <w:color w:val="auto"/>
                <w:kern w:val="2"/>
                <w:sz w:val="21"/>
                <w:szCs w:val="21"/>
                <w:highlight w:val="none"/>
                <w:lang w:val="en-US" w:eastAsia="zh-CN" w:bidi="ar-SA"/>
              </w:rPr>
              <w:t>10</w:t>
            </w:r>
            <w:r>
              <w:rPr>
                <w:rFonts w:hint="eastAsia" w:ascii="Times New Roman" w:hAnsi="Times New Roman" w:eastAsia="宋体" w:cs="Times New Roman"/>
                <w:b/>
                <w:bCs w:val="0"/>
                <w:color w:val="auto"/>
                <w:kern w:val="2"/>
                <w:sz w:val="21"/>
                <w:szCs w:val="21"/>
                <w:highlight w:val="none"/>
                <w:lang w:val="en-US" w:eastAsia="zh-CN" w:bidi="ar-SA"/>
              </w:rPr>
              <w:t xml:space="preserve"> </w:t>
            </w:r>
            <w:r>
              <w:rPr>
                <w:rFonts w:hint="default" w:ascii="Times New Roman" w:hAnsi="Times New Roman" w:eastAsia="宋体" w:cs="Times New Roman"/>
                <w:b/>
                <w:bCs w:val="0"/>
                <w:color w:val="auto"/>
                <w:kern w:val="2"/>
                <w:sz w:val="21"/>
                <w:szCs w:val="21"/>
                <w:highlight w:val="none"/>
                <w:lang w:val="en-US" w:eastAsia="zh-CN" w:bidi="ar-SA"/>
              </w:rPr>
              <w:t>废水排放口情况</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21"/>
              <w:gridCol w:w="671"/>
              <w:gridCol w:w="340"/>
              <w:gridCol w:w="1311"/>
              <w:gridCol w:w="329"/>
              <w:gridCol w:w="811"/>
              <w:gridCol w:w="1042"/>
              <w:gridCol w:w="2321"/>
              <w:gridCol w:w="622"/>
              <w:gridCol w:w="654"/>
            </w:tblGrid>
            <w:tr w14:paraId="39C3E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noWrap w:val="0"/>
                  <w:vAlign w:val="center"/>
                </w:tcPr>
                <w:p w14:paraId="280A019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排放口名称</w:t>
                  </w:r>
                </w:p>
              </w:tc>
              <w:tc>
                <w:tcPr>
                  <w:tcW w:w="0" w:type="auto"/>
                  <w:noWrap w:val="0"/>
                  <w:vAlign w:val="center"/>
                </w:tcPr>
                <w:p w14:paraId="4CC29FC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编号</w:t>
                  </w:r>
                </w:p>
              </w:tc>
              <w:tc>
                <w:tcPr>
                  <w:tcW w:w="0" w:type="auto"/>
                  <w:noWrap w:val="0"/>
                  <w:vAlign w:val="center"/>
                </w:tcPr>
                <w:p w14:paraId="6C9233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类型</w:t>
                  </w:r>
                </w:p>
              </w:tc>
              <w:tc>
                <w:tcPr>
                  <w:tcW w:w="0" w:type="auto"/>
                  <w:noWrap w:val="0"/>
                  <w:vAlign w:val="center"/>
                </w:tcPr>
                <w:p w14:paraId="62BB95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地理坐标</w:t>
                  </w:r>
                </w:p>
              </w:tc>
              <w:tc>
                <w:tcPr>
                  <w:tcW w:w="0" w:type="auto"/>
                  <w:noWrap w:val="0"/>
                  <w:vAlign w:val="center"/>
                </w:tcPr>
                <w:p w14:paraId="5921F84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排放方式</w:t>
                  </w:r>
                </w:p>
              </w:tc>
              <w:tc>
                <w:tcPr>
                  <w:tcW w:w="0" w:type="auto"/>
                  <w:noWrap w:val="0"/>
                  <w:vAlign w:val="center"/>
                </w:tcPr>
                <w:p w14:paraId="4E14645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排放规律</w:t>
                  </w:r>
                </w:p>
              </w:tc>
              <w:tc>
                <w:tcPr>
                  <w:tcW w:w="0" w:type="auto"/>
                  <w:noWrap w:val="0"/>
                  <w:vAlign w:val="center"/>
                </w:tcPr>
                <w:p w14:paraId="362182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排放去向</w:t>
                  </w:r>
                </w:p>
              </w:tc>
              <w:tc>
                <w:tcPr>
                  <w:tcW w:w="0" w:type="auto"/>
                  <w:noWrap w:val="0"/>
                  <w:vAlign w:val="center"/>
                </w:tcPr>
                <w:p w14:paraId="4D42BC9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排放标准</w:t>
                  </w:r>
                </w:p>
              </w:tc>
              <w:tc>
                <w:tcPr>
                  <w:tcW w:w="0" w:type="auto"/>
                  <w:noWrap w:val="0"/>
                  <w:vAlign w:val="center"/>
                </w:tcPr>
                <w:p w14:paraId="47040B3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污染物种类</w:t>
                  </w:r>
                </w:p>
              </w:tc>
              <w:tc>
                <w:tcPr>
                  <w:tcW w:w="0" w:type="auto"/>
                  <w:noWrap w:val="0"/>
                  <w:vAlign w:val="center"/>
                </w:tcPr>
                <w:p w14:paraId="49DD62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kern w:val="2"/>
                      <w:sz w:val="21"/>
                      <w:szCs w:val="21"/>
                      <w:highlight w:val="none"/>
                      <w:lang w:val="en-US" w:eastAsia="zh-CN" w:bidi="ar-SA"/>
                    </w:rPr>
                  </w:pPr>
                  <w:r>
                    <w:rPr>
                      <w:rFonts w:hint="default" w:ascii="Times New Roman" w:hAnsi="Times New Roman" w:eastAsia="宋体" w:cs="Times New Roman"/>
                      <w:bCs/>
                      <w:color w:val="auto"/>
                      <w:kern w:val="2"/>
                      <w:sz w:val="21"/>
                      <w:szCs w:val="21"/>
                      <w:highlight w:val="none"/>
                      <w:lang w:val="en-US" w:eastAsia="zh-CN" w:bidi="ar-SA"/>
                    </w:rPr>
                    <w:t>浓度限值/mg/L</w:t>
                  </w:r>
                </w:p>
              </w:tc>
            </w:tr>
            <w:tr w14:paraId="42F505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restart"/>
                  <w:noWrap w:val="0"/>
                  <w:vAlign w:val="center"/>
                </w:tcPr>
                <w:p w14:paraId="3484467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废水总排口</w:t>
                  </w:r>
                </w:p>
              </w:tc>
              <w:tc>
                <w:tcPr>
                  <w:tcW w:w="0" w:type="auto"/>
                  <w:vMerge w:val="restart"/>
                  <w:noWrap w:val="0"/>
                  <w:vAlign w:val="center"/>
                </w:tcPr>
                <w:p w14:paraId="35C8F6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DW001</w:t>
                  </w:r>
                </w:p>
              </w:tc>
              <w:tc>
                <w:tcPr>
                  <w:tcW w:w="0" w:type="auto"/>
                  <w:vMerge w:val="restart"/>
                  <w:noWrap w:val="0"/>
                  <w:vAlign w:val="center"/>
                </w:tcPr>
                <w:p w14:paraId="06413F5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一般排放口</w:t>
                  </w:r>
                </w:p>
              </w:tc>
              <w:tc>
                <w:tcPr>
                  <w:tcW w:w="0" w:type="auto"/>
                  <w:vMerge w:val="restart"/>
                  <w:noWrap w:val="0"/>
                  <w:vAlign w:val="center"/>
                </w:tcPr>
                <w:p w14:paraId="45241D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cs="Times New Roman" w:eastAsiaTheme="majorEastAsia"/>
                      <w:bCs/>
                      <w:color w:val="auto"/>
                      <w:spacing w:val="-10"/>
                      <w:kern w:val="2"/>
                      <w:sz w:val="21"/>
                      <w:szCs w:val="21"/>
                      <w:highlight w:val="none"/>
                      <w:lang w:val="en-US" w:eastAsia="zh-CN" w:bidi="ar-SA"/>
                    </w:rPr>
                  </w:pPr>
                  <w:r>
                    <w:rPr>
                      <w:rFonts w:hint="default" w:ascii="Times New Roman" w:hAnsi="Times New Roman" w:cs="Times New Roman" w:eastAsiaTheme="majorEastAsia"/>
                      <w:color w:val="auto"/>
                      <w:kern w:val="2"/>
                      <w:sz w:val="21"/>
                      <w:szCs w:val="21"/>
                      <w:highlight w:val="none"/>
                      <w:lang w:val="en-US" w:eastAsia="zh-CN" w:bidi="ar-SA"/>
                    </w:rPr>
                    <w:t>东经114°40′34.86″</w:t>
                  </w:r>
                </w:p>
                <w:p w14:paraId="2BBA94D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cs="Times New Roman" w:eastAsiaTheme="majorEastAsia"/>
                      <w:color w:val="auto"/>
                      <w:kern w:val="2"/>
                      <w:sz w:val="21"/>
                      <w:szCs w:val="21"/>
                      <w:highlight w:val="none"/>
                      <w:lang w:val="en-US" w:eastAsia="zh-CN" w:bidi="ar-SA"/>
                    </w:rPr>
                    <w:t>北纬37°57′52.45″</w:t>
                  </w:r>
                </w:p>
              </w:tc>
              <w:tc>
                <w:tcPr>
                  <w:tcW w:w="0" w:type="auto"/>
                  <w:vMerge w:val="restart"/>
                  <w:noWrap w:val="0"/>
                  <w:vAlign w:val="center"/>
                </w:tcPr>
                <w:p w14:paraId="1AFF658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间接排放</w:t>
                  </w:r>
                </w:p>
              </w:tc>
              <w:tc>
                <w:tcPr>
                  <w:tcW w:w="0" w:type="auto"/>
                  <w:vMerge w:val="restart"/>
                  <w:noWrap w:val="0"/>
                  <w:vAlign w:val="center"/>
                </w:tcPr>
                <w:p w14:paraId="7BFBF5D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间断排放，排放期间流量不稳定且无规律</w:t>
                  </w:r>
                </w:p>
              </w:tc>
              <w:tc>
                <w:tcPr>
                  <w:tcW w:w="0" w:type="auto"/>
                  <w:vMerge w:val="restart"/>
                  <w:noWrap w:val="0"/>
                  <w:vAlign w:val="center"/>
                </w:tcPr>
                <w:p w14:paraId="7E81EB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石家庄</w:t>
                  </w:r>
                  <w:r>
                    <w:rPr>
                      <w:rFonts w:hint="eastAsia" w:cs="Times New Roman"/>
                      <w:color w:val="auto"/>
                      <w:kern w:val="2"/>
                      <w:sz w:val="21"/>
                      <w:szCs w:val="21"/>
                      <w:highlight w:val="none"/>
                      <w:lang w:val="en-US" w:eastAsia="zh-CN" w:bidi="ar-SA"/>
                    </w:rPr>
                    <w:t>石家庄高新区循化环境水务有限公司</w:t>
                  </w:r>
                  <w:r>
                    <w:rPr>
                      <w:rFonts w:hint="default" w:ascii="Times New Roman" w:hAnsi="Times New Roman" w:eastAsia="宋体" w:cs="Times New Roman"/>
                      <w:color w:val="auto"/>
                      <w:kern w:val="2"/>
                      <w:sz w:val="21"/>
                      <w:szCs w:val="21"/>
                      <w:highlight w:val="none"/>
                      <w:lang w:val="en-US" w:eastAsia="zh-CN" w:bidi="ar-SA"/>
                    </w:rPr>
                    <w:t>（良村南污水处理厂）</w:t>
                  </w:r>
                </w:p>
              </w:tc>
              <w:tc>
                <w:tcPr>
                  <w:tcW w:w="0" w:type="auto"/>
                  <w:vMerge w:val="restart"/>
                  <w:noWrap w:val="0"/>
                  <w:vAlign w:val="center"/>
                </w:tcPr>
                <w:p w14:paraId="299712D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default" w:ascii="Times New Roman" w:hAnsi="Times New Roman" w:eastAsia="宋体" w:cs="Times New Roman"/>
                      <w:bCs/>
                      <w:color w:val="auto"/>
                      <w:spacing w:val="-10"/>
                      <w:kern w:val="2"/>
                      <w:sz w:val="21"/>
                      <w:szCs w:val="21"/>
                      <w:highlight w:val="none"/>
                      <w:lang w:val="en-US" w:eastAsia="zh-CN" w:bidi="ar-SA"/>
                    </w:rPr>
                    <w:t>满足《污水综合排放标准》（GB8978–1996）表4三级标准并同时满足石家庄良村南污水处理厂进水水质要求</w:t>
                  </w:r>
                </w:p>
              </w:tc>
              <w:tc>
                <w:tcPr>
                  <w:tcW w:w="0" w:type="auto"/>
                  <w:noWrap w:val="0"/>
                  <w:vAlign w:val="center"/>
                </w:tcPr>
                <w:p w14:paraId="70781A8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pH</w:t>
                  </w:r>
                </w:p>
              </w:tc>
              <w:tc>
                <w:tcPr>
                  <w:tcW w:w="0" w:type="auto"/>
                  <w:noWrap w:val="0"/>
                  <w:vAlign w:val="center"/>
                </w:tcPr>
                <w:p w14:paraId="0237FDE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r>
                    <w:rPr>
                      <w:rFonts w:hint="eastAsia" w:cs="Times New Roman"/>
                      <w:bCs/>
                      <w:color w:val="auto"/>
                      <w:spacing w:val="-10"/>
                      <w:kern w:val="2"/>
                      <w:sz w:val="21"/>
                      <w:szCs w:val="21"/>
                      <w:highlight w:val="none"/>
                      <w:lang w:val="en-US" w:eastAsia="zh-CN" w:bidi="ar-SA"/>
                    </w:rPr>
                    <w:t>6</w:t>
                  </w:r>
                  <w:r>
                    <w:rPr>
                      <w:rFonts w:hint="default" w:ascii="Times New Roman" w:hAnsi="Times New Roman" w:eastAsia="宋体" w:cs="Times New Roman"/>
                      <w:bCs/>
                      <w:color w:val="auto"/>
                      <w:spacing w:val="-10"/>
                      <w:kern w:val="2"/>
                      <w:sz w:val="21"/>
                      <w:szCs w:val="21"/>
                      <w:highlight w:val="none"/>
                      <w:lang w:val="en-US" w:eastAsia="zh-CN" w:bidi="ar-SA"/>
                    </w:rPr>
                    <w:t>-9</w:t>
                  </w:r>
                </w:p>
              </w:tc>
            </w:tr>
            <w:tr w14:paraId="547DA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continue"/>
                  <w:noWrap w:val="0"/>
                  <w:vAlign w:val="center"/>
                </w:tcPr>
                <w:p w14:paraId="770476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5E10BB1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1D2DA41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63A338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549A05D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3905D3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094C71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5A96310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noWrap w:val="0"/>
                  <w:vAlign w:val="center"/>
                </w:tcPr>
                <w:p w14:paraId="721114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COD</w:t>
                  </w:r>
                </w:p>
              </w:tc>
              <w:tc>
                <w:tcPr>
                  <w:tcW w:w="0" w:type="auto"/>
                  <w:noWrap w:val="0"/>
                  <w:vAlign w:val="center"/>
                </w:tcPr>
                <w:p w14:paraId="2F08055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500</w:t>
                  </w:r>
                </w:p>
              </w:tc>
            </w:tr>
            <w:tr w14:paraId="4DF7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continue"/>
                  <w:noWrap w:val="0"/>
                  <w:vAlign w:val="center"/>
                </w:tcPr>
                <w:p w14:paraId="6F3BB45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0E2634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0E9B63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56AE288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04B860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139DAF0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67619FE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34FEE7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noWrap w:val="0"/>
                  <w:vAlign w:val="center"/>
                </w:tcPr>
                <w:p w14:paraId="1E2D33B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BOD</w:t>
                  </w:r>
                  <w:r>
                    <w:rPr>
                      <w:rFonts w:hint="default" w:ascii="Times New Roman" w:hAnsi="Times New Roman" w:eastAsia="宋体" w:cs="Times New Roman"/>
                      <w:color w:val="auto"/>
                      <w:kern w:val="2"/>
                      <w:sz w:val="21"/>
                      <w:szCs w:val="21"/>
                      <w:highlight w:val="none"/>
                      <w:vertAlign w:val="subscript"/>
                      <w:lang w:val="en-US" w:eastAsia="zh-CN" w:bidi="ar-SA"/>
                    </w:rPr>
                    <w:t>5</w:t>
                  </w:r>
                </w:p>
              </w:tc>
              <w:tc>
                <w:tcPr>
                  <w:tcW w:w="0" w:type="auto"/>
                  <w:noWrap w:val="0"/>
                  <w:vAlign w:val="center"/>
                </w:tcPr>
                <w:p w14:paraId="6FB09DB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180</w:t>
                  </w:r>
                </w:p>
              </w:tc>
            </w:tr>
            <w:tr w14:paraId="19D1A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continue"/>
                  <w:noWrap w:val="0"/>
                  <w:vAlign w:val="center"/>
                </w:tcPr>
                <w:p w14:paraId="1CEF928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73FA87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67FE3F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3FFC9D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2457FA2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0548E5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0BED411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79F104D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noWrap w:val="0"/>
                  <w:vAlign w:val="center"/>
                </w:tcPr>
                <w:p w14:paraId="7141B5E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SS</w:t>
                  </w:r>
                </w:p>
              </w:tc>
              <w:tc>
                <w:tcPr>
                  <w:tcW w:w="0" w:type="auto"/>
                  <w:noWrap w:val="0"/>
                  <w:vAlign w:val="center"/>
                </w:tcPr>
                <w:p w14:paraId="147E3C6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200</w:t>
                  </w:r>
                </w:p>
              </w:tc>
            </w:tr>
            <w:tr w14:paraId="682F4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continue"/>
                  <w:noWrap w:val="0"/>
                  <w:vAlign w:val="center"/>
                </w:tcPr>
                <w:p w14:paraId="28BE45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1565119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0553AA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615C9B5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371E62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639B17E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0D975C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26E830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noWrap w:val="0"/>
                  <w:vAlign w:val="center"/>
                </w:tcPr>
                <w:p w14:paraId="5CADDA8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氨氮</w:t>
                  </w:r>
                </w:p>
              </w:tc>
              <w:tc>
                <w:tcPr>
                  <w:tcW w:w="0" w:type="auto"/>
                  <w:noWrap w:val="0"/>
                  <w:vAlign w:val="center"/>
                </w:tcPr>
                <w:p w14:paraId="2A32ED8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48</w:t>
                  </w:r>
                </w:p>
              </w:tc>
            </w:tr>
            <w:tr w14:paraId="5FC0E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continue"/>
                  <w:noWrap w:val="0"/>
                  <w:vAlign w:val="center"/>
                </w:tcPr>
                <w:p w14:paraId="3C88EEC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7A0AD3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5C54938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7ADB31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55B169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2F7B5FA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3F75C6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351383D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noWrap w:val="0"/>
                  <w:vAlign w:val="center"/>
                </w:tcPr>
                <w:p w14:paraId="3E0F99D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总氮</w:t>
                  </w:r>
                </w:p>
              </w:tc>
              <w:tc>
                <w:tcPr>
                  <w:tcW w:w="0" w:type="auto"/>
                  <w:noWrap w:val="0"/>
                  <w:vAlign w:val="center"/>
                </w:tcPr>
                <w:p w14:paraId="641D10D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70</w:t>
                  </w:r>
                </w:p>
              </w:tc>
            </w:tr>
            <w:tr w14:paraId="537D6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0" w:type="auto"/>
                  <w:vMerge w:val="continue"/>
                  <w:noWrap w:val="0"/>
                  <w:vAlign w:val="center"/>
                </w:tcPr>
                <w:p w14:paraId="2B92C14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66B2CD6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6F55A0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1E3CAD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76C571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61182AF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top"/>
                </w:tcPr>
                <w:p w14:paraId="1A536E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vMerge w:val="continue"/>
                  <w:noWrap w:val="0"/>
                  <w:vAlign w:val="center"/>
                </w:tcPr>
                <w:p w14:paraId="3C1462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Cs/>
                      <w:color w:val="auto"/>
                      <w:spacing w:val="-10"/>
                      <w:kern w:val="2"/>
                      <w:sz w:val="21"/>
                      <w:szCs w:val="21"/>
                      <w:highlight w:val="none"/>
                      <w:lang w:val="en-US" w:eastAsia="zh-CN" w:bidi="ar-SA"/>
                    </w:rPr>
                  </w:pPr>
                </w:p>
              </w:tc>
              <w:tc>
                <w:tcPr>
                  <w:tcW w:w="0" w:type="auto"/>
                  <w:noWrap w:val="0"/>
                  <w:vAlign w:val="center"/>
                </w:tcPr>
                <w:p w14:paraId="3F6F03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石油类</w:t>
                  </w:r>
                </w:p>
              </w:tc>
              <w:tc>
                <w:tcPr>
                  <w:tcW w:w="0" w:type="auto"/>
                  <w:noWrap w:val="0"/>
                  <w:vAlign w:val="center"/>
                </w:tcPr>
                <w:p w14:paraId="132453D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20</w:t>
                  </w:r>
                </w:p>
              </w:tc>
            </w:tr>
          </w:tbl>
          <w:p w14:paraId="6CDBD51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eastAsia="宋体" w:cs="宋体"/>
                <w:color w:val="auto"/>
                <w:sz w:val="21"/>
                <w:szCs w:val="21"/>
                <w:highlight w:val="none"/>
                <w:lang w:bidi="ar"/>
              </w:rPr>
            </w:pPr>
            <w:r>
              <w:rPr>
                <w:rFonts w:hint="eastAsia" w:hAnsi="宋体" w:eastAsia="宋体" w:cs="宋体"/>
                <w:color w:val="auto"/>
                <w:sz w:val="21"/>
                <w:szCs w:val="21"/>
                <w:highlight w:val="none"/>
                <w:lang w:val="en-US" w:eastAsia="zh-CN" w:bidi="ar"/>
              </w:rPr>
              <w:t>2、</w:t>
            </w:r>
            <w:r>
              <w:rPr>
                <w:rFonts w:hint="eastAsia" w:hAnsi="宋体" w:eastAsia="宋体" w:cs="宋体"/>
                <w:color w:val="auto"/>
                <w:sz w:val="21"/>
                <w:szCs w:val="21"/>
                <w:highlight w:val="none"/>
                <w:lang w:bidi="ar"/>
              </w:rPr>
              <w:t>废水排入</w:t>
            </w:r>
            <w:r>
              <w:rPr>
                <w:rFonts w:hint="eastAsia" w:hAnsi="宋体" w:cs="宋体"/>
                <w:color w:val="auto"/>
                <w:sz w:val="21"/>
                <w:szCs w:val="21"/>
                <w:highlight w:val="none"/>
                <w:lang w:eastAsia="zh-CN" w:bidi="ar"/>
              </w:rPr>
              <w:t>石家庄高新区循化环境水务有限公司（良村南污水处理厂）</w:t>
            </w:r>
            <w:r>
              <w:rPr>
                <w:rFonts w:hint="eastAsia" w:hAnsi="宋体" w:eastAsia="宋体" w:cs="宋体"/>
                <w:color w:val="auto"/>
                <w:sz w:val="21"/>
                <w:szCs w:val="21"/>
                <w:highlight w:val="none"/>
                <w:lang w:bidi="ar"/>
              </w:rPr>
              <w:t>的可行性</w:t>
            </w:r>
          </w:p>
          <w:p w14:paraId="4D955398">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color w:val="auto"/>
                <w:sz w:val="21"/>
                <w:szCs w:val="21"/>
                <w:highlight w:val="none"/>
                <w:lang w:val="en-US" w:eastAsia="zh-CN"/>
              </w:rPr>
            </w:pPr>
            <w:r>
              <w:rPr>
                <w:rFonts w:hint="default"/>
                <w:color w:val="auto"/>
                <w:sz w:val="21"/>
                <w:szCs w:val="21"/>
                <w:highlight w:val="none"/>
                <w:lang w:val="en-US" w:eastAsia="zh-CN"/>
              </w:rPr>
              <w:t>石家庄良村南污水处理厂项目环评报告书于2011年6月由石家庄市环境保护局批复（石环保[2011]274号），并于2013年9月开始试运行。</w:t>
            </w:r>
            <w:r>
              <w:rPr>
                <w:rFonts w:hint="eastAsia"/>
                <w:color w:val="auto"/>
                <w:sz w:val="21"/>
                <w:szCs w:val="21"/>
                <w:highlight w:val="none"/>
                <w:lang w:val="en-US" w:eastAsia="zh-CN"/>
              </w:rPr>
              <w:t>目前</w:t>
            </w:r>
            <w:r>
              <w:rPr>
                <w:rFonts w:hint="default"/>
                <w:color w:val="auto"/>
                <w:sz w:val="21"/>
                <w:szCs w:val="21"/>
                <w:highlight w:val="none"/>
                <w:lang w:val="en-US" w:eastAsia="zh-CN"/>
              </w:rPr>
              <w:t>石家庄良村南污水处理厂</w:t>
            </w:r>
            <w:r>
              <w:rPr>
                <w:rFonts w:hint="eastAsia"/>
                <w:color w:val="auto"/>
                <w:sz w:val="21"/>
                <w:szCs w:val="21"/>
                <w:highlight w:val="none"/>
                <w:lang w:val="en-US" w:eastAsia="zh-CN"/>
              </w:rPr>
              <w:t>运行单位为石家庄高新区循化环境水务有限公司。</w:t>
            </w:r>
          </w:p>
          <w:p w14:paraId="6F276D6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baseline"/>
              <w:rPr>
                <w:rFonts w:hint="default"/>
                <w:color w:val="auto"/>
                <w:sz w:val="21"/>
                <w:szCs w:val="21"/>
                <w:highlight w:val="none"/>
                <w:lang w:val="en-US" w:eastAsia="zh-CN"/>
              </w:rPr>
            </w:pPr>
            <w:r>
              <w:rPr>
                <w:rFonts w:hint="default"/>
                <w:color w:val="auto"/>
                <w:sz w:val="21"/>
                <w:szCs w:val="21"/>
                <w:highlight w:val="none"/>
                <w:lang w:val="en-US" w:eastAsia="zh-CN"/>
              </w:rPr>
              <w:t>良村南污水处理厂位于藁城区丘头镇丽阳村北，汪洋沟北侧，新赵公路以西，占地110亩，处理能力为5万m³/d，现状实际运行能力3万m</w:t>
            </w:r>
            <w:r>
              <w:rPr>
                <w:rFonts w:hint="eastAsia"/>
                <w:color w:val="auto"/>
                <w:sz w:val="21"/>
                <w:szCs w:val="21"/>
                <w:highlight w:val="none"/>
                <w:vertAlign w:val="superscript"/>
                <w:lang w:val="en-US" w:eastAsia="zh-CN"/>
              </w:rPr>
              <w:t>3</w:t>
            </w:r>
            <w:r>
              <w:rPr>
                <w:rFonts w:hint="default"/>
                <w:color w:val="auto"/>
                <w:sz w:val="21"/>
                <w:szCs w:val="21"/>
                <w:highlight w:val="none"/>
                <w:lang w:val="en-US" w:eastAsia="zh-CN"/>
              </w:rPr>
              <w:t>/d，该污水处理厂</w:t>
            </w:r>
            <w:r>
              <w:rPr>
                <w:rFonts w:hint="default" w:ascii="Times New Roman" w:hAnsi="Times New Roman" w:eastAsia="宋体" w:cs="Times New Roman"/>
                <w:color w:val="auto"/>
                <w:spacing w:val="0"/>
                <w:w w:val="100"/>
                <w:position w:val="0"/>
                <w:sz w:val="21"/>
                <w:szCs w:val="21"/>
                <w:highlight w:val="none"/>
                <w:lang w:val="en-US" w:eastAsia="zh-CN" w:bidi="ar-SA"/>
              </w:rPr>
              <w:t>进水水质具体要求</w:t>
            </w:r>
            <w:r>
              <w:rPr>
                <w:rFonts w:hint="eastAsia" w:cs="Times New Roman"/>
                <w:color w:val="auto"/>
                <w:spacing w:val="0"/>
                <w:w w:val="100"/>
                <w:position w:val="0"/>
                <w:sz w:val="21"/>
                <w:szCs w:val="21"/>
                <w:highlight w:val="none"/>
                <w:lang w:val="en-US" w:eastAsia="zh-CN" w:bidi="ar-SA"/>
              </w:rPr>
              <w:t>：COD≤500mg/L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BOD</w:t>
            </w:r>
            <w:r>
              <w:rPr>
                <w:rFonts w:hint="eastAsia" w:cs="Times New Roman"/>
                <w:color w:val="auto"/>
                <w:spacing w:val="0"/>
                <w:w w:val="100"/>
                <w:position w:val="0"/>
                <w:sz w:val="21"/>
                <w:szCs w:val="21"/>
                <w:highlight w:val="none"/>
                <w:vertAlign w:val="subscript"/>
                <w:lang w:val="en-US" w:eastAsia="zh-CN" w:bidi="ar-SA"/>
              </w:rPr>
              <w:t>5</w:t>
            </w:r>
            <w:r>
              <w:rPr>
                <w:rFonts w:hint="eastAsia" w:cs="Times New Roman"/>
                <w:color w:val="auto"/>
                <w:spacing w:val="0"/>
                <w:w w:val="100"/>
                <w:position w:val="0"/>
                <w:sz w:val="21"/>
                <w:szCs w:val="21"/>
                <w:highlight w:val="none"/>
                <w:lang w:val="en-US" w:eastAsia="zh-CN" w:bidi="ar-SA"/>
              </w:rPr>
              <w:t>≤180mg/L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SS≤200mg/L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NH</w:t>
            </w:r>
            <w:r>
              <w:rPr>
                <w:rFonts w:hint="eastAsia" w:cs="Times New Roman"/>
                <w:color w:val="auto"/>
                <w:spacing w:val="0"/>
                <w:w w:val="100"/>
                <w:position w:val="0"/>
                <w:sz w:val="21"/>
                <w:szCs w:val="21"/>
                <w:highlight w:val="none"/>
                <w:vertAlign w:val="subscript"/>
                <w:lang w:val="en-US" w:eastAsia="zh-CN" w:bidi="ar-SA"/>
              </w:rPr>
              <w:t>3</w:t>
            </w:r>
            <w:r>
              <w:rPr>
                <w:rFonts w:hint="eastAsia" w:cs="Times New Roman"/>
                <w:color w:val="auto"/>
                <w:spacing w:val="0"/>
                <w:w w:val="100"/>
                <w:position w:val="0"/>
                <w:sz w:val="21"/>
                <w:szCs w:val="21"/>
                <w:highlight w:val="none"/>
                <w:lang w:val="en-US" w:eastAsia="zh-CN" w:bidi="ar-SA"/>
              </w:rPr>
              <w:t>-N≤48mg/L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总磷≤3mg/L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总氮≤40mg/L；出水水质具体要求：COD≤40mg/L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BOD</w:t>
            </w:r>
            <w:r>
              <w:rPr>
                <w:rFonts w:hint="eastAsia" w:cs="Times New Roman"/>
                <w:color w:val="auto"/>
                <w:spacing w:val="0"/>
                <w:w w:val="100"/>
                <w:position w:val="0"/>
                <w:sz w:val="21"/>
                <w:szCs w:val="21"/>
                <w:highlight w:val="none"/>
                <w:vertAlign w:val="subscript"/>
                <w:lang w:val="en-US" w:eastAsia="zh-CN" w:bidi="ar-SA"/>
              </w:rPr>
              <w:t>5</w:t>
            </w:r>
            <w:r>
              <w:rPr>
                <w:rFonts w:hint="eastAsia" w:cs="Times New Roman"/>
                <w:color w:val="auto"/>
                <w:spacing w:val="0"/>
                <w:w w:val="100"/>
                <w:position w:val="0"/>
                <w:sz w:val="21"/>
                <w:szCs w:val="21"/>
                <w:highlight w:val="none"/>
                <w:lang w:val="en-US" w:eastAsia="zh-CN" w:bidi="ar-SA"/>
              </w:rPr>
              <w:t>≤10mg/L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SS≤10mg/L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NH</w:t>
            </w:r>
            <w:r>
              <w:rPr>
                <w:rFonts w:hint="eastAsia" w:cs="Times New Roman"/>
                <w:color w:val="auto"/>
                <w:spacing w:val="0"/>
                <w:w w:val="100"/>
                <w:position w:val="0"/>
                <w:sz w:val="21"/>
                <w:szCs w:val="21"/>
                <w:highlight w:val="none"/>
                <w:vertAlign w:val="subscript"/>
                <w:lang w:val="en-US" w:eastAsia="zh-CN" w:bidi="ar-SA"/>
              </w:rPr>
              <w:t>3</w:t>
            </w:r>
            <w:r>
              <w:rPr>
                <w:rFonts w:hint="eastAsia" w:cs="Times New Roman"/>
                <w:color w:val="auto"/>
                <w:spacing w:val="0"/>
                <w:w w:val="100"/>
                <w:position w:val="0"/>
                <w:sz w:val="21"/>
                <w:szCs w:val="21"/>
                <w:highlight w:val="none"/>
                <w:lang w:val="en-US" w:eastAsia="zh-CN" w:bidi="ar-SA"/>
              </w:rPr>
              <w:t>-N≤2.0mg/L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总磷≤0.4mg/L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cs="Times New Roman"/>
                <w:color w:val="auto"/>
                <w:spacing w:val="0"/>
                <w:w w:val="100"/>
                <w:position w:val="0"/>
                <w:sz w:val="21"/>
                <w:szCs w:val="21"/>
                <w:highlight w:val="none"/>
                <w:lang w:val="en-US" w:eastAsia="zh-CN" w:bidi="ar-SA"/>
              </w:rPr>
              <w:t>总氮≤15mg/L</w:t>
            </w:r>
            <w:r>
              <w:rPr>
                <w:rFonts w:hint="default" w:ascii="Times New Roman" w:hAnsi="Times New Roman" w:eastAsia="宋体" w:cs="Times New Roman"/>
                <w:color w:val="auto"/>
                <w:spacing w:val="0"/>
                <w:w w:val="100"/>
                <w:position w:val="0"/>
                <w:sz w:val="21"/>
                <w:szCs w:val="21"/>
                <w:highlight w:val="none"/>
                <w:lang w:val="en-US" w:eastAsia="zh-CN" w:bidi="ar-SA"/>
              </w:rPr>
              <w:t>。</w:t>
            </w:r>
            <w:r>
              <w:rPr>
                <w:rFonts w:hint="eastAsia" w:ascii="Times New Roman" w:hAnsi="Times New Roman" w:eastAsia="宋体" w:cs="Times New Roman"/>
                <w:color w:val="auto"/>
                <w:spacing w:val="0"/>
                <w:w w:val="100"/>
                <w:position w:val="0"/>
                <w:sz w:val="21"/>
                <w:szCs w:val="21"/>
                <w:highlight w:val="none"/>
                <w:lang w:val="en-US" w:eastAsia="zh-CN" w:bidi="ar-SA"/>
              </w:rPr>
              <w:t>处理</w:t>
            </w:r>
            <w:r>
              <w:rPr>
                <w:rFonts w:hint="default"/>
                <w:color w:val="auto"/>
                <w:sz w:val="21"/>
                <w:szCs w:val="21"/>
                <w:highlight w:val="none"/>
                <w:lang w:val="en-US" w:eastAsia="zh-CN"/>
              </w:rPr>
              <w:t>工艺采用</w:t>
            </w:r>
            <w:r>
              <w:rPr>
                <w:rFonts w:hint="eastAsia"/>
                <w:color w:val="auto"/>
                <w:sz w:val="21"/>
                <w:szCs w:val="21"/>
                <w:highlight w:val="none"/>
                <w:lang w:val="en-US" w:eastAsia="zh-CN"/>
              </w:rPr>
              <w:t>“</w:t>
            </w:r>
            <w:r>
              <w:rPr>
                <w:rFonts w:hint="default"/>
                <w:color w:val="auto"/>
                <w:sz w:val="21"/>
                <w:szCs w:val="21"/>
                <w:highlight w:val="none"/>
                <w:lang w:val="en-US" w:eastAsia="zh-CN"/>
              </w:rPr>
              <w:t>预处理+水解酸化池+脱氮除磷生物池+二沉池+混凝气浮池+高级催化氧化站+曝气生物滤池+紫外消毒池</w:t>
            </w:r>
            <w:r>
              <w:rPr>
                <w:rFonts w:hint="eastAsia"/>
                <w:color w:val="auto"/>
                <w:sz w:val="21"/>
                <w:szCs w:val="21"/>
                <w:highlight w:val="none"/>
                <w:lang w:val="en-US" w:eastAsia="zh-CN"/>
              </w:rPr>
              <w:t>”</w:t>
            </w:r>
            <w:r>
              <w:rPr>
                <w:rFonts w:hint="default"/>
                <w:color w:val="auto"/>
                <w:sz w:val="21"/>
                <w:szCs w:val="21"/>
                <w:highlight w:val="none"/>
                <w:lang w:val="en-US" w:eastAsia="zh-CN"/>
              </w:rPr>
              <w:t>，经处理后，出水水质达到《城镇污水处理厂污染物排放标准》（GB18918-2002）中一级A标准及《子牙河流域水污染物排放标准》（DB13/2796-2018）相应标准要求（COD≤40mg/L，氨氮≤2.0mg/L），部分废水经再生水处理后满足《城市污水再生利用 工业用水水质》（GB/T19923-2005）及《城市污水再生利用 城市杂用水水质》（GB/T18920-2002）相应标准后回用，剩余部分排入汪洋沟。</w:t>
            </w:r>
          </w:p>
          <w:p w14:paraId="162520D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sz w:val="21"/>
                <w:szCs w:val="21"/>
                <w:highlight w:val="none"/>
              </w:rPr>
            </w:pPr>
            <w:r>
              <w:rPr>
                <w:color w:val="auto"/>
                <w:sz w:val="21"/>
                <w:szCs w:val="21"/>
                <w:highlight w:val="none"/>
              </w:rPr>
              <w:t>本项目所在位置位于石家庄</w:t>
            </w:r>
            <w:r>
              <w:rPr>
                <w:rFonts w:hint="eastAsia"/>
                <w:color w:val="auto"/>
                <w:sz w:val="21"/>
                <w:szCs w:val="21"/>
                <w:highlight w:val="none"/>
                <w:lang w:eastAsia="zh-CN"/>
              </w:rPr>
              <w:t>石家庄高新区循化环境水务有限公司（良村南污水处理厂）</w:t>
            </w:r>
            <w:r>
              <w:rPr>
                <w:color w:val="auto"/>
                <w:sz w:val="21"/>
                <w:szCs w:val="21"/>
                <w:highlight w:val="none"/>
              </w:rPr>
              <w:t>收水范围内，且项目所在位置污水管网已铺设完成并投入使用。本项目废水经</w:t>
            </w:r>
            <w:r>
              <w:rPr>
                <w:rFonts w:hint="eastAsia" w:ascii="Times New Roman" w:eastAsia="宋体"/>
                <w:color w:val="auto"/>
                <w:sz w:val="21"/>
                <w:szCs w:val="21"/>
                <w:highlight w:val="none"/>
                <w:lang w:val="en-US" w:eastAsia="zh-CN"/>
              </w:rPr>
              <w:t>厂</w:t>
            </w:r>
            <w:r>
              <w:rPr>
                <w:rFonts w:hint="eastAsia"/>
                <w:color w:val="auto"/>
                <w:sz w:val="21"/>
                <w:szCs w:val="21"/>
                <w:highlight w:val="none"/>
                <w:lang w:val="en-US" w:eastAsia="zh-CN"/>
              </w:rPr>
              <w:t>综合</w:t>
            </w:r>
            <w:r>
              <w:rPr>
                <w:color w:val="auto"/>
                <w:sz w:val="21"/>
                <w:szCs w:val="21"/>
                <w:highlight w:val="none"/>
              </w:rPr>
              <w:t>污水处理</w:t>
            </w:r>
            <w:r>
              <w:rPr>
                <w:rFonts w:hint="eastAsia"/>
                <w:color w:val="auto"/>
                <w:sz w:val="21"/>
                <w:szCs w:val="21"/>
                <w:highlight w:val="none"/>
                <w:lang w:val="en-US" w:eastAsia="zh-CN"/>
              </w:rPr>
              <w:t>站</w:t>
            </w:r>
            <w:r>
              <w:rPr>
                <w:color w:val="auto"/>
                <w:sz w:val="21"/>
                <w:szCs w:val="21"/>
                <w:highlight w:val="none"/>
              </w:rPr>
              <w:t>处理后</w:t>
            </w:r>
            <w:r>
              <w:rPr>
                <w:rFonts w:hint="eastAsia"/>
                <w:color w:val="auto"/>
                <w:sz w:val="21"/>
                <w:szCs w:val="21"/>
                <w:highlight w:val="none"/>
              </w:rPr>
              <w:t>，废水排放满足</w:t>
            </w:r>
            <w:r>
              <w:rPr>
                <w:rFonts w:hint="eastAsia"/>
                <w:color w:val="auto"/>
                <w:sz w:val="21"/>
                <w:szCs w:val="21"/>
                <w:highlight w:val="none"/>
                <w:lang w:val="en-US" w:eastAsia="zh-CN"/>
              </w:rPr>
              <w:t>《污水综合排放标准》（GB8978–1996）表4三级标准并同时满足</w:t>
            </w:r>
            <w:r>
              <w:rPr>
                <w:rFonts w:hint="eastAsia" w:hAnsi="宋体" w:cs="宋体"/>
                <w:color w:val="5300FF"/>
                <w:sz w:val="21"/>
                <w:szCs w:val="21"/>
                <w:highlight w:val="none"/>
                <w:lang w:eastAsia="zh-CN" w:bidi="ar"/>
              </w:rPr>
              <w:t>石家庄高新区循化环境水务有限公司（良村南污水处理厂）</w:t>
            </w:r>
            <w:r>
              <w:rPr>
                <w:rFonts w:hint="eastAsia"/>
                <w:color w:val="auto"/>
                <w:sz w:val="21"/>
                <w:szCs w:val="21"/>
                <w:highlight w:val="none"/>
                <w:lang w:val="en-US" w:eastAsia="zh-CN"/>
              </w:rPr>
              <w:t>进水水质要求</w:t>
            </w:r>
            <w:r>
              <w:rPr>
                <w:color w:val="auto"/>
                <w:sz w:val="21"/>
                <w:szCs w:val="21"/>
                <w:highlight w:val="none"/>
              </w:rPr>
              <w:t>：pH 6-9、COD</w:t>
            </w:r>
            <w:r>
              <w:rPr>
                <w:rFonts w:hint="eastAsia" w:ascii="Times New Roman" w:eastAsia="宋体"/>
                <w:color w:val="auto"/>
                <w:sz w:val="21"/>
                <w:szCs w:val="21"/>
                <w:highlight w:val="none"/>
                <w:lang w:val="en-US" w:eastAsia="zh-CN"/>
              </w:rPr>
              <w:t xml:space="preserve"> </w:t>
            </w:r>
            <w:r>
              <w:rPr>
                <w:rFonts w:hint="eastAsia"/>
                <w:color w:val="auto"/>
                <w:sz w:val="21"/>
                <w:szCs w:val="21"/>
                <w:highlight w:val="none"/>
                <w:lang w:val="en-US" w:eastAsia="zh-CN"/>
              </w:rPr>
              <w:t>50</w:t>
            </w:r>
            <w:r>
              <w:rPr>
                <w:color w:val="auto"/>
                <w:sz w:val="21"/>
                <w:szCs w:val="21"/>
                <w:highlight w:val="none"/>
              </w:rPr>
              <w:t>0mg/L、BOD</w:t>
            </w:r>
            <w:r>
              <w:rPr>
                <w:color w:val="auto"/>
                <w:sz w:val="21"/>
                <w:szCs w:val="21"/>
                <w:highlight w:val="none"/>
                <w:vertAlign w:val="subscript"/>
              </w:rPr>
              <w:t>5</w:t>
            </w:r>
            <w:r>
              <w:rPr>
                <w:color w:val="auto"/>
                <w:sz w:val="21"/>
                <w:szCs w:val="21"/>
                <w:highlight w:val="none"/>
              </w:rPr>
              <w:t>180mg/L、SS</w:t>
            </w:r>
            <w:r>
              <w:rPr>
                <w:rFonts w:hint="eastAsia" w:ascii="Times New Roman" w:eastAsia="宋体"/>
                <w:color w:val="auto"/>
                <w:sz w:val="21"/>
                <w:szCs w:val="21"/>
                <w:highlight w:val="none"/>
                <w:lang w:val="en-US" w:eastAsia="zh-CN"/>
              </w:rPr>
              <w:t xml:space="preserve"> </w:t>
            </w:r>
            <w:r>
              <w:rPr>
                <w:color w:val="auto"/>
                <w:sz w:val="21"/>
                <w:szCs w:val="21"/>
                <w:highlight w:val="none"/>
              </w:rPr>
              <w:t>2</w:t>
            </w:r>
            <w:r>
              <w:rPr>
                <w:rFonts w:hint="eastAsia"/>
                <w:color w:val="auto"/>
                <w:sz w:val="21"/>
                <w:szCs w:val="21"/>
                <w:highlight w:val="none"/>
                <w:lang w:val="en-US" w:eastAsia="zh-CN"/>
              </w:rPr>
              <w:t>0</w:t>
            </w:r>
            <w:r>
              <w:rPr>
                <w:color w:val="auto"/>
                <w:sz w:val="21"/>
                <w:szCs w:val="21"/>
                <w:highlight w:val="none"/>
              </w:rPr>
              <w:t>0mg/L、氨氮4</w:t>
            </w:r>
            <w:r>
              <w:rPr>
                <w:rFonts w:hint="eastAsia"/>
                <w:color w:val="auto"/>
                <w:sz w:val="21"/>
                <w:szCs w:val="21"/>
                <w:highlight w:val="none"/>
                <w:lang w:val="en-US" w:eastAsia="zh-CN"/>
              </w:rPr>
              <w:t>8</w:t>
            </w:r>
            <w:r>
              <w:rPr>
                <w:color w:val="auto"/>
                <w:sz w:val="21"/>
                <w:szCs w:val="21"/>
                <w:highlight w:val="none"/>
              </w:rPr>
              <w:t>mg/L、</w:t>
            </w:r>
            <w:r>
              <w:rPr>
                <w:rFonts w:hint="eastAsia" w:ascii="Times New Roman" w:eastAsia="宋体"/>
                <w:color w:val="auto"/>
                <w:sz w:val="21"/>
                <w:szCs w:val="21"/>
                <w:highlight w:val="none"/>
                <w:lang w:val="en-US" w:eastAsia="zh-CN"/>
              </w:rPr>
              <w:t xml:space="preserve">TN </w:t>
            </w:r>
            <w:r>
              <w:rPr>
                <w:rFonts w:hint="eastAsia"/>
                <w:color w:val="auto"/>
                <w:sz w:val="21"/>
                <w:szCs w:val="21"/>
                <w:highlight w:val="none"/>
                <w:lang w:val="en-US" w:eastAsia="zh-CN"/>
              </w:rPr>
              <w:t>7</w:t>
            </w:r>
            <w:r>
              <w:rPr>
                <w:rFonts w:hint="eastAsia" w:ascii="Times New Roman" w:eastAsia="宋体"/>
                <w:color w:val="auto"/>
                <w:sz w:val="21"/>
                <w:szCs w:val="21"/>
                <w:highlight w:val="none"/>
                <w:lang w:val="en-US" w:eastAsia="zh-CN"/>
              </w:rPr>
              <w:t>0</w:t>
            </w:r>
            <w:r>
              <w:rPr>
                <w:color w:val="auto"/>
                <w:sz w:val="21"/>
                <w:szCs w:val="21"/>
                <w:highlight w:val="none"/>
              </w:rPr>
              <w:t>mg/L</w:t>
            </w:r>
            <w:r>
              <w:rPr>
                <w:rFonts w:hint="eastAsia"/>
                <w:color w:val="auto"/>
                <w:sz w:val="21"/>
                <w:szCs w:val="21"/>
                <w:highlight w:val="none"/>
                <w:lang w:eastAsia="zh-CN"/>
              </w:rPr>
              <w:t>、</w:t>
            </w:r>
            <w:r>
              <w:rPr>
                <w:rFonts w:hint="eastAsia"/>
                <w:color w:val="auto"/>
                <w:sz w:val="21"/>
                <w:szCs w:val="21"/>
                <w:highlight w:val="none"/>
                <w:lang w:val="en-US" w:eastAsia="zh-CN"/>
              </w:rPr>
              <w:t>石油类20</w:t>
            </w:r>
            <w:r>
              <w:rPr>
                <w:color w:val="auto"/>
                <w:sz w:val="21"/>
                <w:szCs w:val="21"/>
                <w:highlight w:val="none"/>
              </w:rPr>
              <w:t>mg/L。</w:t>
            </w:r>
          </w:p>
          <w:p w14:paraId="7AFB6D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Ansi="宋体"/>
                <w:color w:val="auto"/>
                <w:sz w:val="21"/>
                <w:szCs w:val="21"/>
                <w:highlight w:val="none"/>
              </w:rPr>
            </w:pPr>
            <w:r>
              <w:rPr>
                <w:rFonts w:hint="eastAsia" w:ascii="Times New Roman" w:hAnsi="Times New Roman" w:eastAsia="宋体" w:cs="Times New Roman"/>
                <w:b w:val="0"/>
                <w:bCs/>
                <w:color w:val="auto"/>
                <w:sz w:val="21"/>
                <w:szCs w:val="21"/>
                <w:highlight w:val="none"/>
                <w:lang w:val="en-US" w:eastAsia="zh-CN"/>
              </w:rPr>
              <w:t>石家庄良村南污水处理厂日处理污水能力为5万吨，目前尚有2万吨余量，本</w:t>
            </w:r>
            <w:r>
              <w:rPr>
                <w:rFonts w:hint="eastAsia" w:cs="Times New Roman"/>
                <w:b w:val="0"/>
                <w:bCs/>
                <w:color w:val="auto"/>
                <w:sz w:val="21"/>
                <w:szCs w:val="21"/>
                <w:highlight w:val="none"/>
                <w:lang w:val="en-US" w:eastAsia="zh-CN"/>
              </w:rPr>
              <w:t>项目</w:t>
            </w:r>
            <w:r>
              <w:rPr>
                <w:rFonts w:hint="eastAsia" w:ascii="Times New Roman" w:hAnsi="Times New Roman" w:eastAsia="宋体" w:cs="Times New Roman"/>
                <w:b w:val="0"/>
                <w:bCs/>
                <w:color w:val="auto"/>
                <w:sz w:val="21"/>
                <w:szCs w:val="21"/>
                <w:highlight w:val="none"/>
                <w:lang w:val="en-US" w:eastAsia="zh-CN"/>
              </w:rPr>
              <w:t>新增废水排放量</w:t>
            </w:r>
            <w:r>
              <w:rPr>
                <w:rFonts w:hint="eastAsia" w:cs="Times New Roman"/>
                <w:b w:val="0"/>
                <w:bCs/>
                <w:color w:val="0000FF"/>
                <w:sz w:val="21"/>
                <w:szCs w:val="21"/>
                <w:highlight w:val="none"/>
                <w:lang w:val="en-US" w:eastAsia="zh-CN"/>
              </w:rPr>
              <w:t>5.49</w:t>
            </w:r>
            <w:r>
              <w:rPr>
                <w:rFonts w:hint="eastAsia" w:cs="Times New Roman"/>
                <w:b w:val="0"/>
                <w:bCs/>
                <w:color w:val="auto"/>
                <w:sz w:val="21"/>
                <w:szCs w:val="21"/>
                <w:highlight w:val="none"/>
                <w:lang w:val="en-US" w:eastAsia="zh-CN"/>
              </w:rPr>
              <w:t>m</w:t>
            </w:r>
            <w:r>
              <w:rPr>
                <w:rFonts w:hint="eastAsia" w:cs="Times New Roman"/>
                <w:b w:val="0"/>
                <w:bCs/>
                <w:color w:val="auto"/>
                <w:sz w:val="21"/>
                <w:szCs w:val="21"/>
                <w:highlight w:val="none"/>
                <w:vertAlign w:val="superscript"/>
                <w:lang w:val="en-US" w:eastAsia="zh-CN"/>
              </w:rPr>
              <w:t>3</w:t>
            </w:r>
            <w:r>
              <w:rPr>
                <w:rFonts w:hint="eastAsia" w:cs="Times New Roman"/>
                <w:b w:val="0"/>
                <w:bCs/>
                <w:color w:val="auto"/>
                <w:sz w:val="21"/>
                <w:szCs w:val="21"/>
                <w:highlight w:val="none"/>
                <w:lang w:val="en-US" w:eastAsia="zh-CN"/>
              </w:rPr>
              <w:t>/d</w:t>
            </w:r>
            <w:r>
              <w:rPr>
                <w:rFonts w:hint="eastAsia" w:ascii="Times New Roman" w:hAnsi="Times New Roman" w:eastAsia="宋体" w:cs="Times New Roman"/>
                <w:b w:val="0"/>
                <w:bCs/>
                <w:color w:val="auto"/>
                <w:sz w:val="21"/>
                <w:szCs w:val="21"/>
                <w:highlight w:val="none"/>
                <w:lang w:val="en-US" w:eastAsia="zh-CN"/>
              </w:rPr>
              <w:t>，</w:t>
            </w:r>
            <w:r>
              <w:rPr>
                <w:rFonts w:hint="eastAsia" w:hAnsi="宋体" w:eastAsia="宋体" w:cs="宋体"/>
                <w:color w:val="auto"/>
                <w:sz w:val="21"/>
                <w:szCs w:val="21"/>
                <w:highlight w:val="none"/>
                <w:lang w:bidi="ar"/>
              </w:rPr>
              <w:t>有能力接纳并处理本项目的排水。</w:t>
            </w:r>
            <w:r>
              <w:rPr>
                <w:rFonts w:hint="eastAsia" w:hAnsi="宋体" w:eastAsia="宋体" w:cs="宋体"/>
                <w:color w:val="auto"/>
                <w:sz w:val="21"/>
                <w:szCs w:val="21"/>
                <w:highlight w:val="none"/>
                <w:lang w:eastAsia="zh-CN" w:bidi="ar"/>
              </w:rPr>
              <w:t>且</w:t>
            </w:r>
            <w:r>
              <w:rPr>
                <w:rFonts w:hint="eastAsia" w:hAnsi="宋体" w:eastAsia="宋体" w:cs="宋体"/>
                <w:color w:val="auto"/>
                <w:sz w:val="21"/>
                <w:szCs w:val="21"/>
                <w:highlight w:val="none"/>
                <w:lang w:bidi="ar"/>
              </w:rPr>
              <w:t>项目废水经</w:t>
            </w:r>
            <w:r>
              <w:rPr>
                <w:rFonts w:hint="eastAsia" w:hAnsi="宋体" w:cs="宋体"/>
                <w:color w:val="auto"/>
                <w:sz w:val="21"/>
                <w:szCs w:val="21"/>
                <w:highlight w:val="none"/>
                <w:lang w:eastAsia="zh-CN" w:bidi="ar"/>
              </w:rPr>
              <w:t>厂综合污水处理站</w:t>
            </w:r>
            <w:r>
              <w:rPr>
                <w:rFonts w:hint="eastAsia" w:hAnsi="宋体" w:eastAsia="宋体" w:cs="宋体"/>
                <w:color w:val="auto"/>
                <w:sz w:val="21"/>
                <w:szCs w:val="21"/>
                <w:highlight w:val="none"/>
                <w:lang w:bidi="ar"/>
              </w:rPr>
              <w:t>处理后，经园区污水管网排入</w:t>
            </w:r>
            <w:r>
              <w:rPr>
                <w:rFonts w:hint="eastAsia" w:hAnsi="宋体" w:cs="宋体"/>
                <w:color w:val="auto"/>
                <w:sz w:val="21"/>
                <w:szCs w:val="21"/>
                <w:highlight w:val="none"/>
                <w:lang w:eastAsia="zh-CN" w:bidi="ar"/>
              </w:rPr>
              <w:t>石家庄高新区循化环境水务有限公司（良村南污水处理厂）</w:t>
            </w:r>
            <w:r>
              <w:rPr>
                <w:rFonts w:hint="eastAsia" w:hAnsi="宋体" w:eastAsia="宋体" w:cs="宋体"/>
                <w:color w:val="auto"/>
                <w:sz w:val="21"/>
                <w:szCs w:val="21"/>
                <w:highlight w:val="none"/>
                <w:lang w:bidi="ar"/>
              </w:rPr>
              <w:t>进一步处理，不会对其正常运行造成影响。</w:t>
            </w:r>
          </w:p>
          <w:p w14:paraId="7C99E53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eastAsia="宋体" w:cs="宋体"/>
                <w:color w:val="auto"/>
                <w:sz w:val="21"/>
                <w:szCs w:val="21"/>
                <w:highlight w:val="none"/>
                <w:lang w:bidi="ar"/>
              </w:rPr>
            </w:pPr>
            <w:r>
              <w:rPr>
                <w:rFonts w:hint="eastAsia" w:hAnsi="宋体" w:eastAsia="宋体" w:cs="宋体"/>
                <w:color w:val="auto"/>
                <w:sz w:val="21"/>
                <w:szCs w:val="21"/>
                <w:highlight w:val="none"/>
                <w:lang w:val="en-US" w:eastAsia="zh-CN" w:bidi="ar"/>
              </w:rPr>
              <w:t>3、</w:t>
            </w:r>
            <w:r>
              <w:rPr>
                <w:rFonts w:hint="eastAsia" w:hAnsi="宋体" w:eastAsia="宋体" w:cs="宋体"/>
                <w:color w:val="auto"/>
                <w:sz w:val="21"/>
                <w:szCs w:val="21"/>
                <w:highlight w:val="none"/>
                <w:lang w:bidi="ar"/>
              </w:rPr>
              <w:t>废水监测计划</w:t>
            </w:r>
          </w:p>
          <w:p w14:paraId="33F99BCA">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Ansi="宋体"/>
                <w:b/>
                <w:bCs/>
                <w:color w:val="auto"/>
                <w:sz w:val="21"/>
                <w:szCs w:val="21"/>
                <w:highlight w:val="none"/>
              </w:rPr>
            </w:pPr>
            <w:r>
              <w:rPr>
                <w:rFonts w:hint="eastAsia" w:hAnsi="宋体" w:eastAsia="宋体" w:cs="宋体"/>
                <w:color w:val="auto"/>
                <w:sz w:val="21"/>
                <w:szCs w:val="21"/>
                <w:highlight w:val="none"/>
                <w:lang w:bidi="ar"/>
              </w:rPr>
              <w:t>根据</w:t>
            </w:r>
            <w:r>
              <w:rPr>
                <w:rFonts w:hint="eastAsia" w:ascii="Times New Roman" w:hAnsi="Times New Roman" w:eastAsia="宋体" w:cs="Times New Roman"/>
                <w:b w:val="0"/>
                <w:bCs/>
                <w:color w:val="auto"/>
                <w:sz w:val="21"/>
                <w:szCs w:val="21"/>
                <w:highlight w:val="none"/>
                <w:lang w:val="en-US" w:eastAsia="zh-CN"/>
              </w:rPr>
              <w:t>《排污单位自行监测技术指南 总则》（HJ 819-2017）、《排污许可证申请与核发技术规范 食品制造工业-方便食品、食品及饲料添加剂制造工业》（HJ 1030.3-2019）</w:t>
            </w:r>
            <w:r>
              <w:rPr>
                <w:rFonts w:hint="eastAsia" w:hAnsi="宋体" w:eastAsia="宋体" w:cs="宋体"/>
                <w:color w:val="auto"/>
                <w:sz w:val="21"/>
                <w:szCs w:val="21"/>
                <w:highlight w:val="none"/>
                <w:lang w:bidi="ar"/>
              </w:rPr>
              <w:t>中</w:t>
            </w:r>
            <w:r>
              <w:rPr>
                <w:rFonts w:hint="eastAsia" w:hAnsi="宋体" w:eastAsia="宋体" w:cs="宋体"/>
                <w:color w:val="auto"/>
                <w:sz w:val="21"/>
                <w:szCs w:val="21"/>
                <w:highlight w:val="none"/>
                <w:lang w:val="en-US" w:eastAsia="zh-CN" w:bidi="ar"/>
              </w:rPr>
              <w:t>相关</w:t>
            </w:r>
            <w:r>
              <w:rPr>
                <w:rFonts w:hint="eastAsia" w:hAnsi="宋体" w:eastAsia="宋体" w:cs="宋体"/>
                <w:color w:val="auto"/>
                <w:sz w:val="21"/>
                <w:szCs w:val="21"/>
                <w:highlight w:val="none"/>
                <w:lang w:bidi="ar"/>
              </w:rPr>
              <w:t>要求，本项</w:t>
            </w:r>
            <w:r>
              <w:rPr>
                <w:rFonts w:hint="eastAsia" w:hAnsi="宋体" w:eastAsia="宋体" w:cs="宋体"/>
                <w:b w:val="0"/>
                <w:bCs w:val="0"/>
                <w:color w:val="auto"/>
                <w:sz w:val="21"/>
                <w:szCs w:val="21"/>
                <w:highlight w:val="none"/>
                <w:lang w:bidi="ar"/>
              </w:rPr>
              <w:t>目废水污染物排放监测项目及频率见下表。</w:t>
            </w:r>
          </w:p>
          <w:p w14:paraId="30BF8B70">
            <w:pPr>
              <w:keepNext w:val="0"/>
              <w:keepLines w:val="0"/>
              <w:pageBreakBefore w:val="0"/>
              <w:widowControl w:val="0"/>
              <w:kinsoku/>
              <w:wordWrap/>
              <w:overflowPunct/>
              <w:topLinePunct w:val="0"/>
              <w:autoSpaceDE/>
              <w:autoSpaceDN/>
              <w:bidi w:val="0"/>
              <w:adjustRightInd/>
              <w:snapToGrid/>
              <w:spacing w:beforeLines="0" w:beforeAutospacing="0" w:afterLines="0" w:afterAutospacing="0" w:line="360" w:lineRule="auto"/>
              <w:ind w:firstLine="0" w:firstLineChars="0"/>
              <w:jc w:val="center"/>
              <w:textAlignment w:val="baseline"/>
              <w:outlineLvl w:val="1"/>
              <w:rPr>
                <w:rFonts w:hint="default" w:ascii="Times New Roman" w:hAnsi="Times New Roman" w:eastAsia="宋体" w:cs="Times New Roman"/>
                <w:b/>
                <w:bCs w:val="0"/>
                <w:color w:val="auto"/>
                <w:kern w:val="2"/>
                <w:sz w:val="21"/>
                <w:szCs w:val="21"/>
                <w:highlight w:val="none"/>
                <w:lang w:val="en-US" w:eastAsia="zh-CN" w:bidi="ar-SA"/>
              </w:rPr>
            </w:pPr>
            <w:r>
              <w:rPr>
                <w:rFonts w:hint="eastAsia" w:ascii="Times New Roman" w:hAnsi="Times New Roman" w:eastAsia="宋体" w:cs="Times New Roman"/>
                <w:b/>
                <w:bCs w:val="0"/>
                <w:color w:val="auto"/>
                <w:kern w:val="2"/>
                <w:sz w:val="21"/>
                <w:szCs w:val="21"/>
                <w:highlight w:val="none"/>
                <w:lang w:val="en-US" w:eastAsia="zh-CN" w:bidi="ar-SA"/>
              </w:rPr>
              <w:t>表 4-1</w:t>
            </w:r>
            <w:r>
              <w:rPr>
                <w:rFonts w:hint="eastAsia" w:cs="Times New Roman"/>
                <w:b/>
                <w:bCs w:val="0"/>
                <w:color w:val="auto"/>
                <w:kern w:val="2"/>
                <w:sz w:val="21"/>
                <w:szCs w:val="21"/>
                <w:highlight w:val="none"/>
                <w:lang w:val="en-US" w:eastAsia="zh-CN" w:bidi="ar-SA"/>
              </w:rPr>
              <w:t>1</w:t>
            </w:r>
            <w:r>
              <w:rPr>
                <w:rFonts w:hint="eastAsia" w:ascii="Times New Roman" w:hAnsi="Times New Roman" w:eastAsia="宋体" w:cs="Times New Roman"/>
                <w:b/>
                <w:bCs w:val="0"/>
                <w:color w:val="auto"/>
                <w:kern w:val="2"/>
                <w:sz w:val="21"/>
                <w:szCs w:val="21"/>
                <w:highlight w:val="none"/>
                <w:lang w:val="en-US" w:eastAsia="zh-CN" w:bidi="ar-SA"/>
              </w:rPr>
              <w:t xml:space="preserve"> 项目废水污染物排放监测项目及频率</w:t>
            </w:r>
          </w:p>
          <w:tbl>
            <w:tblPr>
              <w:tblStyle w:val="2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2"/>
              <w:gridCol w:w="4065"/>
              <w:gridCol w:w="1956"/>
              <w:gridCol w:w="1626"/>
            </w:tblGrid>
            <w:tr w14:paraId="7EE0D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58" w:type="pct"/>
                  <w:tcBorders>
                    <w:top w:val="single" w:color="auto" w:sz="4" w:space="0"/>
                    <w:left w:val="single" w:color="auto" w:sz="4" w:space="0"/>
                    <w:bottom w:val="single" w:color="auto" w:sz="4" w:space="0"/>
                    <w:right w:val="single" w:color="auto" w:sz="4" w:space="0"/>
                  </w:tcBorders>
                  <w:noWrap w:val="0"/>
                  <w:vAlign w:val="center"/>
                </w:tcPr>
                <w:p w14:paraId="6F56FD1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类别</w:t>
                  </w:r>
                </w:p>
              </w:tc>
              <w:tc>
                <w:tcPr>
                  <w:tcW w:w="2413" w:type="pct"/>
                  <w:tcBorders>
                    <w:top w:val="single" w:color="auto" w:sz="4" w:space="0"/>
                    <w:left w:val="single" w:color="auto" w:sz="4" w:space="0"/>
                    <w:bottom w:val="single" w:color="auto" w:sz="4" w:space="0"/>
                    <w:right w:val="single" w:color="auto" w:sz="4" w:space="0"/>
                  </w:tcBorders>
                  <w:noWrap w:val="0"/>
                  <w:vAlign w:val="center"/>
                </w:tcPr>
                <w:p w14:paraId="0425994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监测项目</w:t>
                  </w:r>
                </w:p>
              </w:tc>
              <w:tc>
                <w:tcPr>
                  <w:tcW w:w="1161" w:type="pct"/>
                  <w:tcBorders>
                    <w:top w:val="single" w:color="auto" w:sz="4" w:space="0"/>
                    <w:left w:val="single" w:color="auto" w:sz="4" w:space="0"/>
                    <w:bottom w:val="single" w:color="auto" w:sz="4" w:space="0"/>
                    <w:right w:val="single" w:color="auto" w:sz="4" w:space="0"/>
                  </w:tcBorders>
                  <w:noWrap w:val="0"/>
                  <w:vAlign w:val="center"/>
                </w:tcPr>
                <w:p w14:paraId="4D4EA16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监测点位</w:t>
                  </w:r>
                </w:p>
              </w:tc>
              <w:tc>
                <w:tcPr>
                  <w:tcW w:w="965" w:type="pct"/>
                  <w:tcBorders>
                    <w:top w:val="single" w:color="auto" w:sz="4" w:space="0"/>
                    <w:left w:val="single" w:color="auto" w:sz="4" w:space="0"/>
                    <w:bottom w:val="single" w:color="auto" w:sz="4" w:space="0"/>
                    <w:right w:val="single" w:color="auto" w:sz="4" w:space="0"/>
                  </w:tcBorders>
                  <w:noWrap w:val="0"/>
                  <w:vAlign w:val="center"/>
                </w:tcPr>
                <w:p w14:paraId="5A4C2A9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监测频率</w:t>
                  </w:r>
                </w:p>
              </w:tc>
            </w:tr>
            <w:tr w14:paraId="5E00D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8" w:type="pct"/>
                  <w:vMerge w:val="restart"/>
                  <w:tcBorders>
                    <w:top w:val="single" w:color="auto" w:sz="4" w:space="0"/>
                    <w:left w:val="single" w:color="auto" w:sz="4" w:space="0"/>
                    <w:right w:val="single" w:color="auto" w:sz="4" w:space="0"/>
                  </w:tcBorders>
                  <w:noWrap w:val="0"/>
                  <w:vAlign w:val="center"/>
                </w:tcPr>
                <w:p w14:paraId="3BB42EC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废水</w:t>
                  </w:r>
                </w:p>
              </w:tc>
              <w:tc>
                <w:tcPr>
                  <w:tcW w:w="2413" w:type="pct"/>
                  <w:tcBorders>
                    <w:top w:val="single" w:color="auto" w:sz="4" w:space="0"/>
                    <w:left w:val="single" w:color="auto" w:sz="4" w:space="0"/>
                    <w:bottom w:val="single" w:color="auto" w:sz="4" w:space="0"/>
                    <w:right w:val="single" w:color="auto" w:sz="4" w:space="0"/>
                  </w:tcBorders>
                  <w:noWrap w:val="0"/>
                  <w:vAlign w:val="center"/>
                </w:tcPr>
                <w:p w14:paraId="7979D3A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流量、</w:t>
                  </w:r>
                  <w:r>
                    <w:rPr>
                      <w:rFonts w:eastAsia="宋体"/>
                      <w:bCs/>
                      <w:color w:val="auto"/>
                      <w:sz w:val="21"/>
                      <w:szCs w:val="21"/>
                      <w:highlight w:val="none"/>
                      <w:lang w:bidi="ar"/>
                    </w:rPr>
                    <w:t>pH</w:t>
                  </w:r>
                  <w:r>
                    <w:rPr>
                      <w:rFonts w:hint="eastAsia" w:eastAsia="宋体" w:cs="宋体"/>
                      <w:bCs/>
                      <w:color w:val="auto"/>
                      <w:sz w:val="21"/>
                      <w:szCs w:val="21"/>
                      <w:highlight w:val="none"/>
                      <w:lang w:bidi="ar"/>
                    </w:rPr>
                    <w:t>值、化学需氧量、氨氮</w:t>
                  </w:r>
                </w:p>
              </w:tc>
              <w:tc>
                <w:tcPr>
                  <w:tcW w:w="1161" w:type="pct"/>
                  <w:vMerge w:val="restart"/>
                  <w:tcBorders>
                    <w:top w:val="single" w:color="auto" w:sz="4" w:space="0"/>
                    <w:left w:val="single" w:color="auto" w:sz="4" w:space="0"/>
                    <w:right w:val="single" w:color="auto" w:sz="4" w:space="0"/>
                  </w:tcBorders>
                  <w:noWrap w:val="0"/>
                  <w:vAlign w:val="center"/>
                </w:tcPr>
                <w:p w14:paraId="72B8A7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bCs/>
                      <w:color w:val="auto"/>
                      <w:sz w:val="21"/>
                      <w:szCs w:val="21"/>
                      <w:highlight w:val="none"/>
                      <w:lang w:eastAsia="zh-CN"/>
                    </w:rPr>
                  </w:pPr>
                  <w:r>
                    <w:rPr>
                      <w:rFonts w:hint="eastAsia" w:cs="宋体"/>
                      <w:bCs/>
                      <w:color w:val="auto"/>
                      <w:sz w:val="21"/>
                      <w:szCs w:val="21"/>
                      <w:highlight w:val="none"/>
                      <w:lang w:eastAsia="zh-CN" w:bidi="ar"/>
                    </w:rPr>
                    <w:t>污水处理站进、出口</w:t>
                  </w:r>
                </w:p>
              </w:tc>
              <w:tc>
                <w:tcPr>
                  <w:tcW w:w="965" w:type="pct"/>
                  <w:tcBorders>
                    <w:top w:val="single" w:color="auto" w:sz="4" w:space="0"/>
                    <w:left w:val="single" w:color="auto" w:sz="4" w:space="0"/>
                    <w:bottom w:val="single" w:color="auto" w:sz="4" w:space="0"/>
                    <w:right w:val="single" w:color="auto" w:sz="4" w:space="0"/>
                  </w:tcBorders>
                  <w:noWrap w:val="0"/>
                  <w:vAlign w:val="center"/>
                </w:tcPr>
                <w:p w14:paraId="188B245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bCs/>
                      <w:color w:val="auto"/>
                      <w:sz w:val="21"/>
                      <w:szCs w:val="21"/>
                      <w:highlight w:val="none"/>
                      <w:lang w:eastAsia="zh-CN"/>
                    </w:rPr>
                  </w:pPr>
                  <w:r>
                    <w:rPr>
                      <w:rFonts w:hint="eastAsia" w:cs="宋体"/>
                      <w:bCs/>
                      <w:color w:val="auto"/>
                      <w:sz w:val="21"/>
                      <w:szCs w:val="21"/>
                      <w:highlight w:val="none"/>
                      <w:lang w:eastAsia="zh-CN" w:bidi="ar"/>
                    </w:rPr>
                    <w:t>自动监测</w:t>
                  </w:r>
                </w:p>
              </w:tc>
            </w:tr>
            <w:tr w14:paraId="528DC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8" w:type="pct"/>
                  <w:vMerge w:val="continue"/>
                  <w:tcBorders>
                    <w:left w:val="single" w:color="auto" w:sz="4" w:space="0"/>
                    <w:right w:val="single" w:color="auto" w:sz="4" w:space="0"/>
                  </w:tcBorders>
                  <w:noWrap w:val="0"/>
                  <w:vAlign w:val="center"/>
                </w:tcPr>
                <w:p w14:paraId="05B10AEC">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2413" w:type="pct"/>
                  <w:tcBorders>
                    <w:top w:val="single" w:color="auto" w:sz="4" w:space="0"/>
                    <w:left w:val="single" w:color="auto" w:sz="4" w:space="0"/>
                    <w:bottom w:val="single" w:color="auto" w:sz="4" w:space="0"/>
                    <w:right w:val="single" w:color="auto" w:sz="4" w:space="0"/>
                  </w:tcBorders>
                  <w:noWrap w:val="0"/>
                  <w:vAlign w:val="center"/>
                </w:tcPr>
                <w:p w14:paraId="0CDE427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rFonts w:hint="eastAsia" w:eastAsia="宋体" w:cs="宋体"/>
                      <w:bCs/>
                      <w:color w:val="auto"/>
                      <w:sz w:val="21"/>
                      <w:szCs w:val="21"/>
                      <w:highlight w:val="none"/>
                      <w:lang w:bidi="ar"/>
                    </w:rPr>
                    <w:t>总氮、悬浮物</w:t>
                  </w:r>
                </w:p>
              </w:tc>
              <w:tc>
                <w:tcPr>
                  <w:tcW w:w="1161" w:type="pct"/>
                  <w:vMerge w:val="continue"/>
                  <w:tcBorders>
                    <w:left w:val="single" w:color="auto" w:sz="4" w:space="0"/>
                    <w:right w:val="single" w:color="auto" w:sz="4" w:space="0"/>
                  </w:tcBorders>
                  <w:noWrap w:val="0"/>
                  <w:vAlign w:val="center"/>
                </w:tcPr>
                <w:p w14:paraId="617824ED">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965" w:type="pct"/>
                  <w:tcBorders>
                    <w:top w:val="single" w:color="auto" w:sz="4" w:space="0"/>
                    <w:left w:val="single" w:color="auto" w:sz="4" w:space="0"/>
                    <w:bottom w:val="single" w:color="auto" w:sz="4" w:space="0"/>
                    <w:right w:val="single" w:color="auto" w:sz="4" w:space="0"/>
                  </w:tcBorders>
                  <w:noWrap w:val="0"/>
                  <w:vAlign w:val="center"/>
                </w:tcPr>
                <w:p w14:paraId="6358037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eastAsia="宋体"/>
                      <w:bCs/>
                      <w:color w:val="auto"/>
                      <w:sz w:val="21"/>
                      <w:szCs w:val="21"/>
                      <w:highlight w:val="none"/>
                    </w:rPr>
                  </w:pPr>
                  <w:r>
                    <w:rPr>
                      <w:rFonts w:hint="eastAsia" w:eastAsia="宋体" w:cs="宋体"/>
                      <w:bCs/>
                      <w:color w:val="auto"/>
                      <w:sz w:val="21"/>
                      <w:szCs w:val="21"/>
                      <w:highlight w:val="none"/>
                      <w:lang w:bidi="ar"/>
                    </w:rPr>
                    <w:t>1次/</w:t>
                  </w:r>
                  <w:r>
                    <w:rPr>
                      <w:rFonts w:hint="eastAsia" w:cs="宋体"/>
                      <w:bCs/>
                      <w:color w:val="auto"/>
                      <w:sz w:val="21"/>
                      <w:szCs w:val="21"/>
                      <w:highlight w:val="none"/>
                      <w:lang w:eastAsia="zh-CN" w:bidi="ar"/>
                    </w:rPr>
                    <w:t>月</w:t>
                  </w:r>
                </w:p>
              </w:tc>
            </w:tr>
            <w:tr w14:paraId="39ED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8" w:type="pct"/>
                  <w:vMerge w:val="continue"/>
                  <w:tcBorders>
                    <w:left w:val="single" w:color="auto" w:sz="4" w:space="0"/>
                    <w:right w:val="single" w:color="auto" w:sz="4" w:space="0"/>
                  </w:tcBorders>
                  <w:noWrap w:val="0"/>
                  <w:vAlign w:val="center"/>
                </w:tcPr>
                <w:p w14:paraId="2BA5C74A">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2413" w:type="pct"/>
                  <w:tcBorders>
                    <w:top w:val="single" w:color="auto" w:sz="4" w:space="0"/>
                    <w:left w:val="single" w:color="auto" w:sz="4" w:space="0"/>
                    <w:bottom w:val="single" w:color="auto" w:sz="4" w:space="0"/>
                    <w:right w:val="single" w:color="auto" w:sz="4" w:space="0"/>
                  </w:tcBorders>
                  <w:noWrap w:val="0"/>
                  <w:vAlign w:val="center"/>
                </w:tcPr>
                <w:p w14:paraId="31AC0C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cs="宋体"/>
                      <w:bCs/>
                      <w:color w:val="auto"/>
                      <w:sz w:val="21"/>
                      <w:szCs w:val="21"/>
                      <w:highlight w:val="none"/>
                      <w:lang w:val="en-US" w:eastAsia="zh-CN" w:bidi="ar"/>
                    </w:rPr>
                  </w:pPr>
                  <w:r>
                    <w:rPr>
                      <w:rFonts w:hint="eastAsia" w:eastAsia="宋体" w:cs="宋体"/>
                      <w:bCs/>
                      <w:color w:val="auto"/>
                      <w:sz w:val="21"/>
                      <w:szCs w:val="21"/>
                      <w:highlight w:val="none"/>
                      <w:lang w:bidi="ar"/>
                    </w:rPr>
                    <w:t>五日生化需氧量</w:t>
                  </w:r>
                </w:p>
              </w:tc>
              <w:tc>
                <w:tcPr>
                  <w:tcW w:w="1161" w:type="pct"/>
                  <w:vMerge w:val="continue"/>
                  <w:tcBorders>
                    <w:left w:val="single" w:color="auto" w:sz="4" w:space="0"/>
                    <w:right w:val="single" w:color="auto" w:sz="4" w:space="0"/>
                  </w:tcBorders>
                  <w:noWrap w:val="0"/>
                  <w:vAlign w:val="center"/>
                </w:tcPr>
                <w:p w14:paraId="69B09C5A">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sz w:val="21"/>
                      <w:szCs w:val="21"/>
                      <w:highlight w:val="none"/>
                    </w:rPr>
                  </w:pPr>
                </w:p>
              </w:tc>
              <w:tc>
                <w:tcPr>
                  <w:tcW w:w="965" w:type="pct"/>
                  <w:tcBorders>
                    <w:top w:val="single" w:color="auto" w:sz="4" w:space="0"/>
                    <w:left w:val="single" w:color="auto" w:sz="4" w:space="0"/>
                    <w:bottom w:val="single" w:color="auto" w:sz="4" w:space="0"/>
                    <w:right w:val="single" w:color="auto" w:sz="4" w:space="0"/>
                  </w:tcBorders>
                  <w:noWrap w:val="0"/>
                  <w:vAlign w:val="center"/>
                </w:tcPr>
                <w:p w14:paraId="5A4C451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cs="宋体"/>
                      <w:bCs/>
                      <w:color w:val="auto"/>
                      <w:sz w:val="21"/>
                      <w:szCs w:val="21"/>
                      <w:highlight w:val="none"/>
                      <w:lang w:val="en-US" w:eastAsia="zh-CN" w:bidi="ar"/>
                    </w:rPr>
                  </w:pPr>
                  <w:r>
                    <w:rPr>
                      <w:rFonts w:hint="eastAsia" w:cs="宋体"/>
                      <w:bCs/>
                      <w:color w:val="auto"/>
                      <w:sz w:val="21"/>
                      <w:szCs w:val="21"/>
                      <w:highlight w:val="none"/>
                      <w:lang w:val="en-US" w:eastAsia="zh-CN" w:bidi="ar"/>
                    </w:rPr>
                    <w:t>1次/季</w:t>
                  </w:r>
                </w:p>
              </w:tc>
            </w:tr>
          </w:tbl>
          <w:p w14:paraId="7CF16344">
            <w:pPr>
              <w:keepNext w:val="0"/>
              <w:keepLines w:val="0"/>
              <w:widowControl w:val="0"/>
              <w:kinsoku/>
              <w:autoSpaceDE/>
              <w:autoSpaceDN/>
              <w:bidi w:val="0"/>
              <w:adjustRightInd/>
              <w:snapToGrid/>
              <w:spacing w:beforeLines="0" w:beforeAutospacing="0" w:afterLines="0" w:afterAutospacing="0" w:line="360" w:lineRule="auto"/>
              <w:ind w:firstLine="422" w:firstLineChars="200"/>
              <w:jc w:val="both"/>
              <w:outlineLvl w:val="1"/>
              <w:rPr>
                <w:rFonts w:hint="default" w:ascii="Times New Roman" w:hAnsi="Times New Roman" w:eastAsia="宋体" w:cs="Times New Roman"/>
                <w:b/>
                <w:bCs/>
                <w:color w:val="auto"/>
                <w:kern w:val="2"/>
                <w:sz w:val="21"/>
                <w:szCs w:val="21"/>
                <w:highlight w:val="none"/>
                <w:lang w:val="en-US" w:eastAsia="zh-CN" w:bidi="ar-SA"/>
              </w:rPr>
            </w:pPr>
            <w:r>
              <w:rPr>
                <w:rFonts w:hint="default" w:ascii="Times New Roman" w:hAnsi="Times New Roman" w:eastAsia="宋体" w:cs="Times New Roman"/>
                <w:b/>
                <w:bCs/>
                <w:color w:val="auto"/>
                <w:kern w:val="2"/>
                <w:sz w:val="21"/>
                <w:szCs w:val="21"/>
                <w:highlight w:val="none"/>
                <w:lang w:val="en-US" w:eastAsia="zh-CN" w:bidi="ar-SA"/>
              </w:rPr>
              <w:t>（三）噪声</w:t>
            </w:r>
          </w:p>
          <w:p w14:paraId="0A2412CA">
            <w:pPr>
              <w:keepNext w:val="0"/>
              <w:keepLines w:val="0"/>
              <w:widowControl w:val="0"/>
              <w:kinsoku/>
              <w:autoSpaceDE/>
              <w:autoSpaceDN/>
              <w:bidi w:val="0"/>
              <w:adjustRightInd/>
              <w:snapToGrid/>
              <w:spacing w:beforeLines="0" w:beforeAutospacing="0" w:afterLines="0" w:afterAutospacing="0" w:line="360" w:lineRule="auto"/>
              <w:ind w:firstLine="420" w:firstLineChars="200"/>
              <w:jc w:val="both"/>
              <w:outlineLvl w:val="1"/>
              <w:rPr>
                <w:rFonts w:hint="default" w:ascii="Times New Roman" w:hAnsi="Times New Roman" w:eastAsia="宋体" w:cs="Times New Roman"/>
                <w:b w:val="0"/>
                <w:bCs w:val="0"/>
                <w:color w:val="auto"/>
                <w:kern w:val="2"/>
                <w:sz w:val="21"/>
                <w:szCs w:val="21"/>
                <w:highlight w:val="none"/>
                <w:lang w:val="en-US" w:eastAsia="zh-CN" w:bidi="ar-SA"/>
              </w:rPr>
            </w:pPr>
            <w:r>
              <w:rPr>
                <w:rFonts w:hint="default" w:ascii="Times New Roman" w:hAnsi="Times New Roman" w:eastAsia="宋体" w:cs="Times New Roman"/>
                <w:b w:val="0"/>
                <w:bCs w:val="0"/>
                <w:color w:val="auto"/>
                <w:kern w:val="2"/>
                <w:sz w:val="21"/>
                <w:szCs w:val="21"/>
                <w:highlight w:val="none"/>
                <w:lang w:val="en-US" w:eastAsia="zh-CN" w:bidi="ar-SA"/>
              </w:rPr>
              <w:t>1、噪声源强分析</w:t>
            </w:r>
          </w:p>
          <w:p w14:paraId="3D0B4E74">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本项目运营期噪声源主要为生产设备运行过程中</w:t>
            </w:r>
            <w:r>
              <w:rPr>
                <w:rFonts w:hint="eastAsia" w:cs="Times New Roman"/>
                <w:b w:val="0"/>
                <w:bCs/>
                <w:color w:val="auto"/>
                <w:sz w:val="21"/>
                <w:szCs w:val="21"/>
                <w:highlight w:val="none"/>
                <w:lang w:val="en-US" w:eastAsia="zh-CN"/>
              </w:rPr>
              <w:t>产生的噪声</w:t>
            </w:r>
            <w:r>
              <w:rPr>
                <w:rFonts w:hint="default" w:ascii="Times New Roman" w:hAnsi="Times New Roman" w:eastAsia="宋体" w:cs="Times New Roman"/>
                <w:b w:val="0"/>
                <w:bCs/>
                <w:color w:val="auto"/>
                <w:sz w:val="21"/>
                <w:szCs w:val="21"/>
                <w:highlight w:val="none"/>
                <w:lang w:val="en-US" w:eastAsia="zh-CN"/>
              </w:rPr>
              <w:t>，针对室内噪声源采用选用低噪声设备、墙体隔音等防治措施，室外风机设置隔声罩，采取以上相关措施后，约降噪</w:t>
            </w:r>
            <w:r>
              <w:rPr>
                <w:rFonts w:hint="eastAsia" w:cs="Times New Roman"/>
                <w:b w:val="0"/>
                <w:bCs/>
                <w:color w:val="auto"/>
                <w:sz w:val="21"/>
                <w:szCs w:val="21"/>
                <w:highlight w:val="none"/>
                <w:lang w:val="en-US" w:eastAsia="zh-CN"/>
              </w:rPr>
              <w:t>15-20</w:t>
            </w:r>
            <w:r>
              <w:rPr>
                <w:rFonts w:hint="default" w:ascii="Times New Roman" w:hAnsi="Times New Roman" w:eastAsia="宋体" w:cs="Times New Roman"/>
                <w:b w:val="0"/>
                <w:bCs/>
                <w:color w:val="auto"/>
                <w:sz w:val="21"/>
                <w:szCs w:val="21"/>
                <w:highlight w:val="none"/>
                <w:lang w:val="en-US" w:eastAsia="zh-CN"/>
              </w:rPr>
              <w:t>dB（A）。根据所提供的参数及类比调查的结果，以厂区</w:t>
            </w:r>
            <w:r>
              <w:rPr>
                <w:rFonts w:hint="eastAsia" w:cs="Times New Roman"/>
                <w:b w:val="0"/>
                <w:bCs/>
                <w:color w:val="auto"/>
                <w:sz w:val="21"/>
                <w:szCs w:val="21"/>
                <w:highlight w:val="none"/>
                <w:lang w:val="en-US" w:eastAsia="zh-CN"/>
              </w:rPr>
              <w:t>西南角</w:t>
            </w:r>
            <w:r>
              <w:rPr>
                <w:rFonts w:hint="default" w:ascii="Times New Roman" w:hAnsi="Times New Roman" w:eastAsia="宋体" w:cs="Times New Roman"/>
                <w:b w:val="0"/>
                <w:bCs/>
                <w:color w:val="auto"/>
                <w:sz w:val="21"/>
                <w:szCs w:val="21"/>
                <w:highlight w:val="none"/>
                <w:lang w:val="en-US" w:eastAsia="zh-CN"/>
              </w:rPr>
              <w:t>为坐标原点，</w:t>
            </w:r>
            <w:r>
              <w:rPr>
                <w:rFonts w:hint="eastAsia" w:cs="Times New Roman"/>
                <w:b w:val="0"/>
                <w:bCs/>
                <w:color w:val="auto"/>
                <w:sz w:val="21"/>
                <w:szCs w:val="21"/>
                <w:highlight w:val="none"/>
                <w:lang w:val="en-US" w:eastAsia="zh-CN"/>
              </w:rPr>
              <w:t>项目</w:t>
            </w:r>
            <w:r>
              <w:rPr>
                <w:rFonts w:hint="default" w:ascii="Times New Roman" w:hAnsi="Times New Roman" w:eastAsia="宋体" w:cs="Times New Roman"/>
                <w:b w:val="0"/>
                <w:bCs/>
                <w:color w:val="auto"/>
                <w:sz w:val="21"/>
                <w:szCs w:val="21"/>
                <w:highlight w:val="none"/>
                <w:lang w:val="en-US" w:eastAsia="zh-CN"/>
              </w:rPr>
              <w:t>噪声源噪声参数见表4-</w:t>
            </w:r>
            <w:r>
              <w:rPr>
                <w:rFonts w:hint="eastAsia" w:cs="Times New Roman"/>
                <w:b w:val="0"/>
                <w:bCs/>
                <w:color w:val="auto"/>
                <w:sz w:val="21"/>
                <w:szCs w:val="21"/>
                <w:highlight w:val="none"/>
                <w:lang w:val="en-US" w:eastAsia="zh-CN"/>
              </w:rPr>
              <w:t>12、表4-13</w:t>
            </w:r>
            <w:r>
              <w:rPr>
                <w:rFonts w:hint="default" w:ascii="Times New Roman" w:hAnsi="Times New Roman" w:eastAsia="宋体" w:cs="Times New Roman"/>
                <w:b w:val="0"/>
                <w:bCs/>
                <w:color w:val="auto"/>
                <w:sz w:val="21"/>
                <w:szCs w:val="21"/>
                <w:highlight w:val="none"/>
                <w:lang w:val="en-US" w:eastAsia="zh-CN"/>
              </w:rPr>
              <w:t>。本项目噪声主要为各种泵类设备在运行中产生的噪声，声级值在</w:t>
            </w:r>
            <w:r>
              <w:rPr>
                <w:rFonts w:hint="eastAsia" w:cs="Times New Roman"/>
                <w:b w:val="0"/>
                <w:bCs/>
                <w:color w:val="auto"/>
                <w:sz w:val="21"/>
                <w:szCs w:val="21"/>
                <w:highlight w:val="none"/>
                <w:lang w:val="en-US" w:eastAsia="zh-CN"/>
              </w:rPr>
              <w:t>75</w:t>
            </w:r>
            <w:r>
              <w:rPr>
                <w:rFonts w:hint="default" w:ascii="Times New Roman" w:hAnsi="Times New Roman" w:eastAsia="宋体" w:cs="Times New Roman"/>
                <w:b w:val="0"/>
                <w:bCs/>
                <w:color w:val="auto"/>
                <w:sz w:val="21"/>
                <w:szCs w:val="21"/>
                <w:highlight w:val="none"/>
                <w:lang w:val="en-US" w:eastAsia="zh-CN"/>
              </w:rPr>
              <w:t>~</w:t>
            </w:r>
            <w:r>
              <w:rPr>
                <w:rFonts w:hint="eastAsia" w:cs="Times New Roman"/>
                <w:b w:val="0"/>
                <w:bCs/>
                <w:color w:val="auto"/>
                <w:sz w:val="21"/>
                <w:szCs w:val="21"/>
                <w:highlight w:val="none"/>
                <w:lang w:val="en-US" w:eastAsia="zh-CN"/>
              </w:rPr>
              <w:t>90</w:t>
            </w:r>
            <w:r>
              <w:rPr>
                <w:rFonts w:hint="default" w:ascii="Times New Roman" w:hAnsi="Times New Roman" w:eastAsia="宋体" w:cs="Times New Roman"/>
                <w:b w:val="0"/>
                <w:bCs/>
                <w:color w:val="auto"/>
                <w:sz w:val="21"/>
                <w:szCs w:val="21"/>
                <w:highlight w:val="none"/>
                <w:lang w:val="en-US" w:eastAsia="zh-CN"/>
              </w:rPr>
              <w:t>dB（A）之间。项目通过选用低噪声设备，并通过基础减振、厂房隔声、定期检修等措施保证设备正常运行，控制不正常高噪声产生，降低噪声对周围声环境的影响。主要噪声源及治理措施见下表。</w:t>
            </w:r>
          </w:p>
          <w:p w14:paraId="5499CC99">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4-</w:t>
            </w:r>
            <w:r>
              <w:rPr>
                <w:rFonts w:hint="eastAsia" w:cs="Times New Roman"/>
                <w:b/>
                <w:bCs w:val="0"/>
                <w:color w:val="auto"/>
                <w:sz w:val="21"/>
                <w:szCs w:val="21"/>
                <w:highlight w:val="none"/>
                <w:lang w:val="en-US" w:eastAsia="zh-CN"/>
              </w:rPr>
              <w:t xml:space="preserve">12 </w:t>
            </w:r>
            <w:r>
              <w:rPr>
                <w:rFonts w:hint="default" w:ascii="Times New Roman" w:hAnsi="Times New Roman" w:eastAsia="宋体" w:cs="Times New Roman"/>
                <w:b/>
                <w:bCs w:val="0"/>
                <w:color w:val="auto"/>
                <w:sz w:val="21"/>
                <w:szCs w:val="21"/>
                <w:highlight w:val="none"/>
                <w:lang w:val="en-US" w:eastAsia="zh-CN"/>
              </w:rPr>
              <w:t>本项目</w:t>
            </w:r>
            <w:r>
              <w:rPr>
                <w:rFonts w:hint="eastAsia" w:cs="Times New Roman"/>
                <w:b/>
                <w:bCs w:val="0"/>
                <w:color w:val="auto"/>
                <w:sz w:val="21"/>
                <w:szCs w:val="21"/>
                <w:highlight w:val="none"/>
                <w:lang w:val="en-US" w:eastAsia="zh-CN"/>
              </w:rPr>
              <w:t>新增</w:t>
            </w:r>
            <w:r>
              <w:rPr>
                <w:rFonts w:hint="default" w:ascii="Times New Roman" w:hAnsi="Times New Roman" w:eastAsia="宋体" w:cs="Times New Roman"/>
                <w:b/>
                <w:bCs w:val="0"/>
                <w:color w:val="auto"/>
                <w:sz w:val="21"/>
                <w:szCs w:val="21"/>
                <w:highlight w:val="none"/>
                <w:lang w:val="en-US" w:eastAsia="zh-CN"/>
              </w:rPr>
              <w:t>室内噪声源参数一览表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57"/>
              <w:gridCol w:w="530"/>
              <w:gridCol w:w="626"/>
              <w:gridCol w:w="594"/>
              <w:gridCol w:w="428"/>
              <w:gridCol w:w="1307"/>
              <w:gridCol w:w="697"/>
              <w:gridCol w:w="697"/>
              <w:gridCol w:w="558"/>
              <w:gridCol w:w="776"/>
              <w:gridCol w:w="744"/>
              <w:gridCol w:w="1208"/>
            </w:tblGrid>
            <w:tr w14:paraId="36BB9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vMerge w:val="restart"/>
                  <w:tcBorders>
                    <w:tl2br w:val="nil"/>
                    <w:tr2bl w:val="nil"/>
                  </w:tcBorders>
                  <w:noWrap w:val="0"/>
                  <w:vAlign w:val="center"/>
                </w:tcPr>
                <w:p w14:paraId="6AC6C77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序号</w:t>
                  </w:r>
                </w:p>
              </w:tc>
              <w:tc>
                <w:tcPr>
                  <w:tcW w:w="314" w:type="pct"/>
                  <w:vMerge w:val="restart"/>
                  <w:tcBorders>
                    <w:tl2br w:val="nil"/>
                    <w:tr2bl w:val="nil"/>
                  </w:tcBorders>
                  <w:noWrap w:val="0"/>
                  <w:vAlign w:val="center"/>
                </w:tcPr>
                <w:p w14:paraId="11C980F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污染源名称</w:t>
                  </w:r>
                </w:p>
              </w:tc>
              <w:tc>
                <w:tcPr>
                  <w:tcW w:w="371" w:type="pct"/>
                  <w:vMerge w:val="restart"/>
                  <w:tcBorders>
                    <w:tl2br w:val="nil"/>
                    <w:tr2bl w:val="nil"/>
                  </w:tcBorders>
                  <w:noWrap w:val="0"/>
                  <w:vAlign w:val="center"/>
                </w:tcPr>
                <w:p w14:paraId="4ECC478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数量</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台</w:t>
                  </w:r>
                  <w:r>
                    <w:rPr>
                      <w:rFonts w:hint="eastAsia" w:cs="Times New Roman"/>
                      <w:color w:val="auto"/>
                      <w:spacing w:val="-10"/>
                      <w:sz w:val="21"/>
                      <w:szCs w:val="21"/>
                      <w:highlight w:val="none"/>
                      <w:lang w:eastAsia="zh-CN"/>
                    </w:rPr>
                    <w:t>）</w:t>
                  </w:r>
                </w:p>
              </w:tc>
              <w:tc>
                <w:tcPr>
                  <w:tcW w:w="352" w:type="pct"/>
                  <w:vMerge w:val="restart"/>
                  <w:tcBorders>
                    <w:tl2br w:val="nil"/>
                    <w:tr2bl w:val="nil"/>
                  </w:tcBorders>
                  <w:noWrap w:val="0"/>
                  <w:vAlign w:val="center"/>
                </w:tcPr>
                <w:p w14:paraId="5AC8AE5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源强dB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254" w:type="pct"/>
                  <w:vMerge w:val="restart"/>
                  <w:tcBorders>
                    <w:tl2br w:val="nil"/>
                    <w:tr2bl w:val="nil"/>
                  </w:tcBorders>
                  <w:noWrap w:val="0"/>
                  <w:vAlign w:val="center"/>
                </w:tcPr>
                <w:p w14:paraId="0A7366B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治理措施</w:t>
                  </w:r>
                </w:p>
              </w:tc>
              <w:tc>
                <w:tcPr>
                  <w:tcW w:w="775" w:type="pct"/>
                  <w:vMerge w:val="restart"/>
                  <w:tcBorders>
                    <w:tl2br w:val="nil"/>
                    <w:tr2bl w:val="nil"/>
                  </w:tcBorders>
                  <w:noWrap w:val="0"/>
                  <w:vAlign w:val="center"/>
                </w:tcPr>
                <w:p w14:paraId="56220CC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空间相对位置/m</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x，y，z</w:t>
                  </w:r>
                  <w:r>
                    <w:rPr>
                      <w:rFonts w:hint="eastAsia" w:cs="Times New Roman"/>
                      <w:color w:val="auto"/>
                      <w:spacing w:val="-10"/>
                      <w:sz w:val="21"/>
                      <w:szCs w:val="21"/>
                      <w:highlight w:val="none"/>
                      <w:lang w:eastAsia="zh-CN"/>
                    </w:rPr>
                    <w:t>）</w:t>
                  </w:r>
                </w:p>
              </w:tc>
              <w:tc>
                <w:tcPr>
                  <w:tcW w:w="413" w:type="pct"/>
                  <w:vMerge w:val="restart"/>
                  <w:tcBorders>
                    <w:tl2br w:val="nil"/>
                    <w:tr2bl w:val="nil"/>
                  </w:tcBorders>
                  <w:noWrap w:val="0"/>
                  <w:vAlign w:val="center"/>
                </w:tcPr>
                <w:p w14:paraId="64CCF4E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距离室内边界距离/m</w:t>
                  </w:r>
                </w:p>
              </w:tc>
              <w:tc>
                <w:tcPr>
                  <w:tcW w:w="413" w:type="pct"/>
                  <w:vMerge w:val="restart"/>
                  <w:tcBorders>
                    <w:tl2br w:val="nil"/>
                    <w:tr2bl w:val="nil"/>
                  </w:tcBorders>
                  <w:noWrap w:val="0"/>
                  <w:vAlign w:val="center"/>
                </w:tcPr>
                <w:p w14:paraId="48A4A39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室内边界声级/dB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331" w:type="pct"/>
                  <w:vMerge w:val="restart"/>
                  <w:tcBorders>
                    <w:tl2br w:val="nil"/>
                    <w:tr2bl w:val="nil"/>
                  </w:tcBorders>
                  <w:noWrap w:val="0"/>
                  <w:vAlign w:val="center"/>
                </w:tcPr>
                <w:p w14:paraId="757D610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运行时段</w:t>
                  </w:r>
                </w:p>
              </w:tc>
              <w:tc>
                <w:tcPr>
                  <w:tcW w:w="460" w:type="pct"/>
                  <w:vMerge w:val="restart"/>
                  <w:tcBorders>
                    <w:tl2br w:val="nil"/>
                    <w:tr2bl w:val="nil"/>
                  </w:tcBorders>
                  <w:noWrap w:val="0"/>
                  <w:vAlign w:val="center"/>
                </w:tcPr>
                <w:p w14:paraId="074430E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建筑物插入损失/dB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1157" w:type="pct"/>
                  <w:gridSpan w:val="2"/>
                  <w:tcBorders>
                    <w:tl2br w:val="nil"/>
                    <w:tr2bl w:val="nil"/>
                  </w:tcBorders>
                  <w:noWrap w:val="0"/>
                  <w:vAlign w:val="center"/>
                </w:tcPr>
                <w:p w14:paraId="79A582C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建筑物外噪声</w:t>
                  </w:r>
                </w:p>
              </w:tc>
            </w:tr>
            <w:tr w14:paraId="74EBF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vMerge w:val="continue"/>
                  <w:tcBorders>
                    <w:tl2br w:val="nil"/>
                    <w:tr2bl w:val="nil"/>
                  </w:tcBorders>
                  <w:noWrap w:val="0"/>
                  <w:vAlign w:val="center"/>
                </w:tcPr>
                <w:p w14:paraId="081FE10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14" w:type="pct"/>
                  <w:vMerge w:val="continue"/>
                  <w:tcBorders>
                    <w:tl2br w:val="nil"/>
                    <w:tr2bl w:val="nil"/>
                  </w:tcBorders>
                  <w:noWrap w:val="0"/>
                  <w:vAlign w:val="center"/>
                </w:tcPr>
                <w:p w14:paraId="049577D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71" w:type="pct"/>
                  <w:vMerge w:val="continue"/>
                  <w:tcBorders>
                    <w:tl2br w:val="nil"/>
                    <w:tr2bl w:val="nil"/>
                  </w:tcBorders>
                  <w:noWrap w:val="0"/>
                  <w:vAlign w:val="center"/>
                </w:tcPr>
                <w:p w14:paraId="4AD094D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52" w:type="pct"/>
                  <w:vMerge w:val="continue"/>
                  <w:tcBorders>
                    <w:tl2br w:val="nil"/>
                    <w:tr2bl w:val="nil"/>
                  </w:tcBorders>
                  <w:noWrap w:val="0"/>
                  <w:vAlign w:val="center"/>
                </w:tcPr>
                <w:p w14:paraId="7A5743A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254" w:type="pct"/>
                  <w:vMerge w:val="continue"/>
                  <w:tcBorders>
                    <w:tl2br w:val="nil"/>
                    <w:tr2bl w:val="nil"/>
                  </w:tcBorders>
                  <w:noWrap w:val="0"/>
                  <w:vAlign w:val="center"/>
                </w:tcPr>
                <w:p w14:paraId="4C42563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vMerge w:val="continue"/>
                  <w:tcBorders>
                    <w:tl2br w:val="nil"/>
                    <w:tr2bl w:val="nil"/>
                  </w:tcBorders>
                  <w:noWrap w:val="0"/>
                  <w:vAlign w:val="center"/>
                </w:tcPr>
                <w:p w14:paraId="55A1C4B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13" w:type="pct"/>
                  <w:vMerge w:val="continue"/>
                  <w:tcBorders>
                    <w:tl2br w:val="nil"/>
                    <w:tr2bl w:val="nil"/>
                  </w:tcBorders>
                  <w:noWrap w:val="0"/>
                  <w:vAlign w:val="center"/>
                </w:tcPr>
                <w:p w14:paraId="2EB0906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13" w:type="pct"/>
                  <w:vMerge w:val="continue"/>
                  <w:tcBorders>
                    <w:tl2br w:val="nil"/>
                    <w:tr2bl w:val="nil"/>
                  </w:tcBorders>
                  <w:noWrap w:val="0"/>
                  <w:vAlign w:val="center"/>
                </w:tcPr>
                <w:p w14:paraId="72A35A3B">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31" w:type="pct"/>
                  <w:vMerge w:val="continue"/>
                  <w:tcBorders>
                    <w:tl2br w:val="nil"/>
                    <w:tr2bl w:val="nil"/>
                  </w:tcBorders>
                  <w:noWrap w:val="0"/>
                  <w:vAlign w:val="center"/>
                </w:tcPr>
                <w:p w14:paraId="31B5ADC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60" w:type="pct"/>
                  <w:vMerge w:val="continue"/>
                  <w:tcBorders>
                    <w:tl2br w:val="nil"/>
                    <w:tr2bl w:val="nil"/>
                  </w:tcBorders>
                  <w:noWrap w:val="0"/>
                  <w:vAlign w:val="center"/>
                </w:tcPr>
                <w:p w14:paraId="5822440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41" w:type="pct"/>
                  <w:tcBorders>
                    <w:tl2br w:val="nil"/>
                    <w:tr2bl w:val="nil"/>
                  </w:tcBorders>
                  <w:noWrap w:val="0"/>
                  <w:vAlign w:val="center"/>
                </w:tcPr>
                <w:p w14:paraId="5C11EAD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声压级/dB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715" w:type="pct"/>
                  <w:tcBorders>
                    <w:tl2br w:val="nil"/>
                    <w:tr2bl w:val="nil"/>
                  </w:tcBorders>
                  <w:noWrap/>
                  <w:vAlign w:val="center"/>
                </w:tcPr>
                <w:p w14:paraId="191E345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建筑物外距离</w:t>
                  </w:r>
                </w:p>
              </w:tc>
            </w:tr>
            <w:tr w14:paraId="682FB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tcBorders>
                    <w:tl2br w:val="nil"/>
                    <w:tr2bl w:val="nil"/>
                  </w:tcBorders>
                  <w:noWrap w:val="0"/>
                  <w:vAlign w:val="center"/>
                </w:tcPr>
                <w:p w14:paraId="038F9237">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1</w:t>
                  </w:r>
                </w:p>
              </w:tc>
              <w:tc>
                <w:tcPr>
                  <w:tcW w:w="314" w:type="pct"/>
                  <w:tcBorders>
                    <w:tl2br w:val="nil"/>
                    <w:tr2bl w:val="nil"/>
                  </w:tcBorders>
                  <w:noWrap w:val="0"/>
                  <w:vAlign w:val="center"/>
                </w:tcPr>
                <w:p w14:paraId="3B2F353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z w:val="21"/>
                      <w:szCs w:val="21"/>
                      <w:highlight w:val="none"/>
                      <w:lang w:val="en-US" w:eastAsia="zh-CN"/>
                    </w:rPr>
                    <w:t>去离子水泵</w:t>
                  </w:r>
                </w:p>
              </w:tc>
              <w:tc>
                <w:tcPr>
                  <w:tcW w:w="371" w:type="pct"/>
                  <w:tcBorders>
                    <w:tl2br w:val="nil"/>
                    <w:tr2bl w:val="nil"/>
                  </w:tcBorders>
                  <w:noWrap w:val="0"/>
                  <w:vAlign w:val="center"/>
                </w:tcPr>
                <w:p w14:paraId="75BC4BC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72555FC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75</w:t>
                  </w:r>
                </w:p>
              </w:tc>
              <w:tc>
                <w:tcPr>
                  <w:tcW w:w="254" w:type="pct"/>
                  <w:vMerge w:val="restart"/>
                  <w:tcBorders>
                    <w:tl2br w:val="nil"/>
                    <w:tr2bl w:val="nil"/>
                  </w:tcBorders>
                  <w:noWrap w:val="0"/>
                  <w:vAlign w:val="center"/>
                </w:tcPr>
                <w:p w14:paraId="5215B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选用低噪声设备+厂房隔声</w:t>
                  </w:r>
                </w:p>
              </w:tc>
              <w:tc>
                <w:tcPr>
                  <w:tcW w:w="775" w:type="pct"/>
                  <w:tcBorders>
                    <w:tl2br w:val="nil"/>
                    <w:tr2bl w:val="nil"/>
                  </w:tcBorders>
                  <w:noWrap w:val="0"/>
                  <w:vAlign w:val="center"/>
                </w:tcPr>
                <w:p w14:paraId="77CEEECB">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34.3，229.1，1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2D59BEB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4.1</w:t>
                  </w:r>
                </w:p>
              </w:tc>
              <w:tc>
                <w:tcPr>
                  <w:tcW w:w="413" w:type="pct"/>
                  <w:tcBorders>
                    <w:tl2br w:val="nil"/>
                    <w:tr2bl w:val="nil"/>
                  </w:tcBorders>
                  <w:noWrap w:val="0"/>
                  <w:vAlign w:val="center"/>
                </w:tcPr>
                <w:p w14:paraId="3405524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61.1 </w:t>
                  </w:r>
                </w:p>
              </w:tc>
              <w:tc>
                <w:tcPr>
                  <w:tcW w:w="331" w:type="pct"/>
                  <w:tcBorders>
                    <w:tl2br w:val="nil"/>
                    <w:tr2bl w:val="nil"/>
                  </w:tcBorders>
                  <w:noWrap w:val="0"/>
                  <w:vAlign w:val="center"/>
                </w:tcPr>
                <w:p w14:paraId="1A5184A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4CF59B2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1024676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35.1 </w:t>
                  </w:r>
                </w:p>
              </w:tc>
              <w:tc>
                <w:tcPr>
                  <w:tcW w:w="715" w:type="pct"/>
                  <w:tcBorders>
                    <w:tl2br w:val="nil"/>
                    <w:tr2bl w:val="nil"/>
                  </w:tcBorders>
                  <w:noWrap/>
                  <w:vAlign w:val="center"/>
                </w:tcPr>
                <w:p w14:paraId="1ADCE7A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1</w:t>
                  </w:r>
                </w:p>
              </w:tc>
            </w:tr>
            <w:tr w14:paraId="5D74A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tcBorders>
                    <w:tl2br w:val="nil"/>
                    <w:tr2bl w:val="nil"/>
                  </w:tcBorders>
                  <w:noWrap w:val="0"/>
                  <w:vAlign w:val="center"/>
                </w:tcPr>
                <w:p w14:paraId="7D4928B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2</w:t>
                  </w:r>
                </w:p>
              </w:tc>
              <w:tc>
                <w:tcPr>
                  <w:tcW w:w="314" w:type="pct"/>
                  <w:tcBorders>
                    <w:tl2br w:val="nil"/>
                    <w:tr2bl w:val="nil"/>
                  </w:tcBorders>
                  <w:noWrap w:val="0"/>
                  <w:vAlign w:val="center"/>
                </w:tcPr>
                <w:p w14:paraId="07139AB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z w:val="21"/>
                      <w:szCs w:val="21"/>
                      <w:highlight w:val="none"/>
                      <w:lang w:val="en-US" w:eastAsia="zh-CN"/>
                    </w:rPr>
                    <w:t>离心机</w:t>
                  </w:r>
                </w:p>
              </w:tc>
              <w:tc>
                <w:tcPr>
                  <w:tcW w:w="371" w:type="pct"/>
                  <w:tcBorders>
                    <w:tl2br w:val="nil"/>
                    <w:tr2bl w:val="nil"/>
                  </w:tcBorders>
                  <w:noWrap w:val="0"/>
                  <w:vAlign w:val="center"/>
                </w:tcPr>
                <w:p w14:paraId="491689E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42825D6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80</w:t>
                  </w:r>
                </w:p>
              </w:tc>
              <w:tc>
                <w:tcPr>
                  <w:tcW w:w="254" w:type="pct"/>
                  <w:vMerge w:val="continue"/>
                  <w:tcBorders>
                    <w:tl2br w:val="nil"/>
                    <w:tr2bl w:val="nil"/>
                  </w:tcBorders>
                  <w:noWrap w:val="0"/>
                  <w:vAlign w:val="center"/>
                </w:tcPr>
                <w:p w14:paraId="0B03E2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679462C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33.1，229.6，1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0D040D0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4.6</w:t>
                  </w:r>
                </w:p>
              </w:tc>
              <w:tc>
                <w:tcPr>
                  <w:tcW w:w="413" w:type="pct"/>
                  <w:tcBorders>
                    <w:tl2br w:val="nil"/>
                    <w:tr2bl w:val="nil"/>
                  </w:tcBorders>
                  <w:noWrap w:val="0"/>
                  <w:vAlign w:val="center"/>
                </w:tcPr>
                <w:p w14:paraId="7A314B9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65.9 </w:t>
                  </w:r>
                </w:p>
              </w:tc>
              <w:tc>
                <w:tcPr>
                  <w:tcW w:w="331" w:type="pct"/>
                  <w:tcBorders>
                    <w:tl2br w:val="nil"/>
                    <w:tr2bl w:val="nil"/>
                  </w:tcBorders>
                  <w:noWrap w:val="0"/>
                  <w:vAlign w:val="center"/>
                </w:tcPr>
                <w:p w14:paraId="5481316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0D99ADD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7828473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39.9 </w:t>
                  </w:r>
                </w:p>
              </w:tc>
              <w:tc>
                <w:tcPr>
                  <w:tcW w:w="715" w:type="pct"/>
                  <w:tcBorders>
                    <w:tl2br w:val="nil"/>
                    <w:tr2bl w:val="nil"/>
                  </w:tcBorders>
                  <w:noWrap/>
                  <w:vAlign w:val="center"/>
                </w:tcPr>
                <w:p w14:paraId="0F0F622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1</w:t>
                  </w:r>
                </w:p>
              </w:tc>
            </w:tr>
            <w:tr w14:paraId="7B119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tcBorders>
                    <w:tl2br w:val="nil"/>
                    <w:tr2bl w:val="nil"/>
                  </w:tcBorders>
                  <w:noWrap w:val="0"/>
                  <w:vAlign w:val="center"/>
                </w:tcPr>
                <w:p w14:paraId="6EAFCC1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3</w:t>
                  </w:r>
                </w:p>
              </w:tc>
              <w:tc>
                <w:tcPr>
                  <w:tcW w:w="314" w:type="pct"/>
                  <w:tcBorders>
                    <w:tl2br w:val="nil"/>
                    <w:tr2bl w:val="nil"/>
                  </w:tcBorders>
                  <w:noWrap w:val="0"/>
                  <w:vAlign w:val="center"/>
                </w:tcPr>
                <w:p w14:paraId="6CC9718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eastAsia" w:cs="Times New Roman"/>
                      <w:color w:val="auto"/>
                      <w:sz w:val="21"/>
                      <w:szCs w:val="21"/>
                      <w:highlight w:val="none"/>
                      <w:lang w:val="en-US" w:eastAsia="zh-CN"/>
                    </w:rPr>
                    <w:t>料液泵</w:t>
                  </w:r>
                </w:p>
              </w:tc>
              <w:tc>
                <w:tcPr>
                  <w:tcW w:w="371" w:type="pct"/>
                  <w:tcBorders>
                    <w:tl2br w:val="nil"/>
                    <w:tr2bl w:val="nil"/>
                  </w:tcBorders>
                  <w:noWrap w:val="0"/>
                  <w:vAlign w:val="center"/>
                </w:tcPr>
                <w:p w14:paraId="2E94162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eastAsia="宋体" w:cs="Times New Roman"/>
                      <w:color w:val="auto"/>
                      <w:spacing w:val="-10"/>
                      <w:sz w:val="21"/>
                      <w:szCs w:val="21"/>
                      <w:highlight w:val="none"/>
                      <w:lang w:val="en-US" w:eastAsia="zh-CN"/>
                    </w:rPr>
                    <w:t>1</w:t>
                  </w:r>
                </w:p>
              </w:tc>
              <w:tc>
                <w:tcPr>
                  <w:tcW w:w="352" w:type="pct"/>
                  <w:tcBorders>
                    <w:tl2br w:val="nil"/>
                    <w:tr2bl w:val="nil"/>
                  </w:tcBorders>
                  <w:noWrap w:val="0"/>
                  <w:vAlign w:val="center"/>
                </w:tcPr>
                <w:p w14:paraId="79B8537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80</w:t>
                  </w:r>
                </w:p>
              </w:tc>
              <w:tc>
                <w:tcPr>
                  <w:tcW w:w="254" w:type="pct"/>
                  <w:vMerge w:val="continue"/>
                  <w:tcBorders>
                    <w:tl2br w:val="nil"/>
                    <w:tr2bl w:val="nil"/>
                  </w:tcBorders>
                  <w:noWrap w:val="0"/>
                  <w:vAlign w:val="center"/>
                </w:tcPr>
                <w:p w14:paraId="03848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74AD82D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33.0，228.7，1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5BB2A39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3.7</w:t>
                  </w:r>
                </w:p>
              </w:tc>
              <w:tc>
                <w:tcPr>
                  <w:tcW w:w="413" w:type="pct"/>
                  <w:tcBorders>
                    <w:tl2br w:val="nil"/>
                    <w:tr2bl w:val="nil"/>
                  </w:tcBorders>
                  <w:noWrap w:val="0"/>
                  <w:vAlign w:val="center"/>
                </w:tcPr>
                <w:p w14:paraId="7C35148B">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66.3 </w:t>
                  </w:r>
                </w:p>
              </w:tc>
              <w:tc>
                <w:tcPr>
                  <w:tcW w:w="331" w:type="pct"/>
                  <w:tcBorders>
                    <w:tl2br w:val="nil"/>
                    <w:tr2bl w:val="nil"/>
                  </w:tcBorders>
                  <w:noWrap w:val="0"/>
                  <w:vAlign w:val="center"/>
                </w:tcPr>
                <w:p w14:paraId="28E5D2F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4721D93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1AB9C60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40.3 </w:t>
                  </w:r>
                </w:p>
              </w:tc>
              <w:tc>
                <w:tcPr>
                  <w:tcW w:w="715" w:type="pct"/>
                  <w:tcBorders>
                    <w:tl2br w:val="nil"/>
                    <w:tr2bl w:val="nil"/>
                  </w:tcBorders>
                  <w:noWrap/>
                  <w:vAlign w:val="center"/>
                </w:tcPr>
                <w:p w14:paraId="06ED4AD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1</w:t>
                  </w:r>
                </w:p>
              </w:tc>
            </w:tr>
            <w:tr w14:paraId="28400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tcBorders>
                    <w:tl2br w:val="nil"/>
                    <w:tr2bl w:val="nil"/>
                  </w:tcBorders>
                  <w:noWrap w:val="0"/>
                  <w:vAlign w:val="center"/>
                </w:tcPr>
                <w:p w14:paraId="2F1E9B1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4</w:t>
                  </w:r>
                </w:p>
              </w:tc>
              <w:tc>
                <w:tcPr>
                  <w:tcW w:w="314" w:type="pct"/>
                  <w:tcBorders>
                    <w:tl2br w:val="nil"/>
                    <w:tr2bl w:val="nil"/>
                  </w:tcBorders>
                  <w:noWrap w:val="0"/>
                  <w:vAlign w:val="center"/>
                </w:tcPr>
                <w:p w14:paraId="4E1217F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喷雾干燥系统</w:t>
                  </w:r>
                </w:p>
              </w:tc>
              <w:tc>
                <w:tcPr>
                  <w:tcW w:w="371" w:type="pct"/>
                  <w:tcBorders>
                    <w:tl2br w:val="nil"/>
                    <w:tr2bl w:val="nil"/>
                  </w:tcBorders>
                  <w:noWrap w:val="0"/>
                  <w:vAlign w:val="center"/>
                </w:tcPr>
                <w:p w14:paraId="2F87071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4FCDF40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90</w:t>
                  </w:r>
                </w:p>
              </w:tc>
              <w:tc>
                <w:tcPr>
                  <w:tcW w:w="254" w:type="pct"/>
                  <w:vMerge w:val="continue"/>
                  <w:tcBorders>
                    <w:tl2br w:val="nil"/>
                    <w:tr2bl w:val="nil"/>
                  </w:tcBorders>
                  <w:noWrap w:val="0"/>
                  <w:vAlign w:val="center"/>
                </w:tcPr>
                <w:p w14:paraId="04D652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2F6E659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27.9，229.4，1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75C5CD0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4.4</w:t>
                  </w:r>
                </w:p>
              </w:tc>
              <w:tc>
                <w:tcPr>
                  <w:tcW w:w="413" w:type="pct"/>
                  <w:tcBorders>
                    <w:tl2br w:val="nil"/>
                    <w:tr2bl w:val="nil"/>
                  </w:tcBorders>
                  <w:noWrap w:val="0"/>
                  <w:vAlign w:val="center"/>
                </w:tcPr>
                <w:p w14:paraId="11EF5B6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76.0</w:t>
                  </w:r>
                </w:p>
              </w:tc>
              <w:tc>
                <w:tcPr>
                  <w:tcW w:w="331" w:type="pct"/>
                  <w:tcBorders>
                    <w:tl2br w:val="nil"/>
                    <w:tr2bl w:val="nil"/>
                  </w:tcBorders>
                  <w:noWrap w:val="0"/>
                  <w:vAlign w:val="center"/>
                </w:tcPr>
                <w:p w14:paraId="799244D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12F77A4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2807866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50.</w:t>
                  </w:r>
                  <w:r>
                    <w:rPr>
                      <w:rFonts w:hint="default" w:cs="Times New Roman"/>
                      <w:color w:val="auto"/>
                      <w:spacing w:val="-10"/>
                      <w:sz w:val="21"/>
                      <w:szCs w:val="21"/>
                      <w:highlight w:val="none"/>
                      <w:lang w:val="en-US" w:eastAsia="zh-CN"/>
                    </w:rPr>
                    <w:t xml:space="preserve">0 </w:t>
                  </w:r>
                </w:p>
              </w:tc>
              <w:tc>
                <w:tcPr>
                  <w:tcW w:w="715" w:type="pct"/>
                  <w:tcBorders>
                    <w:tl2br w:val="nil"/>
                    <w:tr2bl w:val="nil"/>
                  </w:tcBorders>
                  <w:noWrap/>
                  <w:vAlign w:val="center"/>
                </w:tcPr>
                <w:p w14:paraId="0D58ADF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1</w:t>
                  </w:r>
                </w:p>
              </w:tc>
            </w:tr>
            <w:tr w14:paraId="3F660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3" w:type="pct"/>
                  <w:tcBorders>
                    <w:tl2br w:val="nil"/>
                    <w:tr2bl w:val="nil"/>
                  </w:tcBorders>
                  <w:noWrap w:val="0"/>
                  <w:vAlign w:val="center"/>
                </w:tcPr>
                <w:p w14:paraId="21D5590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5</w:t>
                  </w:r>
                </w:p>
              </w:tc>
              <w:tc>
                <w:tcPr>
                  <w:tcW w:w="314" w:type="pct"/>
                  <w:tcBorders>
                    <w:tl2br w:val="nil"/>
                    <w:tr2bl w:val="nil"/>
                  </w:tcBorders>
                  <w:noWrap w:val="0"/>
                  <w:vAlign w:val="center"/>
                </w:tcPr>
                <w:p w14:paraId="4B046360">
                  <w:pPr>
                    <w:pStyle w:val="40"/>
                    <w:keepNext w:val="0"/>
                    <w:keepLines w:val="0"/>
                    <w:pageBreakBefore w:val="0"/>
                    <w:kinsoku/>
                    <w:wordWrap/>
                    <w:overflowPunct/>
                    <w:topLinePunct w:val="0"/>
                    <w:autoSpaceDE/>
                    <w:autoSpaceDN/>
                    <w:bidi w:val="0"/>
                    <w:adjustRightInd/>
                    <w:snapToGrid/>
                    <w:spacing w:line="240" w:lineRule="auto"/>
                    <w:ind w:left="0" w:right="0" w:firstLine="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粉碎机</w:t>
                  </w:r>
                </w:p>
              </w:tc>
              <w:tc>
                <w:tcPr>
                  <w:tcW w:w="371" w:type="pct"/>
                  <w:tcBorders>
                    <w:tl2br w:val="nil"/>
                    <w:tr2bl w:val="nil"/>
                  </w:tcBorders>
                  <w:noWrap w:val="0"/>
                  <w:vAlign w:val="center"/>
                </w:tcPr>
                <w:p w14:paraId="318C317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1D07159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90</w:t>
                  </w:r>
                </w:p>
              </w:tc>
              <w:tc>
                <w:tcPr>
                  <w:tcW w:w="254" w:type="pct"/>
                  <w:vMerge w:val="continue"/>
                  <w:tcBorders>
                    <w:tl2br w:val="nil"/>
                    <w:tr2bl w:val="nil"/>
                  </w:tcBorders>
                  <w:noWrap w:val="0"/>
                  <w:vAlign w:val="center"/>
                </w:tcPr>
                <w:p w14:paraId="73508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481BA76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40.3，231.3，1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342E505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6.4</w:t>
                  </w:r>
                </w:p>
              </w:tc>
              <w:tc>
                <w:tcPr>
                  <w:tcW w:w="413" w:type="pct"/>
                  <w:tcBorders>
                    <w:tl2br w:val="nil"/>
                    <w:tr2bl w:val="nil"/>
                  </w:tcBorders>
                  <w:noWrap w:val="0"/>
                  <w:vAlign w:val="center"/>
                </w:tcPr>
                <w:p w14:paraId="7E163EF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75.5</w:t>
                  </w:r>
                  <w:r>
                    <w:rPr>
                      <w:rFonts w:hint="default" w:cs="Times New Roman"/>
                      <w:color w:val="auto"/>
                      <w:spacing w:val="-10"/>
                      <w:sz w:val="21"/>
                      <w:szCs w:val="21"/>
                      <w:highlight w:val="none"/>
                      <w:lang w:val="en-US" w:eastAsia="zh-CN"/>
                    </w:rPr>
                    <w:t xml:space="preserve"> </w:t>
                  </w:r>
                </w:p>
              </w:tc>
              <w:tc>
                <w:tcPr>
                  <w:tcW w:w="331" w:type="pct"/>
                  <w:tcBorders>
                    <w:tl2br w:val="nil"/>
                    <w:tr2bl w:val="nil"/>
                  </w:tcBorders>
                  <w:noWrap w:val="0"/>
                  <w:vAlign w:val="center"/>
                </w:tcPr>
                <w:p w14:paraId="37E27487">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33BAFACB">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1149C11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4</w:t>
                  </w:r>
                  <w:r>
                    <w:rPr>
                      <w:rFonts w:hint="eastAsia" w:cs="Times New Roman"/>
                      <w:color w:val="auto"/>
                      <w:spacing w:val="-10"/>
                      <w:sz w:val="21"/>
                      <w:szCs w:val="21"/>
                      <w:highlight w:val="none"/>
                      <w:lang w:val="en-US" w:eastAsia="zh-CN"/>
                    </w:rPr>
                    <w:t>9</w:t>
                  </w:r>
                  <w:r>
                    <w:rPr>
                      <w:rFonts w:hint="default" w:cs="Times New Roman"/>
                      <w:color w:val="auto"/>
                      <w:spacing w:val="-10"/>
                      <w:sz w:val="21"/>
                      <w:szCs w:val="21"/>
                      <w:highlight w:val="none"/>
                      <w:lang w:val="en-US" w:eastAsia="zh-CN"/>
                    </w:rPr>
                    <w:t xml:space="preserve">.5 </w:t>
                  </w:r>
                </w:p>
              </w:tc>
              <w:tc>
                <w:tcPr>
                  <w:tcW w:w="715" w:type="pct"/>
                  <w:tcBorders>
                    <w:tl2br w:val="nil"/>
                    <w:tr2bl w:val="nil"/>
                  </w:tcBorders>
                  <w:noWrap/>
                  <w:vAlign w:val="center"/>
                </w:tcPr>
                <w:p w14:paraId="4D4E4D0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default" w:ascii="Times New Roman" w:hAnsi="Times New Roman" w:eastAsia="宋体" w:cs="Times New Roman"/>
                      <w:color w:val="auto"/>
                      <w:spacing w:val="-10"/>
                      <w:sz w:val="21"/>
                      <w:szCs w:val="21"/>
                      <w:highlight w:val="none"/>
                      <w:lang w:val="en-US" w:eastAsia="zh-CN"/>
                    </w:rPr>
                    <w:t>1</w:t>
                  </w:r>
                </w:p>
              </w:tc>
            </w:tr>
          </w:tbl>
          <w:p w14:paraId="066E6D49">
            <w:pPr>
              <w:pStyle w:val="2"/>
              <w:rPr>
                <w:rFonts w:hint="default"/>
                <w:color w:val="auto"/>
                <w:highlight w:val="none"/>
                <w:lang w:val="en-US" w:eastAsia="zh-CN"/>
              </w:rPr>
            </w:pPr>
          </w:p>
          <w:p w14:paraId="75617CD5">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4-</w:t>
            </w:r>
            <w:r>
              <w:rPr>
                <w:rFonts w:hint="eastAsia" w:cs="Times New Roman"/>
                <w:b/>
                <w:bCs w:val="0"/>
                <w:color w:val="auto"/>
                <w:sz w:val="21"/>
                <w:szCs w:val="21"/>
                <w:highlight w:val="none"/>
                <w:lang w:val="en-US" w:eastAsia="zh-CN"/>
              </w:rPr>
              <w:t xml:space="preserve">12 </w:t>
            </w:r>
            <w:r>
              <w:rPr>
                <w:rFonts w:hint="default" w:ascii="Times New Roman" w:hAnsi="Times New Roman" w:eastAsia="宋体" w:cs="Times New Roman"/>
                <w:b/>
                <w:bCs w:val="0"/>
                <w:color w:val="auto"/>
                <w:sz w:val="21"/>
                <w:szCs w:val="21"/>
                <w:highlight w:val="none"/>
                <w:lang w:val="en-US" w:eastAsia="zh-CN"/>
              </w:rPr>
              <w:t>本项目</w:t>
            </w:r>
            <w:r>
              <w:rPr>
                <w:rFonts w:hint="eastAsia" w:cs="Times New Roman"/>
                <w:b/>
                <w:bCs w:val="0"/>
                <w:color w:val="auto"/>
                <w:sz w:val="21"/>
                <w:szCs w:val="21"/>
                <w:highlight w:val="none"/>
                <w:lang w:val="en-US" w:eastAsia="zh-CN"/>
              </w:rPr>
              <w:t>淘汰</w:t>
            </w:r>
            <w:r>
              <w:rPr>
                <w:rFonts w:hint="default" w:ascii="Times New Roman" w:hAnsi="Times New Roman" w:eastAsia="宋体" w:cs="Times New Roman"/>
                <w:b/>
                <w:bCs w:val="0"/>
                <w:color w:val="auto"/>
                <w:sz w:val="21"/>
                <w:szCs w:val="21"/>
                <w:highlight w:val="none"/>
                <w:lang w:val="en-US" w:eastAsia="zh-CN"/>
              </w:rPr>
              <w:t>室内噪声源参数一览表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52"/>
              <w:gridCol w:w="530"/>
              <w:gridCol w:w="626"/>
              <w:gridCol w:w="594"/>
              <w:gridCol w:w="428"/>
              <w:gridCol w:w="1307"/>
              <w:gridCol w:w="697"/>
              <w:gridCol w:w="697"/>
              <w:gridCol w:w="558"/>
              <w:gridCol w:w="776"/>
              <w:gridCol w:w="744"/>
              <w:gridCol w:w="1213"/>
            </w:tblGrid>
            <w:tr w14:paraId="4A45C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150" w:type="pct"/>
                  <w:vMerge w:val="restart"/>
                  <w:tcBorders>
                    <w:tl2br w:val="nil"/>
                    <w:tr2bl w:val="nil"/>
                  </w:tcBorders>
                  <w:noWrap w:val="0"/>
                  <w:vAlign w:val="center"/>
                </w:tcPr>
                <w:p w14:paraId="6494D57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eastAsia" w:cs="Times New Roman"/>
                      <w:b/>
                      <w:bCs w:val="0"/>
                      <w:color w:val="auto"/>
                      <w:sz w:val="21"/>
                      <w:szCs w:val="21"/>
                      <w:highlight w:val="none"/>
                      <w:lang w:val="en-US" w:eastAsia="zh-CN"/>
                    </w:rPr>
                    <w:tab/>
                  </w:r>
                  <w:r>
                    <w:rPr>
                      <w:rFonts w:hint="default" w:ascii="Times New Roman" w:hAnsi="Times New Roman" w:eastAsia="宋体" w:cs="Times New Roman"/>
                      <w:color w:val="auto"/>
                      <w:spacing w:val="-10"/>
                      <w:sz w:val="21"/>
                      <w:szCs w:val="21"/>
                      <w:highlight w:val="none"/>
                    </w:rPr>
                    <w:t>序号</w:t>
                  </w:r>
                </w:p>
              </w:tc>
              <w:tc>
                <w:tcPr>
                  <w:tcW w:w="314" w:type="pct"/>
                  <w:vMerge w:val="restart"/>
                  <w:tcBorders>
                    <w:tl2br w:val="nil"/>
                    <w:tr2bl w:val="nil"/>
                  </w:tcBorders>
                  <w:noWrap w:val="0"/>
                  <w:vAlign w:val="center"/>
                </w:tcPr>
                <w:p w14:paraId="1B6A172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污染源名称</w:t>
                  </w:r>
                </w:p>
              </w:tc>
              <w:tc>
                <w:tcPr>
                  <w:tcW w:w="371" w:type="pct"/>
                  <w:vMerge w:val="restart"/>
                  <w:tcBorders>
                    <w:tl2br w:val="nil"/>
                    <w:tr2bl w:val="nil"/>
                  </w:tcBorders>
                  <w:noWrap w:val="0"/>
                  <w:vAlign w:val="center"/>
                </w:tcPr>
                <w:p w14:paraId="0E37A3C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数量</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台</w:t>
                  </w:r>
                  <w:r>
                    <w:rPr>
                      <w:rFonts w:hint="eastAsia" w:cs="Times New Roman"/>
                      <w:color w:val="auto"/>
                      <w:spacing w:val="-10"/>
                      <w:sz w:val="21"/>
                      <w:szCs w:val="21"/>
                      <w:highlight w:val="none"/>
                      <w:lang w:eastAsia="zh-CN"/>
                    </w:rPr>
                    <w:t>）</w:t>
                  </w:r>
                </w:p>
              </w:tc>
              <w:tc>
                <w:tcPr>
                  <w:tcW w:w="352" w:type="pct"/>
                  <w:vMerge w:val="restart"/>
                  <w:tcBorders>
                    <w:tl2br w:val="nil"/>
                    <w:tr2bl w:val="nil"/>
                  </w:tcBorders>
                  <w:noWrap w:val="0"/>
                  <w:vAlign w:val="center"/>
                </w:tcPr>
                <w:p w14:paraId="2BCC40E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源强dB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254" w:type="pct"/>
                  <w:vMerge w:val="restart"/>
                  <w:tcBorders>
                    <w:tl2br w:val="nil"/>
                    <w:tr2bl w:val="nil"/>
                  </w:tcBorders>
                  <w:noWrap w:val="0"/>
                  <w:vAlign w:val="center"/>
                </w:tcPr>
                <w:p w14:paraId="0B59E4B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治理措施</w:t>
                  </w:r>
                </w:p>
              </w:tc>
              <w:tc>
                <w:tcPr>
                  <w:tcW w:w="775" w:type="pct"/>
                  <w:vMerge w:val="restart"/>
                  <w:tcBorders>
                    <w:tl2br w:val="nil"/>
                    <w:tr2bl w:val="nil"/>
                  </w:tcBorders>
                  <w:noWrap w:val="0"/>
                  <w:vAlign w:val="center"/>
                </w:tcPr>
                <w:p w14:paraId="7D1E7A3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空间相对位置/m</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x，y，z</w:t>
                  </w:r>
                  <w:r>
                    <w:rPr>
                      <w:rFonts w:hint="eastAsia" w:cs="Times New Roman"/>
                      <w:color w:val="auto"/>
                      <w:spacing w:val="-10"/>
                      <w:sz w:val="21"/>
                      <w:szCs w:val="21"/>
                      <w:highlight w:val="none"/>
                      <w:lang w:eastAsia="zh-CN"/>
                    </w:rPr>
                    <w:t>）</w:t>
                  </w:r>
                </w:p>
              </w:tc>
              <w:tc>
                <w:tcPr>
                  <w:tcW w:w="413" w:type="pct"/>
                  <w:vMerge w:val="restart"/>
                  <w:tcBorders>
                    <w:tl2br w:val="nil"/>
                    <w:tr2bl w:val="nil"/>
                  </w:tcBorders>
                  <w:noWrap w:val="0"/>
                  <w:vAlign w:val="center"/>
                </w:tcPr>
                <w:p w14:paraId="2BE91D7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距离室内边界距离/m</w:t>
                  </w:r>
                </w:p>
              </w:tc>
              <w:tc>
                <w:tcPr>
                  <w:tcW w:w="413" w:type="pct"/>
                  <w:vMerge w:val="restart"/>
                  <w:tcBorders>
                    <w:tl2br w:val="nil"/>
                    <w:tr2bl w:val="nil"/>
                  </w:tcBorders>
                  <w:noWrap w:val="0"/>
                  <w:vAlign w:val="center"/>
                </w:tcPr>
                <w:p w14:paraId="550C6D1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室内边界声级/dB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331" w:type="pct"/>
                  <w:vMerge w:val="restart"/>
                  <w:tcBorders>
                    <w:tl2br w:val="nil"/>
                    <w:tr2bl w:val="nil"/>
                  </w:tcBorders>
                  <w:noWrap w:val="0"/>
                  <w:vAlign w:val="center"/>
                </w:tcPr>
                <w:p w14:paraId="1153BCA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运行时段</w:t>
                  </w:r>
                </w:p>
              </w:tc>
              <w:tc>
                <w:tcPr>
                  <w:tcW w:w="460" w:type="pct"/>
                  <w:vMerge w:val="restart"/>
                  <w:tcBorders>
                    <w:tl2br w:val="nil"/>
                    <w:tr2bl w:val="nil"/>
                  </w:tcBorders>
                  <w:noWrap w:val="0"/>
                  <w:vAlign w:val="center"/>
                </w:tcPr>
                <w:p w14:paraId="01D9011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建筑物插入损失/dB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1160" w:type="pct"/>
                  <w:gridSpan w:val="2"/>
                  <w:tcBorders>
                    <w:tl2br w:val="nil"/>
                    <w:tr2bl w:val="nil"/>
                  </w:tcBorders>
                  <w:noWrap w:val="0"/>
                  <w:vAlign w:val="center"/>
                </w:tcPr>
                <w:p w14:paraId="363CA107">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建筑物外噪声</w:t>
                  </w:r>
                </w:p>
              </w:tc>
            </w:tr>
            <w:tr w14:paraId="30BEF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0" w:type="pct"/>
                  <w:vMerge w:val="continue"/>
                  <w:tcBorders>
                    <w:tl2br w:val="nil"/>
                    <w:tr2bl w:val="nil"/>
                  </w:tcBorders>
                  <w:noWrap w:val="0"/>
                  <w:vAlign w:val="center"/>
                </w:tcPr>
                <w:p w14:paraId="6FBA9A1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14" w:type="pct"/>
                  <w:vMerge w:val="continue"/>
                  <w:tcBorders>
                    <w:tl2br w:val="nil"/>
                    <w:tr2bl w:val="nil"/>
                  </w:tcBorders>
                  <w:noWrap w:val="0"/>
                  <w:vAlign w:val="center"/>
                </w:tcPr>
                <w:p w14:paraId="28FB3D2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71" w:type="pct"/>
                  <w:vMerge w:val="continue"/>
                  <w:tcBorders>
                    <w:tl2br w:val="nil"/>
                    <w:tr2bl w:val="nil"/>
                  </w:tcBorders>
                  <w:noWrap w:val="0"/>
                  <w:vAlign w:val="center"/>
                </w:tcPr>
                <w:p w14:paraId="6277448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52" w:type="pct"/>
                  <w:vMerge w:val="continue"/>
                  <w:tcBorders>
                    <w:tl2br w:val="nil"/>
                    <w:tr2bl w:val="nil"/>
                  </w:tcBorders>
                  <w:noWrap w:val="0"/>
                  <w:vAlign w:val="center"/>
                </w:tcPr>
                <w:p w14:paraId="0076B06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254" w:type="pct"/>
                  <w:vMerge w:val="continue"/>
                  <w:tcBorders>
                    <w:tl2br w:val="nil"/>
                    <w:tr2bl w:val="nil"/>
                  </w:tcBorders>
                  <w:noWrap w:val="0"/>
                  <w:vAlign w:val="center"/>
                </w:tcPr>
                <w:p w14:paraId="02D17387">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vMerge w:val="continue"/>
                  <w:tcBorders>
                    <w:tl2br w:val="nil"/>
                    <w:tr2bl w:val="nil"/>
                  </w:tcBorders>
                  <w:noWrap w:val="0"/>
                  <w:vAlign w:val="center"/>
                </w:tcPr>
                <w:p w14:paraId="1C0A956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13" w:type="pct"/>
                  <w:vMerge w:val="continue"/>
                  <w:tcBorders>
                    <w:tl2br w:val="nil"/>
                    <w:tr2bl w:val="nil"/>
                  </w:tcBorders>
                  <w:noWrap w:val="0"/>
                  <w:vAlign w:val="center"/>
                </w:tcPr>
                <w:p w14:paraId="5002E17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13" w:type="pct"/>
                  <w:vMerge w:val="continue"/>
                  <w:tcBorders>
                    <w:tl2br w:val="nil"/>
                    <w:tr2bl w:val="nil"/>
                  </w:tcBorders>
                  <w:noWrap w:val="0"/>
                  <w:vAlign w:val="center"/>
                </w:tcPr>
                <w:p w14:paraId="181AB3D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331" w:type="pct"/>
                  <w:vMerge w:val="continue"/>
                  <w:tcBorders>
                    <w:tl2br w:val="nil"/>
                    <w:tr2bl w:val="nil"/>
                  </w:tcBorders>
                  <w:noWrap w:val="0"/>
                  <w:vAlign w:val="center"/>
                </w:tcPr>
                <w:p w14:paraId="3493D1A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60" w:type="pct"/>
                  <w:vMerge w:val="continue"/>
                  <w:tcBorders>
                    <w:tl2br w:val="nil"/>
                    <w:tr2bl w:val="nil"/>
                  </w:tcBorders>
                  <w:noWrap w:val="0"/>
                  <w:vAlign w:val="center"/>
                </w:tcPr>
                <w:p w14:paraId="71A79BB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441" w:type="pct"/>
                  <w:tcBorders>
                    <w:tl2br w:val="nil"/>
                    <w:tr2bl w:val="nil"/>
                  </w:tcBorders>
                  <w:noWrap w:val="0"/>
                  <w:vAlign w:val="center"/>
                </w:tcPr>
                <w:p w14:paraId="5D4337B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声压级/dB</w:t>
                  </w:r>
                  <w:r>
                    <w:rPr>
                      <w:rFonts w:hint="eastAsia" w:cs="Times New Roman"/>
                      <w:color w:val="auto"/>
                      <w:spacing w:val="-10"/>
                      <w:sz w:val="21"/>
                      <w:szCs w:val="21"/>
                      <w:highlight w:val="none"/>
                      <w:lang w:eastAsia="zh-CN"/>
                    </w:rPr>
                    <w:t>（</w:t>
                  </w:r>
                  <w:r>
                    <w:rPr>
                      <w:rFonts w:hint="default" w:ascii="Times New Roman" w:hAnsi="Times New Roman" w:eastAsia="宋体" w:cs="Times New Roman"/>
                      <w:color w:val="auto"/>
                      <w:spacing w:val="-10"/>
                      <w:sz w:val="21"/>
                      <w:szCs w:val="21"/>
                      <w:highlight w:val="none"/>
                    </w:rPr>
                    <w:t>A</w:t>
                  </w:r>
                  <w:r>
                    <w:rPr>
                      <w:rFonts w:hint="eastAsia" w:cs="Times New Roman"/>
                      <w:color w:val="auto"/>
                      <w:spacing w:val="-10"/>
                      <w:sz w:val="21"/>
                      <w:szCs w:val="21"/>
                      <w:highlight w:val="none"/>
                      <w:lang w:eastAsia="zh-CN"/>
                    </w:rPr>
                    <w:t>）</w:t>
                  </w:r>
                </w:p>
              </w:tc>
              <w:tc>
                <w:tcPr>
                  <w:tcW w:w="718" w:type="pct"/>
                  <w:tcBorders>
                    <w:tl2br w:val="nil"/>
                    <w:tr2bl w:val="nil"/>
                  </w:tcBorders>
                  <w:noWrap/>
                  <w:vAlign w:val="center"/>
                </w:tcPr>
                <w:p w14:paraId="127AF41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建筑物外距离</w:t>
                  </w:r>
                </w:p>
              </w:tc>
            </w:tr>
            <w:tr w14:paraId="0507C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0" w:type="pct"/>
                  <w:tcBorders>
                    <w:tl2br w:val="nil"/>
                    <w:tr2bl w:val="nil"/>
                  </w:tcBorders>
                  <w:noWrap w:val="0"/>
                  <w:vAlign w:val="center"/>
                </w:tcPr>
                <w:p w14:paraId="4EF23CB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1</w:t>
                  </w:r>
                </w:p>
              </w:tc>
              <w:tc>
                <w:tcPr>
                  <w:tcW w:w="314" w:type="pct"/>
                  <w:tcBorders>
                    <w:tl2br w:val="nil"/>
                    <w:tr2bl w:val="nil"/>
                  </w:tcBorders>
                  <w:noWrap w:val="0"/>
                  <w:vAlign w:val="center"/>
                </w:tcPr>
                <w:p w14:paraId="4625AF8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z w:val="21"/>
                      <w:szCs w:val="21"/>
                      <w:highlight w:val="none"/>
                      <w:lang w:val="en-US" w:eastAsia="zh-CN"/>
                    </w:rPr>
                    <w:t>去离子水泵</w:t>
                  </w:r>
                </w:p>
              </w:tc>
              <w:tc>
                <w:tcPr>
                  <w:tcW w:w="371" w:type="pct"/>
                  <w:tcBorders>
                    <w:tl2br w:val="nil"/>
                    <w:tr2bl w:val="nil"/>
                  </w:tcBorders>
                  <w:noWrap w:val="0"/>
                  <w:vAlign w:val="center"/>
                </w:tcPr>
                <w:p w14:paraId="1E5ADB3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3E6BEF1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75</w:t>
                  </w:r>
                </w:p>
              </w:tc>
              <w:tc>
                <w:tcPr>
                  <w:tcW w:w="254" w:type="pct"/>
                  <w:vMerge w:val="restart"/>
                  <w:tcBorders>
                    <w:tl2br w:val="nil"/>
                    <w:tr2bl w:val="nil"/>
                  </w:tcBorders>
                  <w:noWrap w:val="0"/>
                  <w:vAlign w:val="center"/>
                </w:tcPr>
                <w:p w14:paraId="55A14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选用低噪声设备+厂房隔声</w:t>
                  </w:r>
                </w:p>
              </w:tc>
              <w:tc>
                <w:tcPr>
                  <w:tcW w:w="775" w:type="pct"/>
                  <w:tcBorders>
                    <w:tl2br w:val="nil"/>
                    <w:tr2bl w:val="nil"/>
                  </w:tcBorders>
                  <w:noWrap w:val="0"/>
                  <w:vAlign w:val="center"/>
                </w:tcPr>
                <w:p w14:paraId="2946F42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28.6，226.4，1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04F930F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1.3</w:t>
                  </w:r>
                </w:p>
              </w:tc>
              <w:tc>
                <w:tcPr>
                  <w:tcW w:w="413" w:type="pct"/>
                  <w:tcBorders>
                    <w:tl2br w:val="nil"/>
                    <w:tr2bl w:val="nil"/>
                  </w:tcBorders>
                  <w:noWrap w:val="0"/>
                  <w:vAlign w:val="center"/>
                </w:tcPr>
                <w:p w14:paraId="4092539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68.4 </w:t>
                  </w:r>
                </w:p>
              </w:tc>
              <w:tc>
                <w:tcPr>
                  <w:tcW w:w="331" w:type="pct"/>
                  <w:tcBorders>
                    <w:tl2br w:val="nil"/>
                    <w:tr2bl w:val="nil"/>
                  </w:tcBorders>
                  <w:noWrap w:val="0"/>
                  <w:vAlign w:val="center"/>
                </w:tcPr>
                <w:p w14:paraId="7F2BD4D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76BB470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452DFBD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 xml:space="preserve">42.4 </w:t>
                  </w:r>
                </w:p>
              </w:tc>
              <w:tc>
                <w:tcPr>
                  <w:tcW w:w="718" w:type="pct"/>
                  <w:tcBorders>
                    <w:tl2br w:val="nil"/>
                    <w:tr2bl w:val="nil"/>
                  </w:tcBorders>
                  <w:noWrap/>
                  <w:vAlign w:val="center"/>
                </w:tcPr>
                <w:p w14:paraId="224D621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1</w:t>
                  </w:r>
                </w:p>
              </w:tc>
            </w:tr>
            <w:tr w14:paraId="3B569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0" w:type="pct"/>
                  <w:tcBorders>
                    <w:tl2br w:val="nil"/>
                    <w:tr2bl w:val="nil"/>
                  </w:tcBorders>
                  <w:noWrap w:val="0"/>
                  <w:vAlign w:val="center"/>
                </w:tcPr>
                <w:p w14:paraId="63AA3BD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2</w:t>
                  </w:r>
                </w:p>
              </w:tc>
              <w:tc>
                <w:tcPr>
                  <w:tcW w:w="314" w:type="pct"/>
                  <w:tcBorders>
                    <w:tl2br w:val="nil"/>
                    <w:tr2bl w:val="nil"/>
                  </w:tcBorders>
                  <w:noWrap w:val="0"/>
                  <w:vAlign w:val="center"/>
                </w:tcPr>
                <w:p w14:paraId="050A386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z w:val="21"/>
                      <w:szCs w:val="21"/>
                      <w:highlight w:val="none"/>
                      <w:lang w:val="en-US" w:eastAsia="zh-CN"/>
                    </w:rPr>
                    <w:t>离心机</w:t>
                  </w:r>
                </w:p>
              </w:tc>
              <w:tc>
                <w:tcPr>
                  <w:tcW w:w="371" w:type="pct"/>
                  <w:tcBorders>
                    <w:tl2br w:val="nil"/>
                    <w:tr2bl w:val="nil"/>
                  </w:tcBorders>
                  <w:noWrap w:val="0"/>
                  <w:vAlign w:val="center"/>
                </w:tcPr>
                <w:p w14:paraId="4EFB2C1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1D3D5A1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80</w:t>
                  </w:r>
                </w:p>
              </w:tc>
              <w:tc>
                <w:tcPr>
                  <w:tcW w:w="254" w:type="pct"/>
                  <w:vMerge w:val="continue"/>
                  <w:tcBorders>
                    <w:tl2br w:val="nil"/>
                    <w:tr2bl w:val="nil"/>
                  </w:tcBorders>
                  <w:noWrap w:val="0"/>
                  <w:vAlign w:val="center"/>
                </w:tcPr>
                <w:p w14:paraId="69786C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485B0CF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28.5，228.0，1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5F8D4EC1">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kern w:val="2"/>
                      <w:sz w:val="21"/>
                      <w:szCs w:val="21"/>
                      <w:highlight w:val="none"/>
                      <w:lang w:val="en-US" w:eastAsia="zh-CN" w:bidi="ar-SA"/>
                    </w:rPr>
                    <w:t>2.5</w:t>
                  </w:r>
                </w:p>
              </w:tc>
              <w:tc>
                <w:tcPr>
                  <w:tcW w:w="413" w:type="pct"/>
                  <w:tcBorders>
                    <w:tl2br w:val="nil"/>
                    <w:tr2bl w:val="nil"/>
                  </w:tcBorders>
                  <w:noWrap w:val="0"/>
                  <w:vAlign w:val="center"/>
                </w:tcPr>
                <w:p w14:paraId="527377F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67.6 </w:t>
                  </w:r>
                </w:p>
              </w:tc>
              <w:tc>
                <w:tcPr>
                  <w:tcW w:w="331" w:type="pct"/>
                  <w:tcBorders>
                    <w:tl2br w:val="nil"/>
                    <w:tr2bl w:val="nil"/>
                  </w:tcBorders>
                  <w:noWrap w:val="0"/>
                  <w:vAlign w:val="center"/>
                </w:tcPr>
                <w:p w14:paraId="13B37E6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396164E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6CBE2C3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 xml:space="preserve">41.6 </w:t>
                  </w:r>
                </w:p>
              </w:tc>
              <w:tc>
                <w:tcPr>
                  <w:tcW w:w="718" w:type="pct"/>
                  <w:tcBorders>
                    <w:tl2br w:val="nil"/>
                    <w:tr2bl w:val="nil"/>
                  </w:tcBorders>
                  <w:noWrap/>
                  <w:vAlign w:val="center"/>
                </w:tcPr>
                <w:p w14:paraId="095B00F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1</w:t>
                  </w:r>
                </w:p>
              </w:tc>
            </w:tr>
            <w:tr w14:paraId="1C0C5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0" w:type="pct"/>
                  <w:tcBorders>
                    <w:tl2br w:val="nil"/>
                    <w:tr2bl w:val="nil"/>
                  </w:tcBorders>
                  <w:noWrap w:val="0"/>
                  <w:vAlign w:val="center"/>
                </w:tcPr>
                <w:p w14:paraId="2863255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3</w:t>
                  </w:r>
                </w:p>
              </w:tc>
              <w:tc>
                <w:tcPr>
                  <w:tcW w:w="314" w:type="pct"/>
                  <w:tcBorders>
                    <w:tl2br w:val="nil"/>
                    <w:tr2bl w:val="nil"/>
                  </w:tcBorders>
                  <w:noWrap w:val="0"/>
                  <w:vAlign w:val="center"/>
                </w:tcPr>
                <w:p w14:paraId="551A371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eastAsia="zh-CN"/>
                    </w:rPr>
                  </w:pPr>
                  <w:r>
                    <w:rPr>
                      <w:rFonts w:hint="eastAsia" w:cs="Times New Roman"/>
                      <w:color w:val="auto"/>
                      <w:sz w:val="21"/>
                      <w:szCs w:val="21"/>
                      <w:highlight w:val="none"/>
                      <w:lang w:val="en-US" w:eastAsia="zh-CN"/>
                    </w:rPr>
                    <w:t>料液泵</w:t>
                  </w:r>
                </w:p>
              </w:tc>
              <w:tc>
                <w:tcPr>
                  <w:tcW w:w="371" w:type="pct"/>
                  <w:tcBorders>
                    <w:tl2br w:val="nil"/>
                    <w:tr2bl w:val="nil"/>
                  </w:tcBorders>
                  <w:noWrap w:val="0"/>
                  <w:vAlign w:val="center"/>
                </w:tcPr>
                <w:p w14:paraId="6B2E24A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eastAsia="宋体" w:cs="Times New Roman"/>
                      <w:color w:val="auto"/>
                      <w:spacing w:val="-10"/>
                      <w:sz w:val="21"/>
                      <w:szCs w:val="21"/>
                      <w:highlight w:val="none"/>
                      <w:lang w:val="en-US" w:eastAsia="zh-CN"/>
                    </w:rPr>
                    <w:t>1</w:t>
                  </w:r>
                </w:p>
              </w:tc>
              <w:tc>
                <w:tcPr>
                  <w:tcW w:w="352" w:type="pct"/>
                  <w:tcBorders>
                    <w:tl2br w:val="nil"/>
                    <w:tr2bl w:val="nil"/>
                  </w:tcBorders>
                  <w:noWrap w:val="0"/>
                  <w:vAlign w:val="center"/>
                </w:tcPr>
                <w:p w14:paraId="730162D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80</w:t>
                  </w:r>
                </w:p>
              </w:tc>
              <w:tc>
                <w:tcPr>
                  <w:tcW w:w="254" w:type="pct"/>
                  <w:vMerge w:val="continue"/>
                  <w:tcBorders>
                    <w:tl2br w:val="nil"/>
                    <w:tr2bl w:val="nil"/>
                  </w:tcBorders>
                  <w:noWrap w:val="0"/>
                  <w:vAlign w:val="center"/>
                </w:tcPr>
                <w:p w14:paraId="0B7672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3808B17B">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ascii="Times New Roman" w:hAnsi="Times New Roman" w:eastAsia="宋体" w:cs="Times New Roman"/>
                      <w:color w:val="auto"/>
                      <w:sz w:val="21"/>
                      <w:szCs w:val="21"/>
                      <w:highlight w:val="none"/>
                      <w:lang w:val="en-US" w:eastAsia="zh-CN"/>
                    </w:rPr>
                    <w:t>2</w:t>
                  </w:r>
                  <w:r>
                    <w:rPr>
                      <w:rFonts w:hint="eastAsia" w:cs="Times New Roman"/>
                      <w:color w:val="auto"/>
                      <w:sz w:val="21"/>
                      <w:szCs w:val="21"/>
                      <w:highlight w:val="none"/>
                      <w:lang w:val="en-US" w:eastAsia="zh-CN"/>
                    </w:rPr>
                    <w:t>7.8，227.1，1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23A2F10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2.1</w:t>
                  </w:r>
                </w:p>
              </w:tc>
              <w:tc>
                <w:tcPr>
                  <w:tcW w:w="413" w:type="pct"/>
                  <w:tcBorders>
                    <w:tl2br w:val="nil"/>
                    <w:tr2bl w:val="nil"/>
                  </w:tcBorders>
                  <w:noWrap w:val="0"/>
                  <w:vAlign w:val="center"/>
                </w:tcPr>
                <w:p w14:paraId="13A552B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68.3 </w:t>
                  </w:r>
                </w:p>
              </w:tc>
              <w:tc>
                <w:tcPr>
                  <w:tcW w:w="331" w:type="pct"/>
                  <w:tcBorders>
                    <w:tl2br w:val="nil"/>
                    <w:tr2bl w:val="nil"/>
                  </w:tcBorders>
                  <w:noWrap w:val="0"/>
                  <w:vAlign w:val="center"/>
                </w:tcPr>
                <w:p w14:paraId="71AF51F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08F7800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0EAEBD9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 xml:space="preserve">42.3 </w:t>
                  </w:r>
                </w:p>
              </w:tc>
              <w:tc>
                <w:tcPr>
                  <w:tcW w:w="718" w:type="pct"/>
                  <w:tcBorders>
                    <w:tl2br w:val="nil"/>
                    <w:tr2bl w:val="nil"/>
                  </w:tcBorders>
                  <w:noWrap/>
                  <w:vAlign w:val="center"/>
                </w:tcPr>
                <w:p w14:paraId="44524D2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1</w:t>
                  </w:r>
                </w:p>
              </w:tc>
            </w:tr>
            <w:tr w14:paraId="700B6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0" w:type="pct"/>
                  <w:tcBorders>
                    <w:tl2br w:val="nil"/>
                    <w:tr2bl w:val="nil"/>
                  </w:tcBorders>
                  <w:noWrap w:val="0"/>
                  <w:vAlign w:val="center"/>
                </w:tcPr>
                <w:p w14:paraId="49A5C5D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eastAsia"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4</w:t>
                  </w:r>
                </w:p>
              </w:tc>
              <w:tc>
                <w:tcPr>
                  <w:tcW w:w="314" w:type="pct"/>
                  <w:tcBorders>
                    <w:tl2br w:val="nil"/>
                    <w:tr2bl w:val="nil"/>
                  </w:tcBorders>
                  <w:noWrap w:val="0"/>
                  <w:vAlign w:val="center"/>
                </w:tcPr>
                <w:p w14:paraId="784B459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bookmarkStart w:id="39" w:name="OLE_LINK8"/>
                  <w:r>
                    <w:rPr>
                      <w:rFonts w:hint="eastAsia" w:cs="Times New Roman"/>
                      <w:color w:val="auto"/>
                      <w:spacing w:val="-10"/>
                      <w:sz w:val="21"/>
                      <w:szCs w:val="21"/>
                      <w:highlight w:val="none"/>
                      <w:lang w:val="en-US" w:eastAsia="zh-CN"/>
                    </w:rPr>
                    <w:t>喷雾干燥系统</w:t>
                  </w:r>
                  <w:bookmarkEnd w:id="39"/>
                </w:p>
              </w:tc>
              <w:tc>
                <w:tcPr>
                  <w:tcW w:w="371" w:type="pct"/>
                  <w:tcBorders>
                    <w:tl2br w:val="nil"/>
                    <w:tr2bl w:val="nil"/>
                  </w:tcBorders>
                  <w:noWrap w:val="0"/>
                  <w:vAlign w:val="center"/>
                </w:tcPr>
                <w:p w14:paraId="39B141DB">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55E99688">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85</w:t>
                  </w:r>
                </w:p>
              </w:tc>
              <w:tc>
                <w:tcPr>
                  <w:tcW w:w="254" w:type="pct"/>
                  <w:vMerge w:val="continue"/>
                  <w:tcBorders>
                    <w:tl2br w:val="nil"/>
                    <w:tr2bl w:val="nil"/>
                  </w:tcBorders>
                  <w:noWrap w:val="0"/>
                  <w:vAlign w:val="center"/>
                </w:tcPr>
                <w:p w14:paraId="0B4BB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2AEBF9D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25.7，226.6，1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37C06DEE">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1.3</w:t>
                  </w:r>
                </w:p>
              </w:tc>
              <w:tc>
                <w:tcPr>
                  <w:tcW w:w="413" w:type="pct"/>
                  <w:tcBorders>
                    <w:tl2br w:val="nil"/>
                    <w:tr2bl w:val="nil"/>
                  </w:tcBorders>
                  <w:noWrap w:val="0"/>
                  <w:vAlign w:val="center"/>
                </w:tcPr>
                <w:p w14:paraId="7E88D2C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78.4 </w:t>
                  </w:r>
                </w:p>
              </w:tc>
              <w:tc>
                <w:tcPr>
                  <w:tcW w:w="331" w:type="pct"/>
                  <w:tcBorders>
                    <w:tl2br w:val="nil"/>
                    <w:tr2bl w:val="nil"/>
                  </w:tcBorders>
                  <w:noWrap w:val="0"/>
                  <w:vAlign w:val="center"/>
                </w:tcPr>
                <w:p w14:paraId="46A0D5F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37089F93">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7775DE1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 xml:space="preserve">52.4 </w:t>
                  </w:r>
                </w:p>
              </w:tc>
              <w:tc>
                <w:tcPr>
                  <w:tcW w:w="718" w:type="pct"/>
                  <w:tcBorders>
                    <w:tl2br w:val="nil"/>
                    <w:tr2bl w:val="nil"/>
                  </w:tcBorders>
                  <w:noWrap/>
                  <w:vAlign w:val="center"/>
                </w:tcPr>
                <w:p w14:paraId="6812FEE7">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1</w:t>
                  </w:r>
                </w:p>
              </w:tc>
            </w:tr>
            <w:tr w14:paraId="13C98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50" w:type="pct"/>
                  <w:tcBorders>
                    <w:tl2br w:val="nil"/>
                    <w:tr2bl w:val="nil"/>
                  </w:tcBorders>
                  <w:noWrap w:val="0"/>
                  <w:vAlign w:val="center"/>
                </w:tcPr>
                <w:p w14:paraId="33DC516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5</w:t>
                  </w:r>
                </w:p>
              </w:tc>
              <w:tc>
                <w:tcPr>
                  <w:tcW w:w="314" w:type="pct"/>
                  <w:tcBorders>
                    <w:tl2br w:val="nil"/>
                    <w:tr2bl w:val="nil"/>
                  </w:tcBorders>
                  <w:noWrap w:val="0"/>
                  <w:vAlign w:val="center"/>
                </w:tcPr>
                <w:p w14:paraId="6D607C75">
                  <w:pPr>
                    <w:pStyle w:val="40"/>
                    <w:keepNext w:val="0"/>
                    <w:keepLines w:val="0"/>
                    <w:pageBreakBefore w:val="0"/>
                    <w:kinsoku/>
                    <w:wordWrap/>
                    <w:overflowPunct/>
                    <w:topLinePunct w:val="0"/>
                    <w:autoSpaceDE/>
                    <w:autoSpaceDN/>
                    <w:bidi w:val="0"/>
                    <w:adjustRightInd/>
                    <w:snapToGrid/>
                    <w:spacing w:line="240" w:lineRule="auto"/>
                    <w:ind w:left="0" w:right="0" w:firstLine="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z w:val="21"/>
                      <w:szCs w:val="21"/>
                      <w:highlight w:val="none"/>
                      <w:lang w:val="en-US" w:eastAsia="zh-CN"/>
                    </w:rPr>
                    <w:t>粉碎机</w:t>
                  </w:r>
                </w:p>
              </w:tc>
              <w:tc>
                <w:tcPr>
                  <w:tcW w:w="371" w:type="pct"/>
                  <w:tcBorders>
                    <w:tl2br w:val="nil"/>
                    <w:tr2bl w:val="nil"/>
                  </w:tcBorders>
                  <w:noWrap w:val="0"/>
                  <w:vAlign w:val="center"/>
                </w:tcPr>
                <w:p w14:paraId="229E6FF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1</w:t>
                  </w:r>
                </w:p>
              </w:tc>
              <w:tc>
                <w:tcPr>
                  <w:tcW w:w="352" w:type="pct"/>
                  <w:tcBorders>
                    <w:tl2br w:val="nil"/>
                    <w:tr2bl w:val="nil"/>
                  </w:tcBorders>
                  <w:noWrap w:val="0"/>
                  <w:vAlign w:val="center"/>
                </w:tcPr>
                <w:p w14:paraId="74093B2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85</w:t>
                  </w:r>
                </w:p>
              </w:tc>
              <w:tc>
                <w:tcPr>
                  <w:tcW w:w="254" w:type="pct"/>
                  <w:vMerge w:val="continue"/>
                  <w:tcBorders>
                    <w:tl2br w:val="nil"/>
                    <w:tr2bl w:val="nil"/>
                  </w:tcBorders>
                  <w:noWrap w:val="0"/>
                  <w:vAlign w:val="center"/>
                </w:tcPr>
                <w:p w14:paraId="117B6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p>
              </w:tc>
              <w:tc>
                <w:tcPr>
                  <w:tcW w:w="775" w:type="pct"/>
                  <w:tcBorders>
                    <w:tl2br w:val="nil"/>
                    <w:tr2bl w:val="nil"/>
                  </w:tcBorders>
                  <w:noWrap w:val="0"/>
                  <w:vAlign w:val="center"/>
                </w:tcPr>
                <w:p w14:paraId="3C43E12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eastAsia="zh-CN"/>
                    </w:rPr>
                  </w:pPr>
                  <w:r>
                    <w:rPr>
                      <w:rFonts w:hint="default" w:ascii="Times New Roman" w:hAnsi="Times New Roman" w:eastAsia="宋体" w:cs="Times New Roman"/>
                      <w:color w:val="auto"/>
                      <w:sz w:val="21"/>
                      <w:szCs w:val="21"/>
                      <w:highlight w:val="none"/>
                      <w:lang w:val="en-US" w:eastAsia="zh-CN"/>
                    </w:rPr>
                    <w:t>（</w:t>
                  </w:r>
                  <w:r>
                    <w:rPr>
                      <w:rFonts w:hint="eastAsia" w:cs="Times New Roman"/>
                      <w:color w:val="auto"/>
                      <w:sz w:val="21"/>
                      <w:szCs w:val="21"/>
                      <w:highlight w:val="none"/>
                      <w:lang w:val="en-US" w:eastAsia="zh-CN"/>
                    </w:rPr>
                    <w:t>33.6，227.0，1</w:t>
                  </w:r>
                  <w:r>
                    <w:rPr>
                      <w:rFonts w:hint="eastAsia" w:cs="Times New Roman"/>
                      <w:color w:val="auto"/>
                      <w:sz w:val="21"/>
                      <w:szCs w:val="21"/>
                      <w:highlight w:val="none"/>
                      <w:lang w:eastAsia="zh-CN"/>
                    </w:rPr>
                    <w:t>）</w:t>
                  </w:r>
                </w:p>
              </w:tc>
              <w:tc>
                <w:tcPr>
                  <w:tcW w:w="413" w:type="pct"/>
                  <w:tcBorders>
                    <w:tl2br w:val="nil"/>
                    <w:tr2bl w:val="nil"/>
                  </w:tcBorders>
                  <w:noWrap w:val="0"/>
                  <w:vAlign w:val="center"/>
                </w:tcPr>
                <w:p w14:paraId="121E446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eastAsia="zh-CN"/>
                    </w:rPr>
                  </w:pPr>
                  <w:r>
                    <w:rPr>
                      <w:rFonts w:hint="eastAsia" w:cs="Times New Roman"/>
                      <w:color w:val="auto"/>
                      <w:spacing w:val="-10"/>
                      <w:sz w:val="21"/>
                      <w:szCs w:val="21"/>
                      <w:highlight w:val="none"/>
                      <w:lang w:val="en-US" w:eastAsia="zh-CN"/>
                    </w:rPr>
                    <w:t>5.6</w:t>
                  </w:r>
                </w:p>
              </w:tc>
              <w:tc>
                <w:tcPr>
                  <w:tcW w:w="413" w:type="pct"/>
                  <w:tcBorders>
                    <w:tl2br w:val="nil"/>
                    <w:tr2bl w:val="nil"/>
                  </w:tcBorders>
                  <w:noWrap w:val="0"/>
                  <w:vAlign w:val="center"/>
                </w:tcPr>
                <w:p w14:paraId="43E17930">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cs="Times New Roman"/>
                      <w:color w:val="auto"/>
                      <w:spacing w:val="-10"/>
                      <w:sz w:val="21"/>
                      <w:szCs w:val="21"/>
                      <w:highlight w:val="none"/>
                      <w:lang w:val="en-US" w:eastAsia="zh-CN"/>
                    </w:rPr>
                  </w:pPr>
                  <w:r>
                    <w:rPr>
                      <w:rFonts w:hint="default" w:cs="Times New Roman"/>
                      <w:color w:val="auto"/>
                      <w:spacing w:val="-10"/>
                      <w:sz w:val="21"/>
                      <w:szCs w:val="21"/>
                      <w:highlight w:val="none"/>
                      <w:lang w:val="en-US" w:eastAsia="zh-CN"/>
                    </w:rPr>
                    <w:t xml:space="preserve">70.6 </w:t>
                  </w:r>
                </w:p>
              </w:tc>
              <w:tc>
                <w:tcPr>
                  <w:tcW w:w="331" w:type="pct"/>
                  <w:tcBorders>
                    <w:tl2br w:val="nil"/>
                    <w:tr2bl w:val="nil"/>
                  </w:tcBorders>
                  <w:noWrap w:val="0"/>
                  <w:vAlign w:val="center"/>
                </w:tcPr>
                <w:p w14:paraId="0443D59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c>
                <w:tcPr>
                  <w:tcW w:w="460" w:type="pct"/>
                  <w:tcBorders>
                    <w:tl2br w:val="nil"/>
                    <w:tr2bl w:val="nil"/>
                  </w:tcBorders>
                  <w:noWrap w:val="0"/>
                  <w:vAlign w:val="center"/>
                </w:tcPr>
                <w:p w14:paraId="27F2AEE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right="0"/>
                    <w:jc w:val="center"/>
                    <w:textAlignment w:val="auto"/>
                    <w:rPr>
                      <w:rFonts w:hint="default" w:ascii="Times New Roman" w:hAnsi="Times New Roman" w:eastAsia="宋体" w:cs="Times New Roman"/>
                      <w:color w:val="auto"/>
                      <w:spacing w:val="-10"/>
                      <w:sz w:val="21"/>
                      <w:szCs w:val="21"/>
                      <w:highlight w:val="none"/>
                      <w:lang w:val="en-US"/>
                    </w:rPr>
                  </w:pPr>
                  <w:r>
                    <w:rPr>
                      <w:rFonts w:hint="eastAsia" w:cs="Times New Roman"/>
                      <w:color w:val="auto"/>
                      <w:spacing w:val="-10"/>
                      <w:sz w:val="21"/>
                      <w:szCs w:val="21"/>
                      <w:highlight w:val="none"/>
                      <w:lang w:val="en-US" w:eastAsia="zh-CN"/>
                    </w:rPr>
                    <w:t>20</w:t>
                  </w:r>
                </w:p>
              </w:tc>
              <w:tc>
                <w:tcPr>
                  <w:tcW w:w="441" w:type="pct"/>
                  <w:tcBorders>
                    <w:tl2br w:val="nil"/>
                    <w:tr2bl w:val="nil"/>
                  </w:tcBorders>
                  <w:noWrap w:val="0"/>
                  <w:vAlign w:val="center"/>
                </w:tcPr>
                <w:p w14:paraId="156B205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 xml:space="preserve">44.6 </w:t>
                  </w:r>
                </w:p>
              </w:tc>
              <w:tc>
                <w:tcPr>
                  <w:tcW w:w="718" w:type="pct"/>
                  <w:tcBorders>
                    <w:tl2br w:val="nil"/>
                    <w:tr2bl w:val="nil"/>
                  </w:tcBorders>
                  <w:noWrap/>
                  <w:vAlign w:val="center"/>
                </w:tcPr>
                <w:p w14:paraId="45C79CF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cs="Times New Roman"/>
                      <w:color w:val="auto"/>
                      <w:spacing w:val="-10"/>
                      <w:kern w:val="2"/>
                      <w:sz w:val="21"/>
                      <w:szCs w:val="21"/>
                      <w:highlight w:val="none"/>
                      <w:lang w:val="en-US" w:eastAsia="zh-CN" w:bidi="ar-SA"/>
                    </w:rPr>
                  </w:pPr>
                  <w:r>
                    <w:rPr>
                      <w:rFonts w:hint="default" w:cs="Times New Roman"/>
                      <w:color w:val="auto"/>
                      <w:spacing w:val="-10"/>
                      <w:kern w:val="2"/>
                      <w:sz w:val="21"/>
                      <w:szCs w:val="21"/>
                      <w:highlight w:val="none"/>
                      <w:lang w:val="en-US" w:eastAsia="zh-CN" w:bidi="ar-SA"/>
                    </w:rPr>
                    <w:t>1</w:t>
                  </w:r>
                </w:p>
              </w:tc>
            </w:tr>
          </w:tbl>
          <w:p w14:paraId="0207B655">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4-</w:t>
            </w:r>
            <w:r>
              <w:rPr>
                <w:rFonts w:hint="eastAsia" w:cs="Times New Roman"/>
                <w:b/>
                <w:bCs w:val="0"/>
                <w:color w:val="auto"/>
                <w:sz w:val="21"/>
                <w:szCs w:val="21"/>
                <w:highlight w:val="none"/>
                <w:lang w:val="en-US" w:eastAsia="zh-CN"/>
              </w:rPr>
              <w:t xml:space="preserve">13 </w:t>
            </w:r>
            <w:r>
              <w:rPr>
                <w:rFonts w:hint="default" w:ascii="Times New Roman" w:hAnsi="Times New Roman" w:eastAsia="宋体" w:cs="Times New Roman"/>
                <w:b/>
                <w:bCs w:val="0"/>
                <w:color w:val="auto"/>
                <w:sz w:val="21"/>
                <w:szCs w:val="21"/>
                <w:highlight w:val="none"/>
                <w:lang w:val="en-US" w:eastAsia="zh-CN"/>
              </w:rPr>
              <w:t>本项目</w:t>
            </w:r>
            <w:r>
              <w:rPr>
                <w:rFonts w:hint="eastAsia" w:cs="Times New Roman"/>
                <w:b/>
                <w:bCs w:val="0"/>
                <w:color w:val="auto"/>
                <w:sz w:val="21"/>
                <w:szCs w:val="21"/>
                <w:highlight w:val="none"/>
                <w:lang w:val="en-US" w:eastAsia="zh-CN"/>
              </w:rPr>
              <w:t>新增</w:t>
            </w:r>
            <w:r>
              <w:rPr>
                <w:rFonts w:hint="eastAsia" w:ascii="Times New Roman" w:hAnsi="Times New Roman" w:eastAsia="宋体" w:cs="Times New Roman"/>
                <w:b/>
                <w:bCs w:val="0"/>
                <w:color w:val="auto"/>
                <w:sz w:val="21"/>
                <w:szCs w:val="21"/>
                <w:highlight w:val="none"/>
                <w:lang w:val="en-US" w:eastAsia="zh-CN"/>
              </w:rPr>
              <w:t>室外</w:t>
            </w:r>
            <w:r>
              <w:rPr>
                <w:rFonts w:hint="default" w:ascii="Times New Roman" w:hAnsi="Times New Roman" w:eastAsia="宋体" w:cs="Times New Roman"/>
                <w:b/>
                <w:bCs w:val="0"/>
                <w:color w:val="auto"/>
                <w:sz w:val="21"/>
                <w:szCs w:val="21"/>
                <w:highlight w:val="none"/>
                <w:lang w:val="en-US" w:eastAsia="zh-CN"/>
              </w:rPr>
              <w:t>噪声源参数一览表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
              <w:gridCol w:w="1197"/>
              <w:gridCol w:w="1091"/>
              <w:gridCol w:w="2068"/>
              <w:gridCol w:w="1342"/>
              <w:gridCol w:w="1158"/>
              <w:gridCol w:w="829"/>
            </w:tblGrid>
            <w:tr w14:paraId="0083E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vMerge w:val="restart"/>
                  <w:noWrap w:val="0"/>
                  <w:vAlign w:val="center"/>
                </w:tcPr>
                <w:p w14:paraId="21799826">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序号</w:t>
                  </w:r>
                </w:p>
              </w:tc>
              <w:tc>
                <w:tcPr>
                  <w:tcW w:w="710" w:type="pct"/>
                  <w:vMerge w:val="restart"/>
                  <w:noWrap w:val="0"/>
                  <w:vAlign w:val="center"/>
                </w:tcPr>
                <w:p w14:paraId="79FDE24D">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声源名称</w:t>
                  </w:r>
                </w:p>
              </w:tc>
              <w:tc>
                <w:tcPr>
                  <w:tcW w:w="647" w:type="pct"/>
                  <w:vMerge w:val="restart"/>
                  <w:noWrap w:val="0"/>
                  <w:vAlign w:val="center"/>
                </w:tcPr>
                <w:p w14:paraId="7D1E7A41">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型号</w:t>
                  </w:r>
                </w:p>
              </w:tc>
              <w:tc>
                <w:tcPr>
                  <w:tcW w:w="1227" w:type="pct"/>
                  <w:noWrap w:val="0"/>
                  <w:vAlign w:val="center"/>
                </w:tcPr>
                <w:p w14:paraId="4F46BE10">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空间相对位置</w:t>
                  </w:r>
                  <w:r>
                    <w:rPr>
                      <w:rFonts w:hint="default" w:ascii="Times New Roman" w:hAnsi="Times New Roman" w:cs="Times New Roman"/>
                      <w:color w:val="auto"/>
                      <w:sz w:val="21"/>
                      <w:szCs w:val="21"/>
                      <w:highlight w:val="none"/>
                      <w:lang w:val="en-US"/>
                    </w:rPr>
                    <w:t>/m</w:t>
                  </w:r>
                </w:p>
              </w:tc>
              <w:tc>
                <w:tcPr>
                  <w:tcW w:w="796" w:type="pct"/>
                  <w:vMerge w:val="restart"/>
                  <w:noWrap w:val="0"/>
                  <w:vAlign w:val="center"/>
                </w:tcPr>
                <w:p w14:paraId="74EB95B0">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声功率级</w:t>
                  </w:r>
                  <w:r>
                    <w:rPr>
                      <w:rFonts w:hint="default" w:ascii="Times New Roman" w:hAnsi="Times New Roman" w:cs="Times New Roman"/>
                      <w:color w:val="auto"/>
                      <w:sz w:val="21"/>
                      <w:szCs w:val="21"/>
                      <w:highlight w:val="none"/>
                      <w:lang w:val="en-US"/>
                    </w:rPr>
                    <w:t>/dB（A）</w:t>
                  </w:r>
                </w:p>
              </w:tc>
              <w:tc>
                <w:tcPr>
                  <w:tcW w:w="687" w:type="pct"/>
                  <w:vMerge w:val="restart"/>
                  <w:noWrap w:val="0"/>
                  <w:vAlign w:val="center"/>
                </w:tcPr>
                <w:p w14:paraId="388DE7FB">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声源控制措施</w:t>
                  </w:r>
                </w:p>
              </w:tc>
              <w:tc>
                <w:tcPr>
                  <w:tcW w:w="492" w:type="pct"/>
                  <w:vMerge w:val="restart"/>
                  <w:noWrap w:val="0"/>
                  <w:vAlign w:val="center"/>
                </w:tcPr>
                <w:p w14:paraId="04F380E0">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运行时段</w:t>
                  </w:r>
                </w:p>
              </w:tc>
            </w:tr>
            <w:tr w14:paraId="37A5E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vMerge w:val="continue"/>
                  <w:noWrap w:val="0"/>
                  <w:vAlign w:val="center"/>
                </w:tcPr>
                <w:p w14:paraId="7A5ACCF0">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710" w:type="pct"/>
                  <w:vMerge w:val="continue"/>
                  <w:noWrap w:val="0"/>
                  <w:vAlign w:val="center"/>
                </w:tcPr>
                <w:p w14:paraId="339A3A38">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647" w:type="pct"/>
                  <w:vMerge w:val="continue"/>
                  <w:noWrap w:val="0"/>
                  <w:vAlign w:val="center"/>
                </w:tcPr>
                <w:p w14:paraId="6AA1F8F2">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1227" w:type="pct"/>
                  <w:noWrap w:val="0"/>
                  <w:vAlign w:val="center"/>
                </w:tcPr>
                <w:p w14:paraId="3563257E">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cs="Times New Roman"/>
                      <w:snapToGrid w:val="0"/>
                      <w:color w:val="auto"/>
                      <w:spacing w:val="-2"/>
                      <w:sz w:val="21"/>
                      <w:szCs w:val="21"/>
                      <w:highlight w:val="none"/>
                      <w:lang w:val="en-US" w:eastAsia="zh-CN"/>
                    </w:rPr>
                    <w:t>X，Y，</w:t>
                  </w:r>
                  <w:r>
                    <w:rPr>
                      <w:rFonts w:hint="default" w:ascii="Times New Roman" w:hAnsi="Times New Roman" w:cs="Times New Roman"/>
                      <w:snapToGrid w:val="0"/>
                      <w:color w:val="auto"/>
                      <w:spacing w:val="-2"/>
                      <w:sz w:val="21"/>
                      <w:szCs w:val="21"/>
                      <w:highlight w:val="none"/>
                      <w:lang w:val="en-US"/>
                    </w:rPr>
                    <w:t>Z</w:t>
                  </w:r>
                </w:p>
              </w:tc>
              <w:tc>
                <w:tcPr>
                  <w:tcW w:w="796" w:type="pct"/>
                  <w:vMerge w:val="continue"/>
                  <w:noWrap w:val="0"/>
                  <w:vAlign w:val="center"/>
                </w:tcPr>
                <w:p w14:paraId="0A5BEE8E">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687" w:type="pct"/>
                  <w:vMerge w:val="continue"/>
                  <w:noWrap w:val="0"/>
                  <w:vAlign w:val="center"/>
                </w:tcPr>
                <w:p w14:paraId="563D7FC6">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492" w:type="pct"/>
                  <w:vMerge w:val="continue"/>
                  <w:noWrap w:val="0"/>
                  <w:vAlign w:val="center"/>
                </w:tcPr>
                <w:p w14:paraId="0B6C2E84">
                  <w:pPr>
                    <w:pStyle w:val="47"/>
                    <w:spacing w:line="240" w:lineRule="auto"/>
                    <w:ind w:firstLine="0" w:firstLineChars="0"/>
                    <w:jc w:val="center"/>
                    <w:rPr>
                      <w:rFonts w:ascii="Times New Roman" w:hAnsi="Times New Roman" w:cs="Times New Roman"/>
                      <w:color w:val="auto"/>
                      <w:sz w:val="21"/>
                      <w:szCs w:val="21"/>
                      <w:highlight w:val="none"/>
                      <w:lang w:val="en-US"/>
                    </w:rPr>
                  </w:pPr>
                </w:p>
              </w:tc>
            </w:tr>
            <w:tr w14:paraId="71259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32FA12F4">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cs="Times New Roman"/>
                      <w:color w:val="auto"/>
                      <w:sz w:val="21"/>
                      <w:szCs w:val="21"/>
                      <w:highlight w:val="none"/>
                      <w:lang w:val="en-US"/>
                    </w:rPr>
                    <w:t>1</w:t>
                  </w:r>
                </w:p>
              </w:tc>
              <w:tc>
                <w:tcPr>
                  <w:tcW w:w="710" w:type="pct"/>
                  <w:noWrap w:val="0"/>
                  <w:vAlign w:val="center"/>
                </w:tcPr>
                <w:p w14:paraId="138A4169">
                  <w:pPr>
                    <w:pStyle w:val="47"/>
                    <w:spacing w:line="240" w:lineRule="auto"/>
                    <w:ind w:firstLine="0" w:firstLineChars="0"/>
                    <w:jc w:val="center"/>
                    <w:rPr>
                      <w:rFonts w:hint="default" w:ascii="Times New Roman" w:hAnsi="Times New Roman" w:cs="Times New Roman"/>
                      <w:color w:val="auto"/>
                      <w:sz w:val="21"/>
                      <w:szCs w:val="21"/>
                      <w:highlight w:val="none"/>
                      <w:lang w:val="en-US" w:eastAsia="zh-CN"/>
                    </w:rPr>
                  </w:pPr>
                  <w:r>
                    <w:rPr>
                      <w:rFonts w:hint="default"/>
                      <w:color w:val="auto"/>
                      <w:sz w:val="21"/>
                      <w:szCs w:val="21"/>
                      <w:highlight w:val="none"/>
                    </w:rPr>
                    <w:t>除尘风机</w:t>
                  </w:r>
                </w:p>
              </w:tc>
              <w:tc>
                <w:tcPr>
                  <w:tcW w:w="647" w:type="pct"/>
                  <w:noWrap w:val="0"/>
                  <w:vAlign w:val="center"/>
                </w:tcPr>
                <w:p w14:paraId="53AABFD7">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eastAsia="宋体" w:cs="Times New Roman"/>
                      <w:color w:val="auto"/>
                      <w:sz w:val="21"/>
                      <w:szCs w:val="21"/>
                      <w:highlight w:val="none"/>
                    </w:rPr>
                    <w:t>2000m</w:t>
                  </w:r>
                  <w:r>
                    <w:rPr>
                      <w:rFonts w:hint="eastAsia"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rPr>
                    <w:t>/h</w:t>
                  </w:r>
                </w:p>
              </w:tc>
              <w:tc>
                <w:tcPr>
                  <w:tcW w:w="1227" w:type="pct"/>
                  <w:noWrap w:val="0"/>
                  <w:vAlign w:val="center"/>
                </w:tcPr>
                <w:p w14:paraId="45E097C4">
                  <w:pPr>
                    <w:pStyle w:val="47"/>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33.4，223.5，1</w:t>
                  </w:r>
                  <w:r>
                    <w:rPr>
                      <w:rFonts w:hint="eastAsia" w:ascii="Times New Roman" w:hAnsi="Times New Roman" w:eastAsia="宋体" w:cs="Times New Roman"/>
                      <w:color w:val="auto"/>
                      <w:sz w:val="21"/>
                      <w:szCs w:val="21"/>
                      <w:highlight w:val="none"/>
                      <w:lang w:eastAsia="zh-CN"/>
                    </w:rPr>
                    <w:t>）</w:t>
                  </w:r>
                </w:p>
              </w:tc>
              <w:tc>
                <w:tcPr>
                  <w:tcW w:w="796" w:type="pct"/>
                  <w:noWrap w:val="0"/>
                  <w:vAlign w:val="center"/>
                </w:tcPr>
                <w:p w14:paraId="346CA1C3">
                  <w:pPr>
                    <w:pStyle w:val="47"/>
                    <w:spacing w:line="240" w:lineRule="auto"/>
                    <w:ind w:firstLine="0" w:firstLineChars="0"/>
                    <w:jc w:val="center"/>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80</w:t>
                  </w:r>
                </w:p>
              </w:tc>
              <w:tc>
                <w:tcPr>
                  <w:tcW w:w="687" w:type="pct"/>
                  <w:vMerge w:val="restart"/>
                  <w:noWrap w:val="0"/>
                  <w:vAlign w:val="center"/>
                </w:tcPr>
                <w:p w14:paraId="3240CB61">
                  <w:pPr>
                    <w:pStyle w:val="47"/>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rPr>
                    <w:t>安装消声器衰减</w:t>
                  </w:r>
                  <w:r>
                    <w:rPr>
                      <w:rFonts w:hint="default" w:ascii="Times New Roman" w:hAnsi="Times New Roman" w:cs="Times New Roman"/>
                      <w:color w:val="auto"/>
                      <w:sz w:val="21"/>
                      <w:szCs w:val="21"/>
                      <w:highlight w:val="none"/>
                      <w:lang w:val="en-US" w:eastAsia="zh-CN"/>
                    </w:rPr>
                    <w:t>20</w:t>
                  </w:r>
                  <w:r>
                    <w:rPr>
                      <w:rFonts w:ascii="Times New Roman" w:hAnsi="Times New Roman" w:cs="Times New Roman"/>
                      <w:color w:val="auto"/>
                      <w:sz w:val="21"/>
                      <w:szCs w:val="21"/>
                      <w:highlight w:val="none"/>
                    </w:rPr>
                    <w:t>dB</w:t>
                  </w:r>
                  <w:r>
                    <w:rPr>
                      <w:rFonts w:hint="eastAsia" w:cs="Times New Roman"/>
                      <w:color w:val="auto"/>
                      <w:sz w:val="21"/>
                      <w:szCs w:val="21"/>
                      <w:highlight w:val="none"/>
                      <w:lang w:eastAsia="zh-CN"/>
                    </w:rPr>
                    <w:t>（</w:t>
                  </w:r>
                  <w:r>
                    <w:rPr>
                      <w:rFonts w:ascii="Times New Roman" w:hAnsi="Times New Roman" w:cs="Times New Roman"/>
                      <w:color w:val="auto"/>
                      <w:sz w:val="21"/>
                      <w:szCs w:val="21"/>
                      <w:highlight w:val="none"/>
                    </w:rPr>
                    <w:t>A</w:t>
                  </w:r>
                  <w:r>
                    <w:rPr>
                      <w:rFonts w:hint="eastAsia" w:cs="Times New Roman"/>
                      <w:color w:val="auto"/>
                      <w:sz w:val="21"/>
                      <w:szCs w:val="21"/>
                      <w:highlight w:val="none"/>
                      <w:lang w:eastAsia="zh-CN"/>
                    </w:rPr>
                    <w:t>）</w:t>
                  </w:r>
                </w:p>
              </w:tc>
              <w:tc>
                <w:tcPr>
                  <w:tcW w:w="492" w:type="pct"/>
                  <w:vMerge w:val="restart"/>
                  <w:noWrap w:val="0"/>
                  <w:vAlign w:val="center"/>
                </w:tcPr>
                <w:p w14:paraId="7382F086">
                  <w:pPr>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r>
            <w:tr w14:paraId="604FA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0AB5D32D">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w:t>
                  </w:r>
                </w:p>
              </w:tc>
              <w:tc>
                <w:tcPr>
                  <w:tcW w:w="710" w:type="pct"/>
                  <w:noWrap w:val="0"/>
                  <w:vAlign w:val="center"/>
                </w:tcPr>
                <w:p w14:paraId="17DEEF3D">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rPr>
                  </w:pPr>
                  <w:r>
                    <w:rPr>
                      <w:rFonts w:hint="default"/>
                      <w:color w:val="auto"/>
                      <w:sz w:val="21"/>
                      <w:szCs w:val="21"/>
                      <w:highlight w:val="none"/>
                    </w:rPr>
                    <w:t>尾气风机</w:t>
                  </w:r>
                </w:p>
              </w:tc>
              <w:tc>
                <w:tcPr>
                  <w:tcW w:w="647" w:type="pct"/>
                  <w:noWrap w:val="0"/>
                  <w:vAlign w:val="center"/>
                </w:tcPr>
                <w:p w14:paraId="0AA67F9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9</w:t>
                  </w:r>
                  <w:r>
                    <w:rPr>
                      <w:rFonts w:hint="default" w:ascii="Times New Roman" w:hAnsi="Times New Roman" w:eastAsia="宋体" w:cs="Times New Roman"/>
                      <w:color w:val="auto"/>
                      <w:sz w:val="21"/>
                      <w:szCs w:val="21"/>
                      <w:highlight w:val="none"/>
                    </w:rPr>
                    <w:t>000m</w:t>
                  </w:r>
                  <w:r>
                    <w:rPr>
                      <w:rFonts w:hint="eastAsia" w:ascii="Times New Roman" w:hAnsi="Times New Roman" w:eastAsia="宋体" w:cs="Times New Roman"/>
                      <w:color w:val="auto"/>
                      <w:sz w:val="21"/>
                      <w:szCs w:val="21"/>
                      <w:highlight w:val="none"/>
                      <w:vertAlign w:val="superscript"/>
                      <w:lang w:val="en-US" w:eastAsia="zh-CN"/>
                    </w:rPr>
                    <w:t>3</w:t>
                  </w:r>
                  <w:r>
                    <w:rPr>
                      <w:rFonts w:hint="default" w:ascii="Times New Roman" w:hAnsi="Times New Roman" w:eastAsia="宋体" w:cs="Times New Roman"/>
                      <w:color w:val="auto"/>
                      <w:sz w:val="21"/>
                      <w:szCs w:val="21"/>
                      <w:highlight w:val="none"/>
                    </w:rPr>
                    <w:t>/h</w:t>
                  </w:r>
                </w:p>
              </w:tc>
              <w:tc>
                <w:tcPr>
                  <w:tcW w:w="1227" w:type="pct"/>
                  <w:noWrap w:val="0"/>
                  <w:vAlign w:val="center"/>
                </w:tcPr>
                <w:p w14:paraId="1F1C556C">
                  <w:pPr>
                    <w:pStyle w:val="47"/>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29.7，</w:t>
                  </w:r>
                  <w:bookmarkStart w:id="40" w:name="OLE_LINK19"/>
                  <w:r>
                    <w:rPr>
                      <w:rFonts w:hint="eastAsia" w:cs="Times New Roman"/>
                      <w:color w:val="auto"/>
                      <w:sz w:val="21"/>
                      <w:szCs w:val="21"/>
                      <w:highlight w:val="none"/>
                      <w:lang w:val="en-US" w:eastAsia="zh-CN"/>
                    </w:rPr>
                    <w:t>223.6</w:t>
                  </w:r>
                  <w:bookmarkEnd w:id="40"/>
                  <w:r>
                    <w:rPr>
                      <w:rFonts w:hint="eastAsia"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eastAsia="zh-CN"/>
                    </w:rPr>
                    <w:t>）</w:t>
                  </w:r>
                </w:p>
              </w:tc>
              <w:tc>
                <w:tcPr>
                  <w:tcW w:w="796" w:type="pct"/>
                  <w:noWrap w:val="0"/>
                  <w:vAlign w:val="center"/>
                </w:tcPr>
                <w:p w14:paraId="4919F8B5">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90</w:t>
                  </w:r>
                </w:p>
              </w:tc>
              <w:tc>
                <w:tcPr>
                  <w:tcW w:w="687" w:type="pct"/>
                  <w:vMerge w:val="continue"/>
                  <w:noWrap w:val="0"/>
                  <w:vAlign w:val="center"/>
                </w:tcPr>
                <w:p w14:paraId="3A786505">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732BF517">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r w14:paraId="08448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653CBBE7">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w:t>
                  </w:r>
                </w:p>
              </w:tc>
              <w:tc>
                <w:tcPr>
                  <w:tcW w:w="710" w:type="pct"/>
                  <w:noWrap w:val="0"/>
                  <w:vAlign w:val="center"/>
                </w:tcPr>
                <w:p w14:paraId="036B9271">
                  <w:pPr>
                    <w:pStyle w:val="56"/>
                    <w:ind w:firstLine="0" w:firstLineChars="0"/>
                    <w:rPr>
                      <w:rFonts w:hint="default" w:ascii="Times New Roman" w:hAnsi="Times New Roman" w:eastAsia="宋体" w:cs="Times New Roman"/>
                      <w:color w:val="auto"/>
                      <w:sz w:val="21"/>
                      <w:szCs w:val="21"/>
                      <w:highlight w:val="none"/>
                    </w:rPr>
                  </w:pPr>
                  <w:r>
                    <w:rPr>
                      <w:rFonts w:hint="default"/>
                      <w:color w:val="auto"/>
                      <w:sz w:val="21"/>
                      <w:szCs w:val="21"/>
                      <w:highlight w:val="none"/>
                    </w:rPr>
                    <w:t>水洗循环泵</w:t>
                  </w:r>
                </w:p>
              </w:tc>
              <w:tc>
                <w:tcPr>
                  <w:tcW w:w="647" w:type="pct"/>
                  <w:noWrap w:val="0"/>
                  <w:vAlign w:val="center"/>
                </w:tcPr>
                <w:p w14:paraId="0104327A">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227" w:type="pct"/>
                  <w:noWrap w:val="0"/>
                  <w:vAlign w:val="center"/>
                </w:tcPr>
                <w:p w14:paraId="25607ADF">
                  <w:pPr>
                    <w:pStyle w:val="47"/>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30.3，223.6，1</w:t>
                  </w:r>
                  <w:r>
                    <w:rPr>
                      <w:rFonts w:hint="eastAsia" w:ascii="Times New Roman" w:hAnsi="Times New Roman" w:eastAsia="宋体" w:cs="Times New Roman"/>
                      <w:color w:val="auto"/>
                      <w:sz w:val="21"/>
                      <w:szCs w:val="21"/>
                      <w:highlight w:val="none"/>
                      <w:lang w:eastAsia="zh-CN"/>
                    </w:rPr>
                    <w:t>）</w:t>
                  </w:r>
                </w:p>
              </w:tc>
              <w:tc>
                <w:tcPr>
                  <w:tcW w:w="796" w:type="pct"/>
                  <w:noWrap w:val="0"/>
                  <w:vAlign w:val="center"/>
                </w:tcPr>
                <w:p w14:paraId="07992D04">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80</w:t>
                  </w:r>
                </w:p>
              </w:tc>
              <w:tc>
                <w:tcPr>
                  <w:tcW w:w="687" w:type="pct"/>
                  <w:vMerge w:val="continue"/>
                  <w:noWrap w:val="0"/>
                  <w:vAlign w:val="center"/>
                </w:tcPr>
                <w:p w14:paraId="1DD323E5">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19A5ECC5">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r w14:paraId="0D5B2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67740A95">
                  <w:pPr>
                    <w:pStyle w:val="47"/>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4</w:t>
                  </w:r>
                </w:p>
              </w:tc>
              <w:tc>
                <w:tcPr>
                  <w:tcW w:w="710" w:type="pct"/>
                  <w:noWrap w:val="0"/>
                  <w:vAlign w:val="center"/>
                </w:tcPr>
                <w:p w14:paraId="00AFCBEC">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color w:val="auto"/>
                      <w:sz w:val="21"/>
                      <w:szCs w:val="21"/>
                      <w:highlight w:val="none"/>
                    </w:rPr>
                    <w:t>酸洗</w:t>
                  </w:r>
                  <w:r>
                    <w:rPr>
                      <w:color w:val="auto"/>
                      <w:sz w:val="21"/>
                      <w:szCs w:val="21"/>
                      <w:highlight w:val="none"/>
                    </w:rPr>
                    <w:t>循</w:t>
                  </w:r>
                  <w:r>
                    <w:rPr>
                      <w:rFonts w:hint="default"/>
                      <w:color w:val="auto"/>
                      <w:sz w:val="21"/>
                      <w:szCs w:val="21"/>
                      <w:highlight w:val="none"/>
                    </w:rPr>
                    <w:t>环泵</w:t>
                  </w:r>
                </w:p>
              </w:tc>
              <w:tc>
                <w:tcPr>
                  <w:tcW w:w="647" w:type="pct"/>
                  <w:noWrap w:val="0"/>
                  <w:vAlign w:val="center"/>
                </w:tcPr>
                <w:p w14:paraId="5B369B45">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1227" w:type="pct"/>
                  <w:noWrap w:val="0"/>
                  <w:vAlign w:val="center"/>
                </w:tcPr>
                <w:p w14:paraId="708D7522">
                  <w:pPr>
                    <w:pStyle w:val="47"/>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35.2，223.6，1</w:t>
                  </w:r>
                  <w:r>
                    <w:rPr>
                      <w:rFonts w:hint="eastAsia" w:ascii="Times New Roman" w:hAnsi="Times New Roman" w:eastAsia="宋体" w:cs="Times New Roman"/>
                      <w:color w:val="auto"/>
                      <w:sz w:val="21"/>
                      <w:szCs w:val="21"/>
                      <w:highlight w:val="none"/>
                      <w:lang w:eastAsia="zh-CN"/>
                    </w:rPr>
                    <w:t>）</w:t>
                  </w:r>
                </w:p>
              </w:tc>
              <w:tc>
                <w:tcPr>
                  <w:tcW w:w="796" w:type="pct"/>
                  <w:noWrap w:val="0"/>
                  <w:vAlign w:val="center"/>
                </w:tcPr>
                <w:p w14:paraId="4F276621">
                  <w:pPr>
                    <w:pStyle w:val="47"/>
                    <w:spacing w:line="240" w:lineRule="auto"/>
                    <w:ind w:firstLine="0" w:firstLineChars="0"/>
                    <w:jc w:val="center"/>
                    <w:rPr>
                      <w:rFonts w:hint="default" w:ascii="Times New Roman" w:hAnsi="Times New Roman" w:cs="Times New Roman"/>
                      <w:color w:val="auto"/>
                      <w:sz w:val="21"/>
                      <w:szCs w:val="21"/>
                      <w:highlight w:val="none"/>
                      <w:lang w:val="en-US" w:eastAsia="zh-CN"/>
                    </w:rPr>
                  </w:pPr>
                  <w:r>
                    <w:rPr>
                      <w:rFonts w:hint="eastAsia" w:cs="Times New Roman"/>
                      <w:color w:val="auto"/>
                      <w:sz w:val="21"/>
                      <w:szCs w:val="21"/>
                      <w:highlight w:val="none"/>
                      <w:lang w:val="en-US" w:eastAsia="zh-CN"/>
                    </w:rPr>
                    <w:t>80</w:t>
                  </w:r>
                </w:p>
              </w:tc>
              <w:tc>
                <w:tcPr>
                  <w:tcW w:w="687" w:type="pct"/>
                  <w:vMerge w:val="continue"/>
                  <w:noWrap w:val="0"/>
                  <w:vAlign w:val="center"/>
                </w:tcPr>
                <w:p w14:paraId="5E9889A7">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057806B7">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r w14:paraId="11BAB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24C3B5D0">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5</w:t>
                  </w:r>
                </w:p>
              </w:tc>
              <w:tc>
                <w:tcPr>
                  <w:tcW w:w="710" w:type="pct"/>
                  <w:noWrap w:val="0"/>
                  <w:vAlign w:val="center"/>
                </w:tcPr>
                <w:p w14:paraId="5C6262FA">
                  <w:pPr>
                    <w:pStyle w:val="56"/>
                    <w:ind w:firstLine="0" w:firstLineChars="0"/>
                    <w:rPr>
                      <w:rFonts w:hint="default"/>
                      <w:color w:val="auto"/>
                      <w:sz w:val="21"/>
                      <w:szCs w:val="21"/>
                      <w:highlight w:val="none"/>
                    </w:rPr>
                  </w:pPr>
                  <w:r>
                    <w:rPr>
                      <w:rFonts w:hint="eastAsia" w:ascii="Times New Roman" w:hAnsi="Times New Roman" w:cs="Times New Roman"/>
                      <w:color w:val="auto"/>
                      <w:sz w:val="21"/>
                      <w:szCs w:val="21"/>
                      <w:highlight w:val="none"/>
                      <w:lang w:val="en-US" w:eastAsia="zh-CN"/>
                    </w:rPr>
                    <w:t>空气加热系统鼓风机</w:t>
                  </w:r>
                </w:p>
              </w:tc>
              <w:tc>
                <w:tcPr>
                  <w:tcW w:w="647" w:type="pct"/>
                  <w:noWrap w:val="0"/>
                  <w:vAlign w:val="center"/>
                </w:tcPr>
                <w:p w14:paraId="67A4DE1F">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w:t>
                  </w:r>
                </w:p>
              </w:tc>
              <w:tc>
                <w:tcPr>
                  <w:tcW w:w="1227" w:type="pct"/>
                  <w:noWrap w:val="0"/>
                  <w:vAlign w:val="center"/>
                </w:tcPr>
                <w:p w14:paraId="4BC09406">
                  <w:pPr>
                    <w:pStyle w:val="47"/>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29.5，223.6，1</w:t>
                  </w:r>
                  <w:r>
                    <w:rPr>
                      <w:rFonts w:hint="eastAsia" w:ascii="Times New Roman" w:hAnsi="Times New Roman" w:eastAsia="宋体" w:cs="Times New Roman"/>
                      <w:color w:val="auto"/>
                      <w:sz w:val="21"/>
                      <w:szCs w:val="21"/>
                      <w:highlight w:val="none"/>
                      <w:lang w:eastAsia="zh-CN"/>
                    </w:rPr>
                    <w:t>）</w:t>
                  </w:r>
                </w:p>
              </w:tc>
              <w:tc>
                <w:tcPr>
                  <w:tcW w:w="796" w:type="pct"/>
                  <w:noWrap w:val="0"/>
                  <w:vAlign w:val="center"/>
                </w:tcPr>
                <w:p w14:paraId="1D2A4117">
                  <w:pPr>
                    <w:pStyle w:val="47"/>
                    <w:tabs>
                      <w:tab w:val="left" w:pos="349"/>
                    </w:tabs>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90</w:t>
                  </w:r>
                </w:p>
              </w:tc>
              <w:tc>
                <w:tcPr>
                  <w:tcW w:w="687" w:type="pct"/>
                  <w:vMerge w:val="continue"/>
                  <w:noWrap w:val="0"/>
                  <w:vAlign w:val="center"/>
                </w:tcPr>
                <w:p w14:paraId="75C15922">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6ED0391E">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bl>
          <w:p w14:paraId="0E9AB91A">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4-</w:t>
            </w:r>
            <w:r>
              <w:rPr>
                <w:rFonts w:hint="eastAsia" w:cs="Times New Roman"/>
                <w:b/>
                <w:bCs w:val="0"/>
                <w:color w:val="auto"/>
                <w:sz w:val="21"/>
                <w:szCs w:val="21"/>
                <w:highlight w:val="none"/>
                <w:lang w:val="en-US" w:eastAsia="zh-CN"/>
              </w:rPr>
              <w:t xml:space="preserve">13 </w:t>
            </w:r>
            <w:r>
              <w:rPr>
                <w:rFonts w:hint="default" w:ascii="Times New Roman" w:hAnsi="Times New Roman" w:eastAsia="宋体" w:cs="Times New Roman"/>
                <w:b/>
                <w:bCs w:val="0"/>
                <w:color w:val="auto"/>
                <w:sz w:val="21"/>
                <w:szCs w:val="21"/>
                <w:highlight w:val="none"/>
                <w:lang w:val="en-US" w:eastAsia="zh-CN"/>
              </w:rPr>
              <w:t>本项目</w:t>
            </w:r>
            <w:r>
              <w:rPr>
                <w:rFonts w:hint="eastAsia" w:cs="Times New Roman"/>
                <w:b/>
                <w:bCs w:val="0"/>
                <w:color w:val="auto"/>
                <w:sz w:val="21"/>
                <w:szCs w:val="21"/>
                <w:highlight w:val="none"/>
                <w:lang w:val="en-US" w:eastAsia="zh-CN"/>
              </w:rPr>
              <w:t>淘汰</w:t>
            </w:r>
            <w:r>
              <w:rPr>
                <w:rFonts w:hint="eastAsia" w:ascii="Times New Roman" w:hAnsi="Times New Roman" w:eastAsia="宋体" w:cs="Times New Roman"/>
                <w:b/>
                <w:bCs w:val="0"/>
                <w:color w:val="auto"/>
                <w:sz w:val="21"/>
                <w:szCs w:val="21"/>
                <w:highlight w:val="none"/>
                <w:lang w:val="en-US" w:eastAsia="zh-CN"/>
              </w:rPr>
              <w:t>室外</w:t>
            </w:r>
            <w:r>
              <w:rPr>
                <w:rFonts w:hint="default" w:ascii="Times New Roman" w:hAnsi="Times New Roman" w:eastAsia="宋体" w:cs="Times New Roman"/>
                <w:b/>
                <w:bCs w:val="0"/>
                <w:color w:val="auto"/>
                <w:sz w:val="21"/>
                <w:szCs w:val="21"/>
                <w:highlight w:val="none"/>
                <w:lang w:val="en-US" w:eastAsia="zh-CN"/>
              </w:rPr>
              <w:t>噪声源参数一览表</w:t>
            </w:r>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
              <w:gridCol w:w="1197"/>
              <w:gridCol w:w="1091"/>
              <w:gridCol w:w="2068"/>
              <w:gridCol w:w="1342"/>
              <w:gridCol w:w="1158"/>
              <w:gridCol w:w="829"/>
            </w:tblGrid>
            <w:tr w14:paraId="6F5E1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vMerge w:val="restart"/>
                  <w:noWrap w:val="0"/>
                  <w:vAlign w:val="center"/>
                </w:tcPr>
                <w:p w14:paraId="4E03700A">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序号</w:t>
                  </w:r>
                </w:p>
              </w:tc>
              <w:tc>
                <w:tcPr>
                  <w:tcW w:w="710" w:type="pct"/>
                  <w:vMerge w:val="restart"/>
                  <w:noWrap w:val="0"/>
                  <w:vAlign w:val="center"/>
                </w:tcPr>
                <w:p w14:paraId="53069C6E">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声源名称</w:t>
                  </w:r>
                </w:p>
              </w:tc>
              <w:tc>
                <w:tcPr>
                  <w:tcW w:w="647" w:type="pct"/>
                  <w:vMerge w:val="restart"/>
                  <w:noWrap w:val="0"/>
                  <w:vAlign w:val="center"/>
                </w:tcPr>
                <w:p w14:paraId="5C455EB0">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型号</w:t>
                  </w:r>
                </w:p>
              </w:tc>
              <w:tc>
                <w:tcPr>
                  <w:tcW w:w="1227" w:type="pct"/>
                  <w:noWrap w:val="0"/>
                  <w:vAlign w:val="center"/>
                </w:tcPr>
                <w:p w14:paraId="1009D79D">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空间相对位置</w:t>
                  </w:r>
                  <w:r>
                    <w:rPr>
                      <w:rFonts w:hint="default" w:ascii="Times New Roman" w:hAnsi="Times New Roman" w:cs="Times New Roman"/>
                      <w:color w:val="auto"/>
                      <w:sz w:val="21"/>
                      <w:szCs w:val="21"/>
                      <w:highlight w:val="none"/>
                      <w:lang w:val="en-US"/>
                    </w:rPr>
                    <w:t>/m</w:t>
                  </w:r>
                </w:p>
              </w:tc>
              <w:tc>
                <w:tcPr>
                  <w:tcW w:w="796" w:type="pct"/>
                  <w:vMerge w:val="restart"/>
                  <w:noWrap w:val="0"/>
                  <w:vAlign w:val="center"/>
                </w:tcPr>
                <w:p w14:paraId="0C33EC6A">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声功率级</w:t>
                  </w:r>
                  <w:r>
                    <w:rPr>
                      <w:rFonts w:hint="default" w:ascii="Times New Roman" w:hAnsi="Times New Roman" w:cs="Times New Roman"/>
                      <w:color w:val="auto"/>
                      <w:sz w:val="21"/>
                      <w:szCs w:val="21"/>
                      <w:highlight w:val="none"/>
                      <w:lang w:val="en-US"/>
                    </w:rPr>
                    <w:t>/dB（A）</w:t>
                  </w:r>
                </w:p>
              </w:tc>
              <w:tc>
                <w:tcPr>
                  <w:tcW w:w="687" w:type="pct"/>
                  <w:vMerge w:val="restart"/>
                  <w:noWrap w:val="0"/>
                  <w:vAlign w:val="center"/>
                </w:tcPr>
                <w:p w14:paraId="5F5F9048">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声源控制措施</w:t>
                  </w:r>
                </w:p>
              </w:tc>
              <w:tc>
                <w:tcPr>
                  <w:tcW w:w="492" w:type="pct"/>
                  <w:vMerge w:val="restart"/>
                  <w:noWrap w:val="0"/>
                  <w:vAlign w:val="center"/>
                </w:tcPr>
                <w:p w14:paraId="3CCF59E2">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ascii="Times New Roman" w:hAnsi="Times New Roman" w:cs="Times New Roman"/>
                      <w:color w:val="auto"/>
                      <w:sz w:val="21"/>
                      <w:szCs w:val="21"/>
                      <w:highlight w:val="none"/>
                      <w:lang w:val="en-US"/>
                    </w:rPr>
                    <w:t>运行时段</w:t>
                  </w:r>
                </w:p>
              </w:tc>
            </w:tr>
            <w:tr w14:paraId="52481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vMerge w:val="continue"/>
                  <w:noWrap w:val="0"/>
                  <w:vAlign w:val="center"/>
                </w:tcPr>
                <w:p w14:paraId="5356989C">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710" w:type="pct"/>
                  <w:vMerge w:val="continue"/>
                  <w:noWrap w:val="0"/>
                  <w:vAlign w:val="center"/>
                </w:tcPr>
                <w:p w14:paraId="288FB756">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647" w:type="pct"/>
                  <w:vMerge w:val="continue"/>
                  <w:noWrap w:val="0"/>
                  <w:vAlign w:val="center"/>
                </w:tcPr>
                <w:p w14:paraId="6D5DFE5B">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1227" w:type="pct"/>
                  <w:noWrap w:val="0"/>
                  <w:vAlign w:val="center"/>
                </w:tcPr>
                <w:p w14:paraId="2FDC3527">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cs="Times New Roman"/>
                      <w:snapToGrid w:val="0"/>
                      <w:color w:val="auto"/>
                      <w:spacing w:val="-2"/>
                      <w:sz w:val="21"/>
                      <w:szCs w:val="21"/>
                      <w:highlight w:val="none"/>
                      <w:lang w:val="en-US" w:eastAsia="zh-CN"/>
                    </w:rPr>
                    <w:t>X，Y，</w:t>
                  </w:r>
                  <w:r>
                    <w:rPr>
                      <w:rFonts w:hint="default" w:ascii="Times New Roman" w:hAnsi="Times New Roman" w:cs="Times New Roman"/>
                      <w:snapToGrid w:val="0"/>
                      <w:color w:val="auto"/>
                      <w:spacing w:val="-2"/>
                      <w:sz w:val="21"/>
                      <w:szCs w:val="21"/>
                      <w:highlight w:val="none"/>
                      <w:lang w:val="en-US"/>
                    </w:rPr>
                    <w:t>Z</w:t>
                  </w:r>
                </w:p>
              </w:tc>
              <w:tc>
                <w:tcPr>
                  <w:tcW w:w="796" w:type="pct"/>
                  <w:vMerge w:val="continue"/>
                  <w:noWrap w:val="0"/>
                  <w:vAlign w:val="center"/>
                </w:tcPr>
                <w:p w14:paraId="3896BE91">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687" w:type="pct"/>
                  <w:vMerge w:val="continue"/>
                  <w:noWrap w:val="0"/>
                  <w:vAlign w:val="center"/>
                </w:tcPr>
                <w:p w14:paraId="19F33C98">
                  <w:pPr>
                    <w:pStyle w:val="47"/>
                    <w:spacing w:line="240" w:lineRule="auto"/>
                    <w:ind w:firstLine="0" w:firstLineChars="0"/>
                    <w:jc w:val="center"/>
                    <w:rPr>
                      <w:rFonts w:ascii="Times New Roman" w:hAnsi="Times New Roman" w:cs="Times New Roman"/>
                      <w:color w:val="auto"/>
                      <w:sz w:val="21"/>
                      <w:szCs w:val="21"/>
                      <w:highlight w:val="none"/>
                      <w:lang w:val="en-US"/>
                    </w:rPr>
                  </w:pPr>
                </w:p>
              </w:tc>
              <w:tc>
                <w:tcPr>
                  <w:tcW w:w="492" w:type="pct"/>
                  <w:vMerge w:val="continue"/>
                  <w:noWrap w:val="0"/>
                  <w:vAlign w:val="center"/>
                </w:tcPr>
                <w:p w14:paraId="00040838">
                  <w:pPr>
                    <w:pStyle w:val="47"/>
                    <w:spacing w:line="240" w:lineRule="auto"/>
                    <w:ind w:firstLine="0" w:firstLineChars="0"/>
                    <w:jc w:val="center"/>
                    <w:rPr>
                      <w:rFonts w:ascii="Times New Roman" w:hAnsi="Times New Roman" w:cs="Times New Roman"/>
                      <w:color w:val="auto"/>
                      <w:sz w:val="21"/>
                      <w:szCs w:val="21"/>
                      <w:highlight w:val="none"/>
                      <w:lang w:val="en-US"/>
                    </w:rPr>
                  </w:pPr>
                </w:p>
              </w:tc>
            </w:tr>
            <w:tr w14:paraId="52ED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2F3AF47E">
                  <w:pPr>
                    <w:pStyle w:val="47"/>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cs="Times New Roman"/>
                      <w:color w:val="auto"/>
                      <w:sz w:val="21"/>
                      <w:szCs w:val="21"/>
                      <w:highlight w:val="none"/>
                      <w:lang w:val="en-US"/>
                    </w:rPr>
                    <w:t>1</w:t>
                  </w:r>
                </w:p>
              </w:tc>
              <w:tc>
                <w:tcPr>
                  <w:tcW w:w="710" w:type="pct"/>
                  <w:noWrap w:val="0"/>
                  <w:vAlign w:val="center"/>
                </w:tcPr>
                <w:p w14:paraId="0F49F309">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color w:val="auto"/>
                      <w:sz w:val="21"/>
                      <w:szCs w:val="21"/>
                      <w:highlight w:val="none"/>
                    </w:rPr>
                    <w:t>尾气风机</w:t>
                  </w:r>
                </w:p>
              </w:tc>
              <w:tc>
                <w:tcPr>
                  <w:tcW w:w="647" w:type="pct"/>
                  <w:noWrap w:val="0"/>
                  <w:vAlign w:val="center"/>
                </w:tcPr>
                <w:p w14:paraId="081406B6">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1227" w:type="pct"/>
                  <w:noWrap w:val="0"/>
                  <w:vAlign w:val="center"/>
                </w:tcPr>
                <w:p w14:paraId="0986A84D">
                  <w:pPr>
                    <w:pStyle w:val="47"/>
                    <w:spacing w:line="240" w:lineRule="auto"/>
                    <w:ind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17.7，223.6，1</w:t>
                  </w:r>
                  <w:r>
                    <w:rPr>
                      <w:rFonts w:hint="eastAsia" w:ascii="Times New Roman" w:hAnsi="Times New Roman" w:eastAsia="宋体" w:cs="Times New Roman"/>
                      <w:color w:val="auto"/>
                      <w:sz w:val="21"/>
                      <w:szCs w:val="21"/>
                      <w:highlight w:val="none"/>
                      <w:lang w:eastAsia="zh-CN"/>
                    </w:rPr>
                    <w:t>）</w:t>
                  </w:r>
                </w:p>
              </w:tc>
              <w:tc>
                <w:tcPr>
                  <w:tcW w:w="1342" w:type="dxa"/>
                  <w:noWrap w:val="0"/>
                  <w:vAlign w:val="center"/>
                </w:tcPr>
                <w:p w14:paraId="4BE04DEF">
                  <w:pPr>
                    <w:pStyle w:val="47"/>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80</w:t>
                  </w:r>
                </w:p>
              </w:tc>
              <w:tc>
                <w:tcPr>
                  <w:tcW w:w="687" w:type="pct"/>
                  <w:vMerge w:val="restart"/>
                  <w:noWrap w:val="0"/>
                  <w:vAlign w:val="center"/>
                </w:tcPr>
                <w:p w14:paraId="6D9545A2">
                  <w:pPr>
                    <w:pStyle w:val="47"/>
                    <w:spacing w:line="240" w:lineRule="auto"/>
                    <w:ind w:firstLine="0" w:firstLineChars="0"/>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rPr>
                    <w:t>安装消声器衰减</w:t>
                  </w:r>
                  <w:r>
                    <w:rPr>
                      <w:rFonts w:hint="default" w:ascii="Times New Roman" w:hAnsi="Times New Roman" w:cs="Times New Roman"/>
                      <w:color w:val="auto"/>
                      <w:sz w:val="21"/>
                      <w:szCs w:val="21"/>
                      <w:highlight w:val="none"/>
                      <w:lang w:val="en-US" w:eastAsia="zh-CN"/>
                    </w:rPr>
                    <w:t>20</w:t>
                  </w:r>
                  <w:r>
                    <w:rPr>
                      <w:rFonts w:ascii="Times New Roman" w:hAnsi="Times New Roman" w:cs="Times New Roman"/>
                      <w:color w:val="auto"/>
                      <w:sz w:val="21"/>
                      <w:szCs w:val="21"/>
                      <w:highlight w:val="none"/>
                    </w:rPr>
                    <w:t>dB</w:t>
                  </w:r>
                  <w:r>
                    <w:rPr>
                      <w:rFonts w:hint="eastAsia" w:cs="Times New Roman"/>
                      <w:color w:val="auto"/>
                      <w:sz w:val="21"/>
                      <w:szCs w:val="21"/>
                      <w:highlight w:val="none"/>
                      <w:lang w:eastAsia="zh-CN"/>
                    </w:rPr>
                    <w:t>（</w:t>
                  </w:r>
                  <w:r>
                    <w:rPr>
                      <w:rFonts w:ascii="Times New Roman" w:hAnsi="Times New Roman" w:cs="Times New Roman"/>
                      <w:color w:val="auto"/>
                      <w:sz w:val="21"/>
                      <w:szCs w:val="21"/>
                      <w:highlight w:val="none"/>
                    </w:rPr>
                    <w:t>A</w:t>
                  </w:r>
                  <w:r>
                    <w:rPr>
                      <w:rFonts w:hint="eastAsia" w:cs="Times New Roman"/>
                      <w:color w:val="auto"/>
                      <w:sz w:val="21"/>
                      <w:szCs w:val="21"/>
                      <w:highlight w:val="none"/>
                      <w:lang w:eastAsia="zh-CN"/>
                    </w:rPr>
                    <w:t>）</w:t>
                  </w:r>
                </w:p>
              </w:tc>
              <w:tc>
                <w:tcPr>
                  <w:tcW w:w="492" w:type="pct"/>
                  <w:vMerge w:val="restart"/>
                  <w:noWrap w:val="0"/>
                  <w:vAlign w:val="center"/>
                </w:tcPr>
                <w:p w14:paraId="741B3437">
                  <w:pPr>
                    <w:spacing w:line="240" w:lineRule="auto"/>
                    <w:ind w:firstLine="0" w:firstLineChars="0"/>
                    <w:jc w:val="center"/>
                    <w:rPr>
                      <w:rFonts w:ascii="Times New Roman" w:hAnsi="Times New Roman" w:cs="Times New Roman"/>
                      <w:color w:val="auto"/>
                      <w:sz w:val="21"/>
                      <w:szCs w:val="21"/>
                      <w:highlight w:val="none"/>
                      <w:lang w:val="en-US"/>
                    </w:rPr>
                  </w:pPr>
                  <w:r>
                    <w:rPr>
                      <w:rFonts w:hint="default" w:ascii="Times New Roman" w:hAnsi="Times New Roman" w:eastAsia="宋体" w:cs="Times New Roman"/>
                      <w:color w:val="auto"/>
                      <w:spacing w:val="-10"/>
                      <w:sz w:val="21"/>
                      <w:szCs w:val="21"/>
                      <w:highlight w:val="none"/>
                    </w:rPr>
                    <w:t>昼</w:t>
                  </w:r>
                  <w:r>
                    <w:rPr>
                      <w:rFonts w:hint="default" w:ascii="Times New Roman" w:hAnsi="Times New Roman" w:eastAsia="宋体" w:cs="Times New Roman"/>
                      <w:color w:val="auto"/>
                      <w:spacing w:val="-10"/>
                      <w:sz w:val="21"/>
                      <w:szCs w:val="21"/>
                      <w:highlight w:val="none"/>
                      <w:lang w:eastAsia="zh-CN"/>
                    </w:rPr>
                    <w:t>间、</w:t>
                  </w:r>
                  <w:r>
                    <w:rPr>
                      <w:rFonts w:hint="default" w:ascii="Times New Roman" w:hAnsi="Times New Roman" w:eastAsia="宋体" w:cs="Times New Roman"/>
                      <w:color w:val="auto"/>
                      <w:spacing w:val="-10"/>
                      <w:sz w:val="21"/>
                      <w:szCs w:val="21"/>
                      <w:highlight w:val="none"/>
                      <w:lang w:val="en-US" w:eastAsia="zh-CN"/>
                    </w:rPr>
                    <w:t>夜间</w:t>
                  </w:r>
                </w:p>
              </w:tc>
            </w:tr>
            <w:tr w14:paraId="119E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5F5C11D8">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2</w:t>
                  </w:r>
                </w:p>
              </w:tc>
              <w:tc>
                <w:tcPr>
                  <w:tcW w:w="710" w:type="pct"/>
                  <w:noWrap w:val="0"/>
                  <w:vAlign w:val="center"/>
                </w:tcPr>
                <w:p w14:paraId="57A2E441">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color w:val="auto"/>
                      <w:sz w:val="21"/>
                      <w:szCs w:val="21"/>
                      <w:highlight w:val="none"/>
                    </w:rPr>
                    <w:t>水洗循环泵</w:t>
                  </w:r>
                </w:p>
              </w:tc>
              <w:tc>
                <w:tcPr>
                  <w:tcW w:w="647" w:type="pct"/>
                  <w:noWrap w:val="0"/>
                  <w:vAlign w:val="center"/>
                </w:tcPr>
                <w:p w14:paraId="44F782AC">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1227" w:type="pct"/>
                  <w:noWrap w:val="0"/>
                  <w:vAlign w:val="center"/>
                </w:tcPr>
                <w:p w14:paraId="7D0099E9">
                  <w:pPr>
                    <w:pStyle w:val="47"/>
                    <w:spacing w:line="240" w:lineRule="auto"/>
                    <w:ind w:firstLine="0" w:firstLineChars="0"/>
                    <w:jc w:val="center"/>
                    <w:rPr>
                      <w:rFonts w:hint="eastAsia" w:ascii="Times New Roman" w:hAnsi="Times New Roman" w:eastAsia="宋体" w:cs="Times New Roman"/>
                      <w:color w:val="auto"/>
                      <w:kern w:val="0"/>
                      <w:sz w:val="21"/>
                      <w:szCs w:val="21"/>
                      <w:highlight w:val="none"/>
                      <w:lang w:val="en-GB" w:eastAsia="zh-CN" w:bidi="ar-SA"/>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20.1，221.9，1</w:t>
                  </w:r>
                  <w:r>
                    <w:rPr>
                      <w:rFonts w:hint="eastAsia" w:ascii="Times New Roman" w:hAnsi="Times New Roman" w:eastAsia="宋体" w:cs="Times New Roman"/>
                      <w:color w:val="auto"/>
                      <w:sz w:val="21"/>
                      <w:szCs w:val="21"/>
                      <w:highlight w:val="none"/>
                      <w:lang w:eastAsia="zh-CN"/>
                    </w:rPr>
                    <w:t>）</w:t>
                  </w:r>
                </w:p>
              </w:tc>
              <w:tc>
                <w:tcPr>
                  <w:tcW w:w="1342" w:type="dxa"/>
                  <w:noWrap w:val="0"/>
                  <w:vAlign w:val="center"/>
                </w:tcPr>
                <w:p w14:paraId="346828C6">
                  <w:pPr>
                    <w:pStyle w:val="47"/>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80</w:t>
                  </w:r>
                </w:p>
              </w:tc>
              <w:tc>
                <w:tcPr>
                  <w:tcW w:w="687" w:type="pct"/>
                  <w:vMerge w:val="continue"/>
                  <w:noWrap w:val="0"/>
                  <w:vAlign w:val="center"/>
                </w:tcPr>
                <w:p w14:paraId="01B18B48">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5FE8752F">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r w14:paraId="1068B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7EBFBA8E">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3</w:t>
                  </w:r>
                </w:p>
              </w:tc>
              <w:tc>
                <w:tcPr>
                  <w:tcW w:w="710" w:type="pct"/>
                  <w:noWrap w:val="0"/>
                  <w:vAlign w:val="center"/>
                </w:tcPr>
                <w:p w14:paraId="7924AF6D">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default"/>
                      <w:color w:val="auto"/>
                      <w:sz w:val="21"/>
                      <w:szCs w:val="21"/>
                      <w:highlight w:val="none"/>
                    </w:rPr>
                    <w:t>酸洗</w:t>
                  </w:r>
                  <w:r>
                    <w:rPr>
                      <w:color w:val="auto"/>
                      <w:sz w:val="21"/>
                      <w:szCs w:val="21"/>
                      <w:highlight w:val="none"/>
                    </w:rPr>
                    <w:t>循</w:t>
                  </w:r>
                  <w:r>
                    <w:rPr>
                      <w:rFonts w:hint="default"/>
                      <w:color w:val="auto"/>
                      <w:sz w:val="21"/>
                      <w:szCs w:val="21"/>
                      <w:highlight w:val="none"/>
                    </w:rPr>
                    <w:t>环泵</w:t>
                  </w:r>
                </w:p>
              </w:tc>
              <w:tc>
                <w:tcPr>
                  <w:tcW w:w="647" w:type="pct"/>
                  <w:noWrap w:val="0"/>
                  <w:vAlign w:val="center"/>
                </w:tcPr>
                <w:p w14:paraId="15A09372">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pacing w:val="-10"/>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1227" w:type="pct"/>
                  <w:noWrap w:val="0"/>
                  <w:vAlign w:val="center"/>
                </w:tcPr>
                <w:p w14:paraId="2F046E68">
                  <w:pPr>
                    <w:pStyle w:val="47"/>
                    <w:spacing w:line="240" w:lineRule="auto"/>
                    <w:ind w:firstLine="0" w:firstLineChars="0"/>
                    <w:jc w:val="center"/>
                    <w:rPr>
                      <w:rFonts w:hint="eastAsia" w:ascii="Times New Roman" w:hAnsi="Times New Roman" w:eastAsia="宋体" w:cs="Times New Roman"/>
                      <w:color w:val="auto"/>
                      <w:kern w:val="0"/>
                      <w:sz w:val="21"/>
                      <w:szCs w:val="21"/>
                      <w:highlight w:val="none"/>
                      <w:lang w:val="en-GB" w:eastAsia="zh-CN" w:bidi="ar-SA"/>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19.6，221.9，1</w:t>
                  </w:r>
                  <w:r>
                    <w:rPr>
                      <w:rFonts w:hint="eastAsia" w:ascii="Times New Roman" w:hAnsi="Times New Roman" w:eastAsia="宋体" w:cs="Times New Roman"/>
                      <w:color w:val="auto"/>
                      <w:sz w:val="21"/>
                      <w:szCs w:val="21"/>
                      <w:highlight w:val="none"/>
                      <w:lang w:eastAsia="zh-CN"/>
                    </w:rPr>
                    <w:t>）</w:t>
                  </w:r>
                </w:p>
              </w:tc>
              <w:tc>
                <w:tcPr>
                  <w:tcW w:w="1342" w:type="dxa"/>
                  <w:noWrap w:val="0"/>
                  <w:vAlign w:val="center"/>
                </w:tcPr>
                <w:p w14:paraId="1452EF2F">
                  <w:pPr>
                    <w:pStyle w:val="47"/>
                    <w:spacing w:line="240" w:lineRule="auto"/>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80</w:t>
                  </w:r>
                </w:p>
              </w:tc>
              <w:tc>
                <w:tcPr>
                  <w:tcW w:w="687" w:type="pct"/>
                  <w:vMerge w:val="continue"/>
                  <w:noWrap w:val="0"/>
                  <w:vAlign w:val="center"/>
                </w:tcPr>
                <w:p w14:paraId="177FE8FD">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1F1C9669">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r w14:paraId="5ED76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37" w:type="pct"/>
                  <w:noWrap w:val="0"/>
                  <w:vAlign w:val="center"/>
                </w:tcPr>
                <w:p w14:paraId="68DF0E3F">
                  <w:pPr>
                    <w:pStyle w:val="47"/>
                    <w:spacing w:line="240" w:lineRule="auto"/>
                    <w:ind w:firstLine="0" w:firstLineChars="0"/>
                    <w:jc w:val="center"/>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4</w:t>
                  </w:r>
                </w:p>
              </w:tc>
              <w:tc>
                <w:tcPr>
                  <w:tcW w:w="710" w:type="pct"/>
                  <w:noWrap w:val="0"/>
                  <w:vAlign w:val="center"/>
                </w:tcPr>
                <w:p w14:paraId="63762DAF">
                  <w:pPr>
                    <w:pStyle w:val="56"/>
                    <w:ind w:firstLine="0" w:firstLineChars="0"/>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sz w:val="21"/>
                      <w:szCs w:val="21"/>
                      <w:highlight w:val="none"/>
                      <w:lang w:val="en-US" w:eastAsia="zh-CN"/>
                    </w:rPr>
                    <w:t>空气加热系统鼓风机</w:t>
                  </w:r>
                </w:p>
              </w:tc>
              <w:tc>
                <w:tcPr>
                  <w:tcW w:w="647" w:type="pct"/>
                  <w:noWrap w:val="0"/>
                  <w:vAlign w:val="center"/>
                </w:tcPr>
                <w:p w14:paraId="468690C4">
                  <w:pPr>
                    <w:keepNext w:val="0"/>
                    <w:keepLines w:val="0"/>
                    <w:pageBreakBefore w:val="0"/>
                    <w:widowControl w:val="0"/>
                    <w:suppressLineNumbers w:val="0"/>
                    <w:kinsoku/>
                    <w:wordWrap/>
                    <w:overflowPunct/>
                    <w:topLinePunct w:val="0"/>
                    <w:autoSpaceDE/>
                    <w:autoSpaceDN/>
                    <w:bidi w:val="0"/>
                    <w:snapToGrid/>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1227" w:type="pct"/>
                  <w:noWrap w:val="0"/>
                  <w:vAlign w:val="center"/>
                </w:tcPr>
                <w:p w14:paraId="50811901">
                  <w:pPr>
                    <w:pStyle w:val="47"/>
                    <w:spacing w:line="240" w:lineRule="auto"/>
                    <w:ind w:firstLine="0" w:firstLineChars="0"/>
                    <w:jc w:val="center"/>
                    <w:rPr>
                      <w:rFonts w:hint="eastAsia" w:ascii="Times New Roman" w:hAnsi="Times New Roman" w:eastAsia="宋体" w:cs="Times New Roman"/>
                      <w:color w:val="auto"/>
                      <w:sz w:val="21"/>
                      <w:szCs w:val="21"/>
                      <w:highlight w:val="none"/>
                      <w:lang w:eastAsia="zh-CN"/>
                    </w:rPr>
                  </w:pPr>
                  <w:r>
                    <w:rPr>
                      <w:rFonts w:hint="eastAsia" w:ascii="Times New Roman" w:hAnsi="Times New Roman" w:eastAsia="宋体" w:cs="Times New Roman"/>
                      <w:color w:val="auto"/>
                      <w:sz w:val="21"/>
                      <w:szCs w:val="21"/>
                      <w:highlight w:val="none"/>
                      <w:lang w:eastAsia="zh-CN"/>
                    </w:rPr>
                    <w:t>（</w:t>
                  </w:r>
                  <w:r>
                    <w:rPr>
                      <w:rFonts w:hint="eastAsia" w:cs="Times New Roman"/>
                      <w:color w:val="auto"/>
                      <w:sz w:val="21"/>
                      <w:szCs w:val="21"/>
                      <w:highlight w:val="none"/>
                      <w:lang w:val="en-US" w:eastAsia="zh-CN"/>
                    </w:rPr>
                    <w:t>29.5，223.6，1</w:t>
                  </w:r>
                  <w:r>
                    <w:rPr>
                      <w:rFonts w:hint="eastAsia" w:ascii="Times New Roman" w:hAnsi="Times New Roman" w:eastAsia="宋体" w:cs="Times New Roman"/>
                      <w:color w:val="auto"/>
                      <w:sz w:val="21"/>
                      <w:szCs w:val="21"/>
                      <w:highlight w:val="none"/>
                      <w:lang w:eastAsia="zh-CN"/>
                    </w:rPr>
                    <w:t>）</w:t>
                  </w:r>
                </w:p>
              </w:tc>
              <w:tc>
                <w:tcPr>
                  <w:tcW w:w="1342" w:type="dxa"/>
                  <w:noWrap w:val="0"/>
                  <w:vAlign w:val="center"/>
                </w:tcPr>
                <w:p w14:paraId="16A95A0D">
                  <w:pPr>
                    <w:pStyle w:val="47"/>
                    <w:spacing w:line="240" w:lineRule="auto"/>
                    <w:ind w:firstLine="0" w:firstLineChars="0"/>
                    <w:jc w:val="center"/>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85</w:t>
                  </w:r>
                </w:p>
              </w:tc>
              <w:tc>
                <w:tcPr>
                  <w:tcW w:w="687" w:type="pct"/>
                  <w:vMerge w:val="continue"/>
                  <w:noWrap w:val="0"/>
                  <w:vAlign w:val="center"/>
                </w:tcPr>
                <w:p w14:paraId="3257AD32">
                  <w:pPr>
                    <w:pStyle w:val="47"/>
                    <w:spacing w:line="240" w:lineRule="auto"/>
                    <w:ind w:firstLine="0" w:firstLineChars="0"/>
                    <w:jc w:val="center"/>
                    <w:rPr>
                      <w:rFonts w:hint="default" w:ascii="Times New Roman" w:hAnsi="Times New Roman" w:cs="Times New Roman"/>
                      <w:color w:val="auto"/>
                      <w:sz w:val="21"/>
                      <w:szCs w:val="21"/>
                      <w:highlight w:val="none"/>
                      <w:lang w:val="en-US"/>
                    </w:rPr>
                  </w:pPr>
                </w:p>
              </w:tc>
              <w:tc>
                <w:tcPr>
                  <w:tcW w:w="492" w:type="pct"/>
                  <w:vMerge w:val="continue"/>
                  <w:noWrap w:val="0"/>
                  <w:vAlign w:val="center"/>
                </w:tcPr>
                <w:p w14:paraId="25B247C5">
                  <w:pPr>
                    <w:spacing w:line="240" w:lineRule="auto"/>
                    <w:ind w:firstLine="0" w:firstLineChars="0"/>
                    <w:jc w:val="center"/>
                    <w:rPr>
                      <w:rFonts w:hint="default" w:ascii="Times New Roman" w:hAnsi="Times New Roman" w:eastAsia="宋体" w:cs="Times New Roman"/>
                      <w:color w:val="auto"/>
                      <w:spacing w:val="-10"/>
                      <w:sz w:val="21"/>
                      <w:szCs w:val="21"/>
                      <w:highlight w:val="none"/>
                    </w:rPr>
                  </w:pPr>
                </w:p>
              </w:tc>
            </w:tr>
          </w:tbl>
          <w:p w14:paraId="6672C7CF">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p>
          <w:p w14:paraId="1395AF72">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2、</w:t>
            </w:r>
            <w:r>
              <w:rPr>
                <w:rFonts w:hint="default" w:ascii="Times New Roman" w:hAnsi="Times New Roman" w:eastAsia="宋体" w:cs="Times New Roman"/>
                <w:b w:val="0"/>
                <w:bCs/>
                <w:color w:val="auto"/>
                <w:sz w:val="21"/>
                <w:szCs w:val="21"/>
                <w:highlight w:val="none"/>
                <w:lang w:val="en-US" w:eastAsia="zh-CN"/>
              </w:rPr>
              <w:t>评价范围</w:t>
            </w:r>
          </w:p>
          <w:p w14:paraId="4C3489FF">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本项目噪声评价范围为厂界外1m。</w:t>
            </w:r>
          </w:p>
          <w:p w14:paraId="4A525C83">
            <w:pPr>
              <w:adjustRightInd/>
              <w:snapToGrid/>
              <w:spacing w:beforeLines="0" w:afterLines="0" w:line="360" w:lineRule="auto"/>
              <w:ind w:firstLine="420" w:firstLineChars="200"/>
              <w:rPr>
                <w:rFonts w:hint="default" w:ascii="Times New Roman" w:hAnsi="Times New Roman" w:eastAsia="宋体" w:cs="Times New Roman"/>
                <w:b/>
                <w:bCs w:val="0"/>
                <w:color w:val="auto"/>
                <w:sz w:val="21"/>
                <w:szCs w:val="21"/>
                <w:highlight w:val="none"/>
                <w:lang w:val="en-US" w:eastAsia="zh-CN"/>
              </w:rPr>
            </w:pPr>
            <w:r>
              <w:rPr>
                <w:rFonts w:hint="eastAsia" w:eastAsia="宋体" w:cs="Times New Roman"/>
                <w:b w:val="0"/>
                <w:bCs/>
                <w:color w:val="auto"/>
                <w:sz w:val="21"/>
                <w:szCs w:val="21"/>
                <w:highlight w:val="none"/>
                <w:lang w:val="en-US" w:eastAsia="zh-CN"/>
              </w:rPr>
              <w:t>3、</w:t>
            </w:r>
            <w:r>
              <w:rPr>
                <w:rFonts w:hint="default" w:ascii="Times New Roman" w:hAnsi="Times New Roman" w:eastAsia="宋体" w:cs="Times New Roman"/>
                <w:b w:val="0"/>
                <w:bCs/>
                <w:color w:val="auto"/>
                <w:sz w:val="21"/>
                <w:szCs w:val="21"/>
                <w:highlight w:val="none"/>
                <w:lang w:val="en-US" w:eastAsia="zh-CN"/>
              </w:rPr>
              <w:t>预测模式</w:t>
            </w:r>
          </w:p>
          <w:p w14:paraId="3D54AFA5">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（1）户外声传播衰减</w:t>
            </w:r>
          </w:p>
          <w:p w14:paraId="55773B12">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包括几何发散（Adiv）、大气吸收（Aatm）、地面效应（Agr）、障碍物屏蔽（Abar）、其他多方面效应（Amisc）引起的衰减。</w:t>
            </w:r>
          </w:p>
          <w:p w14:paraId="3ECD8F6F">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在环境影响评价中，利用《环境影响的评价技术导则</w:t>
            </w:r>
            <w:r>
              <w:rPr>
                <w:rFonts w:hint="eastAsia" w:eastAsia="宋体"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声环境》（HJ</w:t>
            </w:r>
            <w:r>
              <w:rPr>
                <w:rFonts w:hint="eastAsia" w:eastAsia="宋体"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2.4-2021）中推荐的预测模式根据声源参考位置处的声压级、户外声传播衰减，计算预测点的声级，公式如下：</w:t>
            </w:r>
          </w:p>
          <w:p w14:paraId="32A849B7">
            <w:pPr>
              <w:adjustRightInd/>
              <w:snapToGrid/>
              <w:spacing w:beforeLines="0" w:afterLines="0" w:line="360" w:lineRule="auto"/>
              <w:ind w:firstLine="0" w:firstLineChars="0"/>
              <w:jc w:val="center"/>
              <w:rPr>
                <w:rFonts w:hint="default" w:ascii="Times New Roman" w:hAnsi="Times New Roman" w:eastAsia="宋体" w:cs="Times New Roman"/>
                <w:b w:val="0"/>
                <w:bCs/>
                <w:color w:val="auto"/>
                <w:sz w:val="21"/>
                <w:szCs w:val="21"/>
                <w:highlight w:val="none"/>
                <w:lang w:val="en-US" w:eastAsia="zh-CN"/>
              </w:rPr>
            </w:pPr>
            <w:r>
              <w:rPr>
                <w:rFonts w:hint="default"/>
                <w:color w:val="auto"/>
                <w:sz w:val="21"/>
                <w:szCs w:val="21"/>
                <w:highlight w:val="none"/>
              </w:rPr>
              <w:drawing>
                <wp:inline distT="0" distB="0" distL="114300" distR="114300">
                  <wp:extent cx="3743325" cy="246380"/>
                  <wp:effectExtent l="0" t="0" r="9525" b="1270"/>
                  <wp:docPr id="20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1"/>
                          <pic:cNvPicPr>
                            <a:picLocks noChangeAspect="1"/>
                          </pic:cNvPicPr>
                        </pic:nvPicPr>
                        <pic:blipFill>
                          <a:blip r:embed="rId20"/>
                          <a:stretch>
                            <a:fillRect/>
                          </a:stretch>
                        </pic:blipFill>
                        <pic:spPr>
                          <a:xfrm>
                            <a:off x="0" y="0"/>
                            <a:ext cx="3743325" cy="246380"/>
                          </a:xfrm>
                          <a:prstGeom prst="rect">
                            <a:avLst/>
                          </a:prstGeom>
                          <a:noFill/>
                          <a:ln>
                            <a:noFill/>
                          </a:ln>
                        </pic:spPr>
                      </pic:pic>
                    </a:graphicData>
                  </a:graphic>
                </wp:inline>
              </w:drawing>
            </w:r>
          </w:p>
          <w:p w14:paraId="49F96FC5">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采用点声源衰减模式：</w:t>
            </w:r>
          </w:p>
          <w:p w14:paraId="0A110F4B">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式中：Lp</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r</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——预测点处声压级，dB</w:t>
            </w:r>
            <w:r>
              <w:rPr>
                <w:rFonts w:hint="eastAsia" w:eastAsia="宋体" w:cs="Times New Roman"/>
                <w:b w:val="0"/>
                <w:bCs/>
                <w:color w:val="auto"/>
                <w:sz w:val="21"/>
                <w:szCs w:val="21"/>
                <w:highlight w:val="none"/>
                <w:lang w:val="en-US" w:eastAsia="zh-CN"/>
              </w:rPr>
              <w:t>；</w:t>
            </w:r>
          </w:p>
          <w:p w14:paraId="449279C6">
            <w:pPr>
              <w:adjustRightInd/>
              <w:snapToGrid/>
              <w:spacing w:beforeLines="0" w:afterLines="0" w:line="360" w:lineRule="auto"/>
              <w:ind w:firstLine="1050" w:firstLineChars="5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Lp</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r</w:t>
            </w:r>
            <w:r>
              <w:rPr>
                <w:rFonts w:hint="default" w:ascii="Times New Roman" w:hAnsi="Times New Roman" w:eastAsia="宋体" w:cs="Times New Roman"/>
                <w:b w:val="0"/>
                <w:bCs/>
                <w:color w:val="auto"/>
                <w:sz w:val="21"/>
                <w:szCs w:val="21"/>
                <w:highlight w:val="none"/>
                <w:vertAlign w:val="subscript"/>
                <w:lang w:val="en-US" w:eastAsia="zh-CN"/>
              </w:rPr>
              <w:t>0</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——参考位置r</w:t>
            </w:r>
            <w:r>
              <w:rPr>
                <w:rFonts w:hint="default" w:ascii="Times New Roman" w:hAnsi="Times New Roman" w:eastAsia="宋体" w:cs="Times New Roman"/>
                <w:b w:val="0"/>
                <w:bCs/>
                <w:color w:val="auto"/>
                <w:sz w:val="21"/>
                <w:szCs w:val="21"/>
                <w:highlight w:val="none"/>
                <w:vertAlign w:val="subscript"/>
                <w:lang w:val="en-US" w:eastAsia="zh-CN"/>
              </w:rPr>
              <w:t>0</w:t>
            </w:r>
            <w:r>
              <w:rPr>
                <w:rFonts w:hint="default" w:ascii="Times New Roman" w:hAnsi="Times New Roman" w:eastAsia="宋体" w:cs="Times New Roman"/>
                <w:b w:val="0"/>
                <w:bCs/>
                <w:color w:val="auto"/>
                <w:sz w:val="21"/>
                <w:szCs w:val="21"/>
                <w:highlight w:val="none"/>
                <w:lang w:val="en-US" w:eastAsia="zh-CN"/>
              </w:rPr>
              <w:t>处的声压级，dB</w:t>
            </w:r>
            <w:r>
              <w:rPr>
                <w:rFonts w:hint="eastAsia" w:eastAsia="宋体" w:cs="Times New Roman"/>
                <w:b w:val="0"/>
                <w:bCs/>
                <w:color w:val="auto"/>
                <w:sz w:val="21"/>
                <w:szCs w:val="21"/>
                <w:highlight w:val="none"/>
                <w:lang w:val="en-US" w:eastAsia="zh-CN"/>
              </w:rPr>
              <w:t>；</w:t>
            </w:r>
          </w:p>
          <w:p w14:paraId="7A4DD1C7">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Dc———指向性校正，它描述点声源的等效连续声压级与产生声功率级Lw的全向点声源在规定方向的声级的偏差程度，dB</w:t>
            </w:r>
            <w:r>
              <w:rPr>
                <w:rFonts w:hint="eastAsia" w:eastAsia="宋体" w:cs="Times New Roman"/>
                <w:b w:val="0"/>
                <w:bCs/>
                <w:color w:val="auto"/>
                <w:sz w:val="21"/>
                <w:szCs w:val="21"/>
                <w:highlight w:val="none"/>
                <w:lang w:val="en-US" w:eastAsia="zh-CN"/>
              </w:rPr>
              <w:t>；</w:t>
            </w:r>
          </w:p>
          <w:p w14:paraId="4B1A50D9">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Adiv——几何发散引起的衰减，dB</w:t>
            </w:r>
            <w:r>
              <w:rPr>
                <w:rFonts w:hint="eastAsia" w:eastAsia="宋体" w:cs="Times New Roman"/>
                <w:b w:val="0"/>
                <w:bCs/>
                <w:color w:val="auto"/>
                <w:sz w:val="21"/>
                <w:szCs w:val="21"/>
                <w:highlight w:val="none"/>
                <w:lang w:val="en-US" w:eastAsia="zh-CN"/>
              </w:rPr>
              <w:t>；</w:t>
            </w:r>
          </w:p>
          <w:p w14:paraId="51F490A7">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Aatm——大气吸收引起的衰减，dB；</w:t>
            </w:r>
          </w:p>
          <w:p w14:paraId="36F18075">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Agr——地面效应引起的衰减，dB</w:t>
            </w:r>
            <w:r>
              <w:rPr>
                <w:rFonts w:hint="eastAsia" w:eastAsia="宋体" w:cs="Times New Roman"/>
                <w:b w:val="0"/>
                <w:bCs/>
                <w:color w:val="auto"/>
                <w:sz w:val="21"/>
                <w:szCs w:val="21"/>
                <w:highlight w:val="none"/>
                <w:lang w:val="en-US" w:eastAsia="zh-CN"/>
              </w:rPr>
              <w:t>；</w:t>
            </w:r>
          </w:p>
          <w:p w14:paraId="46BD158F">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Abar——障碍物屏蔽引起的衰减，dB；</w:t>
            </w:r>
          </w:p>
          <w:p w14:paraId="4954A1BA">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Amisc——其他多方面效应引起的衰减，dB。</w:t>
            </w:r>
          </w:p>
          <w:p w14:paraId="6917BD1A">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（2）几何发散引起的衰减（Adiv）</w:t>
            </w:r>
          </w:p>
          <w:p w14:paraId="416C1F6A">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本评价只考虑几何发散引起的衰减。无指向性点声源几何发散衰减计算公式为：</w:t>
            </w:r>
          </w:p>
          <w:p w14:paraId="5E6AB72F">
            <w:pPr>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textAlignment w:val="auto"/>
              <w:rPr>
                <w:rFonts w:hint="default" w:ascii="Times New Roman" w:hAnsi="Times New Roman" w:eastAsia="宋体" w:cs="Times New Roman"/>
                <w:b w:val="0"/>
                <w:bCs/>
                <w:color w:val="auto"/>
                <w:sz w:val="21"/>
                <w:szCs w:val="21"/>
                <w:highlight w:val="none"/>
                <w:lang w:val="en-US" w:eastAsia="zh-CN"/>
              </w:rPr>
            </w:pPr>
            <w:r>
              <w:rPr>
                <w:rFonts w:hint="default"/>
                <w:color w:val="auto"/>
                <w:sz w:val="21"/>
                <w:szCs w:val="21"/>
                <w:highlight w:val="none"/>
              </w:rPr>
              <w:drawing>
                <wp:anchor distT="0" distB="0" distL="114300" distR="114300" simplePos="0" relativeHeight="251662336" behindDoc="0" locked="0" layoutInCell="1" allowOverlap="1">
                  <wp:simplePos x="0" y="0"/>
                  <wp:positionH relativeFrom="column">
                    <wp:posOffset>1617980</wp:posOffset>
                  </wp:positionH>
                  <wp:positionV relativeFrom="paragraph">
                    <wp:posOffset>146050</wp:posOffset>
                  </wp:positionV>
                  <wp:extent cx="1954530" cy="267970"/>
                  <wp:effectExtent l="0" t="0" r="7620" b="17780"/>
                  <wp:wrapTopAndBottom/>
                  <wp:docPr id="2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3"/>
                          <pic:cNvPicPr>
                            <a:picLocks noChangeAspect="1"/>
                          </pic:cNvPicPr>
                        </pic:nvPicPr>
                        <pic:blipFill>
                          <a:blip r:embed="rId21"/>
                          <a:stretch>
                            <a:fillRect/>
                          </a:stretch>
                        </pic:blipFill>
                        <pic:spPr>
                          <a:xfrm>
                            <a:off x="0" y="0"/>
                            <a:ext cx="1954530" cy="267970"/>
                          </a:xfrm>
                          <a:prstGeom prst="rect">
                            <a:avLst/>
                          </a:prstGeom>
                          <a:noFill/>
                          <a:ln>
                            <a:noFill/>
                          </a:ln>
                        </pic:spPr>
                      </pic:pic>
                    </a:graphicData>
                  </a:graphic>
                </wp:anchor>
              </w:drawing>
            </w:r>
          </w:p>
          <w:p w14:paraId="57823468">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其中：Lp</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r</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------距声源r处的A声级，dB</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A</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w:t>
            </w:r>
          </w:p>
          <w:p w14:paraId="6D9D29BD">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Lp</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r</w:t>
            </w:r>
            <w:r>
              <w:rPr>
                <w:rFonts w:hint="default" w:ascii="Times New Roman" w:hAnsi="Times New Roman" w:eastAsia="宋体" w:cs="Times New Roman"/>
                <w:b w:val="0"/>
                <w:bCs/>
                <w:color w:val="auto"/>
                <w:sz w:val="21"/>
                <w:szCs w:val="21"/>
                <w:highlight w:val="none"/>
                <w:vertAlign w:val="subscript"/>
                <w:lang w:val="en-US" w:eastAsia="zh-CN"/>
              </w:rPr>
              <w:t>0</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-----参考位置r</w:t>
            </w:r>
            <w:r>
              <w:rPr>
                <w:rFonts w:hint="default" w:ascii="Times New Roman" w:hAnsi="Times New Roman" w:eastAsia="宋体" w:cs="Times New Roman"/>
                <w:b w:val="0"/>
                <w:bCs/>
                <w:color w:val="auto"/>
                <w:sz w:val="21"/>
                <w:szCs w:val="21"/>
                <w:highlight w:val="none"/>
                <w:vertAlign w:val="subscript"/>
                <w:lang w:val="en-US" w:eastAsia="zh-CN"/>
              </w:rPr>
              <w:t>0</w:t>
            </w:r>
            <w:r>
              <w:rPr>
                <w:rFonts w:hint="eastAsia" w:cs="Times New Roman"/>
                <w:b w:val="0"/>
                <w:bCs/>
                <w:color w:val="auto"/>
                <w:sz w:val="21"/>
                <w:szCs w:val="21"/>
                <w:highlight w:val="none"/>
                <w:vertAlign w:val="baseline"/>
                <w:lang w:val="en-US" w:eastAsia="zh-CN"/>
              </w:rPr>
              <w:t>（</w:t>
            </w:r>
            <w:r>
              <w:rPr>
                <w:rFonts w:hint="default" w:ascii="Times New Roman" w:hAnsi="Times New Roman" w:eastAsia="宋体" w:cs="Times New Roman"/>
                <w:b w:val="0"/>
                <w:bCs/>
                <w:color w:val="auto"/>
                <w:sz w:val="21"/>
                <w:szCs w:val="21"/>
                <w:highlight w:val="none"/>
                <w:lang w:val="en-US" w:eastAsia="zh-CN"/>
              </w:rPr>
              <w:t>1m</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处的A声级，dB</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A</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w:t>
            </w:r>
          </w:p>
          <w:p w14:paraId="2616127F">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r-----声源距离测点处的距离，m</w:t>
            </w:r>
            <w:r>
              <w:rPr>
                <w:rFonts w:hint="eastAsia" w:eastAsia="宋体" w:cs="Times New Roman"/>
                <w:b w:val="0"/>
                <w:bCs/>
                <w:color w:val="auto"/>
                <w:sz w:val="21"/>
                <w:szCs w:val="21"/>
                <w:highlight w:val="none"/>
                <w:lang w:val="en-US" w:eastAsia="zh-CN"/>
              </w:rPr>
              <w:t>。</w:t>
            </w:r>
          </w:p>
          <w:p w14:paraId="42C92A1B">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（3）叠加计算总声压级</w:t>
            </w:r>
          </w:p>
          <w:p w14:paraId="6170796B">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关心点上受到多个声源的影响叠加，多源叠加总声压级计算公式如下：</w:t>
            </w:r>
          </w:p>
          <w:p w14:paraId="6006B9D6">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p>
          <w:p w14:paraId="1553218C">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color w:val="auto"/>
                <w:sz w:val="21"/>
                <w:szCs w:val="21"/>
                <w:highlight w:val="none"/>
              </w:rPr>
              <w:drawing>
                <wp:anchor distT="0" distB="0" distL="114300" distR="114300" simplePos="0" relativeHeight="251663360" behindDoc="0" locked="0" layoutInCell="1" allowOverlap="1">
                  <wp:simplePos x="0" y="0"/>
                  <wp:positionH relativeFrom="column">
                    <wp:posOffset>1526540</wp:posOffset>
                  </wp:positionH>
                  <wp:positionV relativeFrom="paragraph">
                    <wp:posOffset>89535</wp:posOffset>
                  </wp:positionV>
                  <wp:extent cx="1517650" cy="404495"/>
                  <wp:effectExtent l="0" t="0" r="6350" b="14605"/>
                  <wp:wrapNone/>
                  <wp:docPr id="20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41"/>
                          <pic:cNvPicPr>
                            <a:picLocks noChangeAspect="1"/>
                          </pic:cNvPicPr>
                        </pic:nvPicPr>
                        <pic:blipFill>
                          <a:blip r:embed="rId22"/>
                          <a:stretch>
                            <a:fillRect/>
                          </a:stretch>
                        </pic:blipFill>
                        <pic:spPr>
                          <a:xfrm>
                            <a:off x="0" y="0"/>
                            <a:ext cx="1517650" cy="404495"/>
                          </a:xfrm>
                          <a:prstGeom prst="rect">
                            <a:avLst/>
                          </a:prstGeom>
                          <a:noFill/>
                          <a:ln>
                            <a:noFill/>
                          </a:ln>
                        </pic:spPr>
                      </pic:pic>
                    </a:graphicData>
                  </a:graphic>
                </wp:anchor>
              </w:drawing>
            </w:r>
          </w:p>
          <w:p w14:paraId="66808B06">
            <w:pPr>
              <w:pStyle w:val="2"/>
              <w:rPr>
                <w:rFonts w:hint="default"/>
                <w:color w:val="auto"/>
                <w:highlight w:val="none"/>
                <w:lang w:val="en-US" w:eastAsia="zh-CN"/>
              </w:rPr>
            </w:pPr>
          </w:p>
          <w:p w14:paraId="7A127625">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其中：Lpli</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T</w:t>
            </w:r>
            <w:r>
              <w:rPr>
                <w:rFonts w:hint="eastAsia" w:cs="Times New Roman"/>
                <w:b w:val="0"/>
                <w:bCs/>
                <w:color w:val="auto"/>
                <w:sz w:val="21"/>
                <w:szCs w:val="21"/>
                <w:highlight w:val="none"/>
                <w:lang w:val="en-US" w:eastAsia="zh-CN"/>
              </w:rPr>
              <w:t>）</w:t>
            </w:r>
            <w:r>
              <w:rPr>
                <w:rFonts w:hint="default" w:ascii="Times New Roman" w:hAnsi="Times New Roman" w:eastAsia="宋体" w:cs="Times New Roman"/>
                <w:b w:val="0"/>
                <w:bCs/>
                <w:color w:val="auto"/>
                <w:sz w:val="21"/>
                <w:szCs w:val="21"/>
                <w:highlight w:val="none"/>
                <w:lang w:val="en-US" w:eastAsia="zh-CN"/>
              </w:rPr>
              <w:t>——靠近围护结构处室内N个声源i倍频带的叠加声压级，dB；</w:t>
            </w:r>
          </w:p>
          <w:p w14:paraId="22DF1013">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Lplij——室内j声源i倍频带的声压级，dB；</w:t>
            </w:r>
          </w:p>
          <w:p w14:paraId="737FE4F5">
            <w:pPr>
              <w:keepNext w:val="0"/>
              <w:keepLines w:val="0"/>
              <w:pageBreakBefore w:val="0"/>
              <w:widowControl w:val="0"/>
              <w:kinsoku/>
              <w:wordWrap/>
              <w:overflowPunct/>
              <w:topLinePunct w:val="0"/>
              <w:autoSpaceDE/>
              <w:autoSpaceDN/>
              <w:bidi w:val="0"/>
              <w:adjustRightInd/>
              <w:snapToGrid/>
              <w:spacing w:beforeLines="0" w:afterLines="0" w:line="360" w:lineRule="auto"/>
              <w:ind w:firstLine="1050" w:firstLineChars="5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N——室内声源总数。</w:t>
            </w:r>
          </w:p>
          <w:p w14:paraId="436F394F">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根据《环境影响评价技术导则</w:t>
            </w:r>
            <w:r>
              <w:rPr>
                <w:rFonts w:hint="eastAsia" w:eastAsia="宋体"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声环境》（HJ</w:t>
            </w:r>
            <w:r>
              <w:rPr>
                <w:rFonts w:hint="eastAsia" w:eastAsia="宋体"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2.4-2021）中推荐的模型。项目建设完成后噪声预测结果如下：</w:t>
            </w:r>
          </w:p>
          <w:p w14:paraId="16E4951C">
            <w:pPr>
              <w:keepNext w:val="0"/>
              <w:keepLines w:val="0"/>
              <w:pageBreakBefore w:val="0"/>
              <w:widowControl w:val="0"/>
              <w:kinsoku/>
              <w:wordWrap/>
              <w:overflowPunct/>
              <w:topLinePunct w:val="0"/>
              <w:autoSpaceDE/>
              <w:autoSpaceDN/>
              <w:bidi w:val="0"/>
              <w:adjustRightInd/>
              <w:snapToGrid/>
              <w:spacing w:beforeLines="0" w:afterLines="0" w:line="360" w:lineRule="auto"/>
              <w:ind w:firstLine="0" w:firstLineChars="0"/>
              <w:jc w:val="center"/>
              <w:textAlignment w:val="auto"/>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4-</w:t>
            </w:r>
            <w:r>
              <w:rPr>
                <w:rFonts w:hint="eastAsia" w:cs="Times New Roman"/>
                <w:b/>
                <w:bCs w:val="0"/>
                <w:color w:val="auto"/>
                <w:sz w:val="21"/>
                <w:szCs w:val="21"/>
                <w:highlight w:val="none"/>
                <w:lang w:val="en-US" w:eastAsia="zh-CN"/>
              </w:rPr>
              <w:t xml:space="preserve">14 </w:t>
            </w:r>
            <w:r>
              <w:rPr>
                <w:rFonts w:hint="default" w:ascii="Times New Roman" w:hAnsi="Times New Roman" w:eastAsia="宋体" w:cs="Times New Roman"/>
                <w:b/>
                <w:bCs w:val="0"/>
                <w:color w:val="auto"/>
                <w:sz w:val="21"/>
                <w:szCs w:val="21"/>
                <w:highlight w:val="none"/>
                <w:lang w:val="en-US" w:eastAsia="zh-CN"/>
              </w:rPr>
              <w:t>噪声预测结果一览表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3"/>
              <w:gridCol w:w="935"/>
              <w:gridCol w:w="935"/>
              <w:gridCol w:w="935"/>
              <w:gridCol w:w="935"/>
              <w:gridCol w:w="935"/>
              <w:gridCol w:w="935"/>
              <w:gridCol w:w="935"/>
              <w:gridCol w:w="941"/>
            </w:tblGrid>
            <w:tr w14:paraId="2A6F9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noWrap w:val="0"/>
                  <w:vAlign w:val="center"/>
                </w:tcPr>
                <w:p w14:paraId="21BAA65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监测点</w:t>
                  </w:r>
                </w:p>
              </w:tc>
              <w:tc>
                <w:tcPr>
                  <w:tcW w:w="555" w:type="pct"/>
                  <w:noWrap w:val="0"/>
                  <w:vAlign w:val="center"/>
                </w:tcPr>
                <w:p w14:paraId="3EB934A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预测时段</w:t>
                  </w:r>
                </w:p>
              </w:tc>
              <w:tc>
                <w:tcPr>
                  <w:tcW w:w="555" w:type="pct"/>
                  <w:noWrap w:val="0"/>
                  <w:vAlign w:val="center"/>
                </w:tcPr>
                <w:p w14:paraId="38226CB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本项目</w:t>
                  </w:r>
                  <w:r>
                    <w:rPr>
                      <w:rFonts w:hint="eastAsia" w:cs="Times New Roman"/>
                      <w:color w:val="auto"/>
                      <w:kern w:val="0"/>
                      <w:sz w:val="21"/>
                      <w:szCs w:val="21"/>
                      <w:highlight w:val="none"/>
                      <w:lang w:val="en-US" w:eastAsia="zh-CN" w:bidi="ar-SA"/>
                    </w:rPr>
                    <w:t>新增</w:t>
                  </w:r>
                  <w:r>
                    <w:rPr>
                      <w:rFonts w:hint="default" w:ascii="Times New Roman" w:hAnsi="Times New Roman" w:eastAsia="宋体" w:cs="Times New Roman"/>
                      <w:color w:val="auto"/>
                      <w:kern w:val="0"/>
                      <w:sz w:val="21"/>
                      <w:szCs w:val="21"/>
                      <w:highlight w:val="none"/>
                      <w:lang w:val="en-US" w:eastAsia="zh-CN" w:bidi="ar-SA"/>
                    </w:rPr>
                    <w:t>贡献值dB</w:t>
                  </w:r>
                  <w:r>
                    <w:rPr>
                      <w:rFonts w:hint="eastAsia" w:cs="Times New Roman"/>
                      <w:color w:val="auto"/>
                      <w:kern w:val="0"/>
                      <w:sz w:val="21"/>
                      <w:szCs w:val="21"/>
                      <w:highlight w:val="none"/>
                      <w:lang w:val="en-US" w:eastAsia="zh-CN" w:bidi="ar-SA"/>
                    </w:rPr>
                    <w:t>（</w:t>
                  </w:r>
                  <w:r>
                    <w:rPr>
                      <w:rFonts w:hint="default" w:ascii="Times New Roman" w:hAnsi="Times New Roman" w:eastAsia="宋体" w:cs="Times New Roman"/>
                      <w:color w:val="auto"/>
                      <w:kern w:val="0"/>
                      <w:sz w:val="21"/>
                      <w:szCs w:val="21"/>
                      <w:highlight w:val="none"/>
                      <w:lang w:val="en-US" w:eastAsia="zh-CN" w:bidi="ar-SA"/>
                    </w:rPr>
                    <w:t>A</w:t>
                  </w:r>
                  <w:r>
                    <w:rPr>
                      <w:rFonts w:hint="eastAsia" w:cs="Times New Roman"/>
                      <w:color w:val="auto"/>
                      <w:kern w:val="0"/>
                      <w:sz w:val="21"/>
                      <w:szCs w:val="21"/>
                      <w:highlight w:val="none"/>
                      <w:lang w:val="en-US" w:eastAsia="zh-CN" w:bidi="ar-SA"/>
                    </w:rPr>
                    <w:t>）</w:t>
                  </w:r>
                </w:p>
              </w:tc>
              <w:tc>
                <w:tcPr>
                  <w:tcW w:w="555" w:type="pct"/>
                  <w:noWrap w:val="0"/>
                  <w:vAlign w:val="center"/>
                </w:tcPr>
                <w:p w14:paraId="50A88875">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本项目</w:t>
                  </w:r>
                  <w:r>
                    <w:rPr>
                      <w:rFonts w:hint="eastAsia" w:cs="Times New Roman"/>
                      <w:color w:val="auto"/>
                      <w:kern w:val="0"/>
                      <w:sz w:val="21"/>
                      <w:szCs w:val="21"/>
                      <w:highlight w:val="none"/>
                      <w:lang w:val="en-US" w:eastAsia="zh-CN" w:bidi="ar-SA"/>
                    </w:rPr>
                    <w:t>淘汰</w:t>
                  </w:r>
                  <w:r>
                    <w:rPr>
                      <w:rFonts w:hint="default" w:ascii="Times New Roman" w:hAnsi="Times New Roman" w:eastAsia="宋体" w:cs="Times New Roman"/>
                      <w:color w:val="auto"/>
                      <w:kern w:val="0"/>
                      <w:sz w:val="21"/>
                      <w:szCs w:val="21"/>
                      <w:highlight w:val="none"/>
                      <w:lang w:val="en-US" w:eastAsia="zh-CN" w:bidi="ar-SA"/>
                    </w:rPr>
                    <w:t>贡献值dB</w:t>
                  </w:r>
                  <w:r>
                    <w:rPr>
                      <w:rFonts w:hint="eastAsia" w:cs="Times New Roman"/>
                      <w:color w:val="auto"/>
                      <w:kern w:val="0"/>
                      <w:sz w:val="21"/>
                      <w:szCs w:val="21"/>
                      <w:highlight w:val="none"/>
                      <w:lang w:val="en-US" w:eastAsia="zh-CN" w:bidi="ar-SA"/>
                    </w:rPr>
                    <w:t>（</w:t>
                  </w:r>
                  <w:r>
                    <w:rPr>
                      <w:rFonts w:hint="default" w:ascii="Times New Roman" w:hAnsi="Times New Roman" w:eastAsia="宋体" w:cs="Times New Roman"/>
                      <w:color w:val="auto"/>
                      <w:kern w:val="0"/>
                      <w:sz w:val="21"/>
                      <w:szCs w:val="21"/>
                      <w:highlight w:val="none"/>
                      <w:lang w:val="en-US" w:eastAsia="zh-CN" w:bidi="ar-SA"/>
                    </w:rPr>
                    <w:t>A</w:t>
                  </w:r>
                  <w:r>
                    <w:rPr>
                      <w:rFonts w:hint="eastAsia" w:cs="Times New Roman"/>
                      <w:color w:val="auto"/>
                      <w:kern w:val="0"/>
                      <w:sz w:val="21"/>
                      <w:szCs w:val="21"/>
                      <w:highlight w:val="none"/>
                      <w:lang w:val="en-US" w:eastAsia="zh-CN" w:bidi="ar-SA"/>
                    </w:rPr>
                    <w:t>）</w:t>
                  </w:r>
                </w:p>
              </w:tc>
              <w:tc>
                <w:tcPr>
                  <w:tcW w:w="555" w:type="pct"/>
                  <w:noWrap w:val="0"/>
                  <w:vAlign w:val="center"/>
                </w:tcPr>
                <w:p w14:paraId="513F0C11">
                  <w:pPr>
                    <w:keepNext w:val="0"/>
                    <w:keepLines w:val="0"/>
                    <w:widowControl w:val="0"/>
                    <w:suppressLineNumbers w:val="0"/>
                    <w:spacing w:before="0" w:beforeAutospacing="0" w:after="0" w:afterAutospacing="0" w:line="240" w:lineRule="auto"/>
                    <w:ind w:left="0" w:leftChars="0" w:right="0" w:rightChars="0" w:firstLine="0" w:firstLineChars="0"/>
                    <w:jc w:val="both"/>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现有工程现状监测值dB</w:t>
                  </w:r>
                  <w:r>
                    <w:rPr>
                      <w:rFonts w:hint="eastAsia" w:cs="Times New Roman"/>
                      <w:color w:val="auto"/>
                      <w:kern w:val="0"/>
                      <w:sz w:val="21"/>
                      <w:szCs w:val="21"/>
                      <w:highlight w:val="none"/>
                      <w:lang w:val="en-US" w:eastAsia="zh-CN" w:bidi="ar-SA"/>
                    </w:rPr>
                    <w:t>（</w:t>
                  </w:r>
                  <w:r>
                    <w:rPr>
                      <w:rFonts w:hint="default" w:ascii="Times New Roman" w:hAnsi="Times New Roman" w:eastAsia="宋体" w:cs="Times New Roman"/>
                      <w:color w:val="auto"/>
                      <w:kern w:val="0"/>
                      <w:sz w:val="21"/>
                      <w:szCs w:val="21"/>
                      <w:highlight w:val="none"/>
                      <w:lang w:val="en-US" w:eastAsia="zh-CN" w:bidi="ar-SA"/>
                    </w:rPr>
                    <w:t>A</w:t>
                  </w:r>
                  <w:r>
                    <w:rPr>
                      <w:rFonts w:hint="eastAsia" w:cs="Times New Roman"/>
                      <w:color w:val="auto"/>
                      <w:kern w:val="0"/>
                      <w:sz w:val="21"/>
                      <w:szCs w:val="21"/>
                      <w:highlight w:val="none"/>
                      <w:lang w:val="en-US" w:eastAsia="zh-CN" w:bidi="ar-SA"/>
                    </w:rPr>
                    <w:t>）</w:t>
                  </w:r>
                </w:p>
              </w:tc>
              <w:tc>
                <w:tcPr>
                  <w:tcW w:w="555" w:type="pct"/>
                  <w:noWrap w:val="0"/>
                  <w:vAlign w:val="center"/>
                </w:tcPr>
                <w:p w14:paraId="2CDD6E6C">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在建工程贡献值</w:t>
                  </w:r>
                  <w:r>
                    <w:rPr>
                      <w:rFonts w:hint="default" w:ascii="Times New Roman" w:hAnsi="Times New Roman" w:eastAsia="宋体" w:cs="Times New Roman"/>
                      <w:color w:val="auto"/>
                      <w:kern w:val="0"/>
                      <w:sz w:val="21"/>
                      <w:szCs w:val="21"/>
                      <w:highlight w:val="none"/>
                      <w:lang w:val="en-US" w:eastAsia="zh-CN" w:bidi="ar-SA"/>
                    </w:rPr>
                    <w:t>dB</w:t>
                  </w:r>
                  <w:r>
                    <w:rPr>
                      <w:rFonts w:hint="eastAsia" w:cs="Times New Roman"/>
                      <w:color w:val="auto"/>
                      <w:kern w:val="0"/>
                      <w:sz w:val="21"/>
                      <w:szCs w:val="21"/>
                      <w:highlight w:val="none"/>
                      <w:lang w:val="en-US" w:eastAsia="zh-CN" w:bidi="ar-SA"/>
                    </w:rPr>
                    <w:t>（</w:t>
                  </w:r>
                  <w:r>
                    <w:rPr>
                      <w:rFonts w:hint="default" w:ascii="Times New Roman" w:hAnsi="Times New Roman" w:eastAsia="宋体" w:cs="Times New Roman"/>
                      <w:color w:val="auto"/>
                      <w:kern w:val="0"/>
                      <w:sz w:val="21"/>
                      <w:szCs w:val="21"/>
                      <w:highlight w:val="none"/>
                      <w:lang w:val="en-US" w:eastAsia="zh-CN" w:bidi="ar-SA"/>
                    </w:rPr>
                    <w:t>A</w:t>
                  </w:r>
                  <w:r>
                    <w:rPr>
                      <w:rFonts w:hint="eastAsia" w:cs="Times New Roman"/>
                      <w:color w:val="auto"/>
                      <w:kern w:val="0"/>
                      <w:sz w:val="21"/>
                      <w:szCs w:val="21"/>
                      <w:highlight w:val="none"/>
                      <w:lang w:val="en-US" w:eastAsia="zh-CN" w:bidi="ar-SA"/>
                    </w:rPr>
                    <w:t>）</w:t>
                  </w:r>
                </w:p>
              </w:tc>
              <w:tc>
                <w:tcPr>
                  <w:tcW w:w="555" w:type="pct"/>
                  <w:noWrap w:val="0"/>
                  <w:vAlign w:val="center"/>
                </w:tcPr>
                <w:p w14:paraId="058FA10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叠加预测值dB</w:t>
                  </w:r>
                  <w:r>
                    <w:rPr>
                      <w:rFonts w:hint="eastAsia" w:cs="Times New Roman"/>
                      <w:color w:val="auto"/>
                      <w:kern w:val="0"/>
                      <w:sz w:val="21"/>
                      <w:szCs w:val="21"/>
                      <w:highlight w:val="none"/>
                      <w:lang w:val="en-US" w:eastAsia="zh-CN" w:bidi="ar-SA"/>
                    </w:rPr>
                    <w:t>（</w:t>
                  </w:r>
                  <w:r>
                    <w:rPr>
                      <w:rFonts w:hint="default" w:ascii="Times New Roman" w:hAnsi="Times New Roman" w:eastAsia="宋体" w:cs="Times New Roman"/>
                      <w:color w:val="auto"/>
                      <w:kern w:val="0"/>
                      <w:sz w:val="21"/>
                      <w:szCs w:val="21"/>
                      <w:highlight w:val="none"/>
                      <w:lang w:val="en-US" w:eastAsia="zh-CN" w:bidi="ar-SA"/>
                    </w:rPr>
                    <w:t>A</w:t>
                  </w:r>
                  <w:r>
                    <w:rPr>
                      <w:rFonts w:hint="eastAsia" w:cs="Times New Roman"/>
                      <w:color w:val="auto"/>
                      <w:kern w:val="0"/>
                      <w:sz w:val="21"/>
                      <w:szCs w:val="21"/>
                      <w:highlight w:val="none"/>
                      <w:lang w:val="en-US" w:eastAsia="zh-CN" w:bidi="ar-SA"/>
                    </w:rPr>
                    <w:t>）</w:t>
                  </w:r>
                </w:p>
              </w:tc>
              <w:tc>
                <w:tcPr>
                  <w:tcW w:w="555" w:type="pct"/>
                  <w:noWrap w:val="0"/>
                  <w:vAlign w:val="center"/>
                </w:tcPr>
                <w:p w14:paraId="291596C3">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评价标准dB</w:t>
                  </w:r>
                  <w:r>
                    <w:rPr>
                      <w:rFonts w:hint="eastAsia" w:cs="Times New Roman"/>
                      <w:color w:val="auto"/>
                      <w:kern w:val="0"/>
                      <w:sz w:val="21"/>
                      <w:szCs w:val="21"/>
                      <w:highlight w:val="none"/>
                      <w:lang w:val="en-US" w:eastAsia="zh-CN" w:bidi="ar-SA"/>
                    </w:rPr>
                    <w:t>（</w:t>
                  </w:r>
                  <w:r>
                    <w:rPr>
                      <w:rFonts w:hint="default" w:ascii="Times New Roman" w:hAnsi="Times New Roman" w:eastAsia="宋体" w:cs="Times New Roman"/>
                      <w:color w:val="auto"/>
                      <w:kern w:val="0"/>
                      <w:sz w:val="21"/>
                      <w:szCs w:val="21"/>
                      <w:highlight w:val="none"/>
                      <w:lang w:val="en-US" w:eastAsia="zh-CN" w:bidi="ar-SA"/>
                    </w:rPr>
                    <w:t>A</w:t>
                  </w:r>
                  <w:r>
                    <w:rPr>
                      <w:rFonts w:hint="eastAsia" w:cs="Times New Roman"/>
                      <w:color w:val="auto"/>
                      <w:kern w:val="0"/>
                      <w:sz w:val="21"/>
                      <w:szCs w:val="21"/>
                      <w:highlight w:val="none"/>
                      <w:lang w:val="en-US" w:eastAsia="zh-CN" w:bidi="ar-SA"/>
                    </w:rPr>
                    <w:t>）</w:t>
                  </w:r>
                </w:p>
              </w:tc>
              <w:tc>
                <w:tcPr>
                  <w:tcW w:w="558" w:type="pct"/>
                  <w:noWrap w:val="0"/>
                  <w:vAlign w:val="center"/>
                </w:tcPr>
                <w:p w14:paraId="26BF8ACD">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评价结果</w:t>
                  </w:r>
                </w:p>
              </w:tc>
            </w:tr>
            <w:tr w14:paraId="2979A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restart"/>
                  <w:noWrap w:val="0"/>
                  <w:vAlign w:val="center"/>
                </w:tcPr>
                <w:p w14:paraId="202AD68D">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北厂界</w:t>
                  </w:r>
                </w:p>
                <w:p w14:paraId="66B0865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0C98E40F">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昼间</w:t>
                  </w:r>
                </w:p>
              </w:tc>
              <w:tc>
                <w:tcPr>
                  <w:tcW w:w="555" w:type="pct"/>
                  <w:noWrap w:val="0"/>
                  <w:vAlign w:val="center"/>
                </w:tcPr>
                <w:p w14:paraId="6925F179">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29.4</w:t>
                  </w:r>
                </w:p>
              </w:tc>
              <w:tc>
                <w:tcPr>
                  <w:tcW w:w="555" w:type="pct"/>
                  <w:noWrap w:val="0"/>
                  <w:vAlign w:val="center"/>
                </w:tcPr>
                <w:p w14:paraId="1D4478A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25.2</w:t>
                  </w:r>
                </w:p>
              </w:tc>
              <w:tc>
                <w:tcPr>
                  <w:tcW w:w="555" w:type="pct"/>
                  <w:noWrap w:val="0"/>
                  <w:vAlign w:val="center"/>
                </w:tcPr>
                <w:p w14:paraId="6D28C5A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60</w:t>
                  </w:r>
                </w:p>
              </w:tc>
              <w:tc>
                <w:tcPr>
                  <w:tcW w:w="555" w:type="pct"/>
                  <w:noWrap w:val="0"/>
                  <w:vAlign w:val="center"/>
                </w:tcPr>
                <w:p w14:paraId="639D88E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34.1</w:t>
                  </w:r>
                </w:p>
              </w:tc>
              <w:tc>
                <w:tcPr>
                  <w:tcW w:w="935" w:type="dxa"/>
                  <w:noWrap w:val="0"/>
                  <w:vAlign w:val="center"/>
                </w:tcPr>
                <w:p w14:paraId="37FC015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60.0 </w:t>
                  </w:r>
                </w:p>
              </w:tc>
              <w:tc>
                <w:tcPr>
                  <w:tcW w:w="555" w:type="pct"/>
                  <w:noWrap w:val="0"/>
                  <w:vAlign w:val="center"/>
                </w:tcPr>
                <w:p w14:paraId="1DEEA745">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65</w:t>
                  </w:r>
                </w:p>
              </w:tc>
              <w:tc>
                <w:tcPr>
                  <w:tcW w:w="558" w:type="pct"/>
                  <w:noWrap w:val="0"/>
                  <w:vAlign w:val="center"/>
                </w:tcPr>
                <w:p w14:paraId="57BFC56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r w14:paraId="4AE6A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continue"/>
                  <w:noWrap w:val="0"/>
                  <w:vAlign w:val="center"/>
                </w:tcPr>
                <w:p w14:paraId="6DD948C3">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3A5F5287">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夜间</w:t>
                  </w:r>
                </w:p>
              </w:tc>
              <w:tc>
                <w:tcPr>
                  <w:tcW w:w="555" w:type="pct"/>
                  <w:noWrap w:val="0"/>
                  <w:vAlign w:val="center"/>
                </w:tcPr>
                <w:p w14:paraId="0E94A5DA">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29.4</w:t>
                  </w:r>
                </w:p>
              </w:tc>
              <w:tc>
                <w:tcPr>
                  <w:tcW w:w="555" w:type="pct"/>
                  <w:noWrap w:val="0"/>
                  <w:vAlign w:val="center"/>
                </w:tcPr>
                <w:p w14:paraId="184F172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25.2</w:t>
                  </w:r>
                </w:p>
              </w:tc>
              <w:tc>
                <w:tcPr>
                  <w:tcW w:w="555" w:type="pct"/>
                  <w:noWrap w:val="0"/>
                  <w:vAlign w:val="center"/>
                </w:tcPr>
                <w:p w14:paraId="3A203E52">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51</w:t>
                  </w:r>
                </w:p>
              </w:tc>
              <w:tc>
                <w:tcPr>
                  <w:tcW w:w="555" w:type="pct"/>
                  <w:noWrap w:val="0"/>
                  <w:vAlign w:val="center"/>
                </w:tcPr>
                <w:p w14:paraId="785E432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34.1</w:t>
                  </w:r>
                </w:p>
              </w:tc>
              <w:tc>
                <w:tcPr>
                  <w:tcW w:w="935" w:type="dxa"/>
                  <w:noWrap w:val="0"/>
                  <w:vAlign w:val="center"/>
                </w:tcPr>
                <w:p w14:paraId="3A767B3E">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51.1 </w:t>
                  </w:r>
                </w:p>
              </w:tc>
              <w:tc>
                <w:tcPr>
                  <w:tcW w:w="555" w:type="pct"/>
                  <w:noWrap w:val="0"/>
                  <w:vAlign w:val="center"/>
                </w:tcPr>
                <w:p w14:paraId="11FAF978">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55</w:t>
                  </w:r>
                </w:p>
              </w:tc>
              <w:tc>
                <w:tcPr>
                  <w:tcW w:w="558" w:type="pct"/>
                  <w:noWrap w:val="0"/>
                  <w:vAlign w:val="center"/>
                </w:tcPr>
                <w:p w14:paraId="529C8AA3">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r w14:paraId="29E99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restart"/>
                  <w:noWrap w:val="0"/>
                  <w:vAlign w:val="center"/>
                </w:tcPr>
                <w:p w14:paraId="4C2DA4F2">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西厂界</w:t>
                  </w:r>
                </w:p>
                <w:p w14:paraId="08D1C83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p>
                <w:p w14:paraId="6ECB5CF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5C9F1AF2">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昼间</w:t>
                  </w:r>
                </w:p>
              </w:tc>
              <w:tc>
                <w:tcPr>
                  <w:tcW w:w="555" w:type="pct"/>
                  <w:noWrap w:val="0"/>
                  <w:vAlign w:val="center"/>
                </w:tcPr>
                <w:p w14:paraId="07F1E87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55.4</w:t>
                  </w:r>
                </w:p>
              </w:tc>
              <w:tc>
                <w:tcPr>
                  <w:tcW w:w="555" w:type="pct"/>
                  <w:noWrap w:val="0"/>
                  <w:vAlign w:val="center"/>
                </w:tcPr>
                <w:p w14:paraId="0D814C3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51.3</w:t>
                  </w:r>
                </w:p>
              </w:tc>
              <w:tc>
                <w:tcPr>
                  <w:tcW w:w="555" w:type="pct"/>
                  <w:noWrap w:val="0"/>
                  <w:vAlign w:val="center"/>
                </w:tcPr>
                <w:p w14:paraId="521867E9">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56</w:t>
                  </w:r>
                </w:p>
              </w:tc>
              <w:tc>
                <w:tcPr>
                  <w:tcW w:w="555" w:type="pct"/>
                  <w:noWrap w:val="0"/>
                  <w:vAlign w:val="center"/>
                </w:tcPr>
                <w:p w14:paraId="73F3491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14.6</w:t>
                  </w:r>
                </w:p>
              </w:tc>
              <w:tc>
                <w:tcPr>
                  <w:tcW w:w="935" w:type="dxa"/>
                  <w:noWrap w:val="0"/>
                  <w:vAlign w:val="center"/>
                </w:tcPr>
                <w:p w14:paraId="26708D8B">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57.</w:t>
                  </w:r>
                  <w:r>
                    <w:rPr>
                      <w:rFonts w:hint="eastAsia" w:cs="Times New Roman"/>
                      <w:color w:val="auto"/>
                      <w:kern w:val="0"/>
                      <w:sz w:val="21"/>
                      <w:szCs w:val="21"/>
                      <w:highlight w:val="none"/>
                      <w:lang w:val="en-US" w:eastAsia="zh-CN" w:bidi="ar-SA"/>
                    </w:rPr>
                    <w:t>9</w:t>
                  </w:r>
                  <w:r>
                    <w:rPr>
                      <w:rFonts w:hint="default" w:ascii="Times New Roman" w:hAnsi="Times New Roman" w:eastAsia="宋体" w:cs="Times New Roman"/>
                      <w:color w:val="auto"/>
                      <w:kern w:val="0"/>
                      <w:sz w:val="21"/>
                      <w:szCs w:val="21"/>
                      <w:highlight w:val="none"/>
                      <w:lang w:val="en-US" w:eastAsia="zh-CN" w:bidi="ar-SA"/>
                    </w:rPr>
                    <w:t xml:space="preserve"> </w:t>
                  </w:r>
                </w:p>
              </w:tc>
              <w:tc>
                <w:tcPr>
                  <w:tcW w:w="555" w:type="pct"/>
                  <w:noWrap w:val="0"/>
                  <w:vAlign w:val="center"/>
                </w:tcPr>
                <w:p w14:paraId="2409345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65</w:t>
                  </w:r>
                </w:p>
              </w:tc>
              <w:tc>
                <w:tcPr>
                  <w:tcW w:w="558" w:type="pct"/>
                  <w:noWrap w:val="0"/>
                  <w:vAlign w:val="center"/>
                </w:tcPr>
                <w:p w14:paraId="63979F0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r w14:paraId="50FDD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continue"/>
                  <w:noWrap w:val="0"/>
                  <w:vAlign w:val="center"/>
                </w:tcPr>
                <w:p w14:paraId="3DBCA14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14CBFBBF">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夜间</w:t>
                  </w:r>
                </w:p>
              </w:tc>
              <w:tc>
                <w:tcPr>
                  <w:tcW w:w="555" w:type="pct"/>
                  <w:noWrap w:val="0"/>
                  <w:vAlign w:val="center"/>
                </w:tcPr>
                <w:p w14:paraId="5911A28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55.4</w:t>
                  </w:r>
                </w:p>
              </w:tc>
              <w:tc>
                <w:tcPr>
                  <w:tcW w:w="555" w:type="pct"/>
                  <w:noWrap w:val="0"/>
                  <w:vAlign w:val="center"/>
                </w:tcPr>
                <w:p w14:paraId="16791212">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51.3</w:t>
                  </w:r>
                </w:p>
              </w:tc>
              <w:tc>
                <w:tcPr>
                  <w:tcW w:w="555" w:type="pct"/>
                  <w:noWrap w:val="0"/>
                  <w:vAlign w:val="center"/>
                </w:tcPr>
                <w:p w14:paraId="701B7B3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52</w:t>
                  </w:r>
                </w:p>
              </w:tc>
              <w:tc>
                <w:tcPr>
                  <w:tcW w:w="555" w:type="pct"/>
                  <w:noWrap w:val="0"/>
                  <w:vAlign w:val="center"/>
                </w:tcPr>
                <w:p w14:paraId="1E5964EB">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14.6</w:t>
                  </w:r>
                </w:p>
              </w:tc>
              <w:tc>
                <w:tcPr>
                  <w:tcW w:w="935" w:type="dxa"/>
                  <w:noWrap w:val="0"/>
                  <w:vAlign w:val="center"/>
                </w:tcPr>
                <w:p w14:paraId="470AB934">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55.</w:t>
                  </w:r>
                  <w:r>
                    <w:rPr>
                      <w:rFonts w:hint="eastAsia" w:cs="Times New Roman"/>
                      <w:color w:val="auto"/>
                      <w:kern w:val="0"/>
                      <w:sz w:val="21"/>
                      <w:szCs w:val="21"/>
                      <w:highlight w:val="none"/>
                      <w:lang w:val="en-US" w:eastAsia="zh-CN" w:bidi="ar-SA"/>
                    </w:rPr>
                    <w:t>7</w:t>
                  </w:r>
                </w:p>
              </w:tc>
              <w:tc>
                <w:tcPr>
                  <w:tcW w:w="555" w:type="pct"/>
                  <w:noWrap w:val="0"/>
                  <w:vAlign w:val="center"/>
                </w:tcPr>
                <w:p w14:paraId="051CA2D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55</w:t>
                  </w:r>
                </w:p>
              </w:tc>
              <w:tc>
                <w:tcPr>
                  <w:tcW w:w="558" w:type="pct"/>
                  <w:noWrap w:val="0"/>
                  <w:vAlign w:val="center"/>
                </w:tcPr>
                <w:p w14:paraId="1C9CEC32">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r w14:paraId="0F2FA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restart"/>
                  <w:noWrap w:val="0"/>
                  <w:vAlign w:val="center"/>
                </w:tcPr>
                <w:p w14:paraId="18A4F5E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bookmarkStart w:id="41" w:name="OLE_LINK7" w:colFirst="8" w:colLast="8"/>
                  <w:r>
                    <w:rPr>
                      <w:rFonts w:hint="default" w:ascii="Times New Roman" w:hAnsi="Times New Roman" w:eastAsia="宋体" w:cs="Times New Roman"/>
                      <w:color w:val="auto"/>
                      <w:kern w:val="0"/>
                      <w:sz w:val="21"/>
                      <w:szCs w:val="21"/>
                      <w:highlight w:val="none"/>
                      <w:lang w:val="en-US" w:eastAsia="zh-CN" w:bidi="ar-SA"/>
                    </w:rPr>
                    <w:t>南厂界</w:t>
                  </w:r>
                </w:p>
                <w:p w14:paraId="5FB29A68">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652A83A6">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昼间</w:t>
                  </w:r>
                </w:p>
              </w:tc>
              <w:tc>
                <w:tcPr>
                  <w:tcW w:w="555" w:type="pct"/>
                  <w:noWrap w:val="0"/>
                  <w:vAlign w:val="center"/>
                </w:tcPr>
                <w:p w14:paraId="66CAA17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30.9</w:t>
                  </w:r>
                </w:p>
              </w:tc>
              <w:tc>
                <w:tcPr>
                  <w:tcW w:w="555" w:type="pct"/>
                  <w:noWrap w:val="0"/>
                  <w:vAlign w:val="center"/>
                </w:tcPr>
                <w:p w14:paraId="2162BFD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24.7</w:t>
                  </w:r>
                </w:p>
              </w:tc>
              <w:tc>
                <w:tcPr>
                  <w:tcW w:w="555" w:type="pct"/>
                  <w:noWrap w:val="0"/>
                  <w:vAlign w:val="center"/>
                </w:tcPr>
                <w:p w14:paraId="60ECFEF4">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55</w:t>
                  </w:r>
                </w:p>
              </w:tc>
              <w:tc>
                <w:tcPr>
                  <w:tcW w:w="555" w:type="pct"/>
                  <w:noWrap w:val="0"/>
                  <w:vAlign w:val="center"/>
                </w:tcPr>
                <w:p w14:paraId="6746421D">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16.5</w:t>
                  </w:r>
                </w:p>
              </w:tc>
              <w:tc>
                <w:tcPr>
                  <w:tcW w:w="935" w:type="dxa"/>
                  <w:noWrap w:val="0"/>
                  <w:vAlign w:val="center"/>
                </w:tcPr>
                <w:p w14:paraId="7C8FF7A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55.0 </w:t>
                  </w:r>
                </w:p>
              </w:tc>
              <w:tc>
                <w:tcPr>
                  <w:tcW w:w="555" w:type="pct"/>
                  <w:noWrap w:val="0"/>
                  <w:vAlign w:val="center"/>
                </w:tcPr>
                <w:p w14:paraId="6FFDC638">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65</w:t>
                  </w:r>
                </w:p>
              </w:tc>
              <w:tc>
                <w:tcPr>
                  <w:tcW w:w="558" w:type="pct"/>
                  <w:noWrap w:val="0"/>
                  <w:vAlign w:val="center"/>
                </w:tcPr>
                <w:p w14:paraId="5137482B">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r w14:paraId="1907F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continue"/>
                  <w:noWrap w:val="0"/>
                  <w:vAlign w:val="center"/>
                </w:tcPr>
                <w:p w14:paraId="4A139BAE">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6DA2634F">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夜间</w:t>
                  </w:r>
                </w:p>
              </w:tc>
              <w:tc>
                <w:tcPr>
                  <w:tcW w:w="555" w:type="pct"/>
                  <w:noWrap w:val="0"/>
                  <w:vAlign w:val="center"/>
                </w:tcPr>
                <w:p w14:paraId="17543D6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30.9</w:t>
                  </w:r>
                </w:p>
              </w:tc>
              <w:tc>
                <w:tcPr>
                  <w:tcW w:w="555" w:type="pct"/>
                  <w:noWrap w:val="0"/>
                  <w:vAlign w:val="center"/>
                </w:tcPr>
                <w:p w14:paraId="2783186A">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24.7</w:t>
                  </w:r>
                </w:p>
              </w:tc>
              <w:tc>
                <w:tcPr>
                  <w:tcW w:w="555" w:type="pct"/>
                  <w:noWrap w:val="0"/>
                  <w:vAlign w:val="center"/>
                </w:tcPr>
                <w:p w14:paraId="613BA9B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47</w:t>
                  </w:r>
                </w:p>
              </w:tc>
              <w:tc>
                <w:tcPr>
                  <w:tcW w:w="555" w:type="pct"/>
                  <w:noWrap w:val="0"/>
                  <w:vAlign w:val="center"/>
                </w:tcPr>
                <w:p w14:paraId="7927CE4D">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16.5</w:t>
                  </w:r>
                </w:p>
              </w:tc>
              <w:tc>
                <w:tcPr>
                  <w:tcW w:w="935" w:type="dxa"/>
                  <w:noWrap w:val="0"/>
                  <w:vAlign w:val="center"/>
                </w:tcPr>
                <w:p w14:paraId="5F87BF1B">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47.1 </w:t>
                  </w:r>
                </w:p>
              </w:tc>
              <w:tc>
                <w:tcPr>
                  <w:tcW w:w="555" w:type="pct"/>
                  <w:noWrap w:val="0"/>
                  <w:vAlign w:val="center"/>
                </w:tcPr>
                <w:p w14:paraId="351A9C65">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55</w:t>
                  </w:r>
                </w:p>
              </w:tc>
              <w:tc>
                <w:tcPr>
                  <w:tcW w:w="558" w:type="pct"/>
                  <w:noWrap w:val="0"/>
                  <w:vAlign w:val="center"/>
                </w:tcPr>
                <w:p w14:paraId="0D74C455">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bookmarkEnd w:id="41"/>
            <w:tr w14:paraId="40FBA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restart"/>
                  <w:noWrap w:val="0"/>
                  <w:vAlign w:val="center"/>
                </w:tcPr>
                <w:p w14:paraId="7897F7D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东厂界</w:t>
                  </w:r>
                </w:p>
                <w:p w14:paraId="5AD8A1C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4B63EAFF">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昼间</w:t>
                  </w:r>
                </w:p>
              </w:tc>
              <w:tc>
                <w:tcPr>
                  <w:tcW w:w="555" w:type="pct"/>
                  <w:noWrap w:val="0"/>
                  <w:vAlign w:val="center"/>
                </w:tcPr>
                <w:p w14:paraId="2EA351F6">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28.8</w:t>
                  </w:r>
                </w:p>
              </w:tc>
              <w:tc>
                <w:tcPr>
                  <w:tcW w:w="555" w:type="pct"/>
                  <w:noWrap w:val="0"/>
                  <w:vAlign w:val="center"/>
                </w:tcPr>
                <w:p w14:paraId="01DE37D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23.3</w:t>
                  </w:r>
                </w:p>
              </w:tc>
              <w:tc>
                <w:tcPr>
                  <w:tcW w:w="935" w:type="dxa"/>
                  <w:noWrap w:val="0"/>
                  <w:vAlign w:val="center"/>
                </w:tcPr>
                <w:p w14:paraId="6E5844EB">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60</w:t>
                  </w:r>
                </w:p>
              </w:tc>
              <w:tc>
                <w:tcPr>
                  <w:tcW w:w="555" w:type="pct"/>
                  <w:noWrap w:val="0"/>
                  <w:vAlign w:val="center"/>
                </w:tcPr>
                <w:p w14:paraId="319BBEC2">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23.3</w:t>
                  </w:r>
                </w:p>
              </w:tc>
              <w:tc>
                <w:tcPr>
                  <w:tcW w:w="935" w:type="dxa"/>
                  <w:noWrap w:val="0"/>
                  <w:vAlign w:val="center"/>
                </w:tcPr>
                <w:p w14:paraId="1DF94F1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60.0 </w:t>
                  </w:r>
                </w:p>
              </w:tc>
              <w:tc>
                <w:tcPr>
                  <w:tcW w:w="555" w:type="pct"/>
                  <w:noWrap w:val="0"/>
                  <w:vAlign w:val="center"/>
                </w:tcPr>
                <w:p w14:paraId="4838A1D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65</w:t>
                  </w:r>
                </w:p>
              </w:tc>
              <w:tc>
                <w:tcPr>
                  <w:tcW w:w="558" w:type="pct"/>
                  <w:noWrap w:val="0"/>
                  <w:vAlign w:val="center"/>
                </w:tcPr>
                <w:p w14:paraId="3886FA3C">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r w14:paraId="614A2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4" w:type="pct"/>
                  <w:vMerge w:val="continue"/>
                  <w:noWrap w:val="0"/>
                  <w:vAlign w:val="center"/>
                </w:tcPr>
                <w:p w14:paraId="0DDD37DE">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p>
              </w:tc>
              <w:tc>
                <w:tcPr>
                  <w:tcW w:w="555" w:type="pct"/>
                  <w:noWrap w:val="0"/>
                  <w:vAlign w:val="center"/>
                </w:tcPr>
                <w:p w14:paraId="107C2B79">
                  <w:pPr>
                    <w:keepNext w:val="0"/>
                    <w:keepLines w:val="0"/>
                    <w:suppressLineNumbers w:val="0"/>
                    <w:spacing w:before="0" w:beforeAutospacing="0" w:after="0" w:afterAutospacing="0" w:line="240" w:lineRule="auto"/>
                    <w:ind w:left="0" w:leftChars="0" w:right="0" w:right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10"/>
                      <w:sz w:val="21"/>
                      <w:szCs w:val="21"/>
                      <w:highlight w:val="none"/>
                    </w:rPr>
                    <w:t>夜间</w:t>
                  </w:r>
                </w:p>
              </w:tc>
              <w:tc>
                <w:tcPr>
                  <w:tcW w:w="555" w:type="pct"/>
                  <w:noWrap w:val="0"/>
                  <w:vAlign w:val="center"/>
                </w:tcPr>
                <w:p w14:paraId="131624D9">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28.8</w:t>
                  </w:r>
                </w:p>
              </w:tc>
              <w:tc>
                <w:tcPr>
                  <w:tcW w:w="555" w:type="pct"/>
                  <w:noWrap w:val="0"/>
                  <w:vAlign w:val="center"/>
                </w:tcPr>
                <w:p w14:paraId="55D7D9C0">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eastAsia"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23.3</w:t>
                  </w:r>
                </w:p>
              </w:tc>
              <w:tc>
                <w:tcPr>
                  <w:tcW w:w="935" w:type="dxa"/>
                  <w:noWrap w:val="0"/>
                  <w:vAlign w:val="center"/>
                </w:tcPr>
                <w:p w14:paraId="38FEFF0A">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51</w:t>
                  </w:r>
                </w:p>
              </w:tc>
              <w:tc>
                <w:tcPr>
                  <w:tcW w:w="555" w:type="pct"/>
                  <w:noWrap w:val="0"/>
                  <w:vAlign w:val="center"/>
                </w:tcPr>
                <w:p w14:paraId="0B463111">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23.3</w:t>
                  </w:r>
                </w:p>
              </w:tc>
              <w:tc>
                <w:tcPr>
                  <w:tcW w:w="935" w:type="dxa"/>
                  <w:noWrap w:val="0"/>
                  <w:vAlign w:val="center"/>
                </w:tcPr>
                <w:p w14:paraId="7AD564B7">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 xml:space="preserve">51.0 </w:t>
                  </w:r>
                </w:p>
              </w:tc>
              <w:tc>
                <w:tcPr>
                  <w:tcW w:w="555" w:type="pct"/>
                  <w:noWrap w:val="0"/>
                  <w:vAlign w:val="center"/>
                </w:tcPr>
                <w:p w14:paraId="4B595A7A">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55</w:t>
                  </w:r>
                </w:p>
              </w:tc>
              <w:tc>
                <w:tcPr>
                  <w:tcW w:w="558" w:type="pct"/>
                  <w:noWrap w:val="0"/>
                  <w:vAlign w:val="center"/>
                </w:tcPr>
                <w:p w14:paraId="7C412F4D">
                  <w:pPr>
                    <w:keepNext w:val="0"/>
                    <w:keepLines w:val="0"/>
                    <w:widowControl w:val="0"/>
                    <w:suppressLineNumbers w:val="0"/>
                    <w:spacing w:before="0" w:beforeAutospacing="0" w:after="0" w:afterAutospacing="0" w:line="240" w:lineRule="auto"/>
                    <w:ind w:left="0" w:leftChars="0" w:right="0" w:righ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达标</w:t>
                  </w:r>
                </w:p>
              </w:tc>
            </w:tr>
          </w:tbl>
          <w:p w14:paraId="2BF02FF9">
            <w:pPr>
              <w:adjustRightInd/>
              <w:snapToGrid/>
              <w:spacing w:beforeLines="0" w:afterLines="0" w:line="360" w:lineRule="auto"/>
              <w:ind w:firstLine="0" w:firstLineChars="0"/>
              <w:jc w:val="left"/>
              <w:rPr>
                <w:rFonts w:hint="eastAsia" w:eastAsia="宋体"/>
                <w:color w:val="auto"/>
                <w:sz w:val="21"/>
                <w:szCs w:val="21"/>
                <w:highlight w:val="none"/>
                <w:lang w:eastAsia="zh-CN"/>
              </w:rPr>
            </w:pPr>
            <w:r>
              <w:rPr>
                <w:rFonts w:hint="eastAsia"/>
                <w:color w:val="auto"/>
                <w:sz w:val="21"/>
                <w:szCs w:val="21"/>
                <w:highlight w:val="none"/>
                <w:lang w:eastAsia="zh-CN"/>
              </w:rPr>
              <w:t>注：</w:t>
            </w:r>
            <w:r>
              <w:rPr>
                <w:rFonts w:hint="eastAsia"/>
                <w:color w:val="auto"/>
                <w:sz w:val="21"/>
                <w:szCs w:val="21"/>
                <w:highlight w:val="none"/>
                <w:lang w:val="en-US" w:eastAsia="zh-CN"/>
              </w:rPr>
              <w:t>因</w:t>
            </w:r>
            <w:r>
              <w:rPr>
                <w:rFonts w:hint="eastAsia"/>
                <w:color w:val="auto"/>
                <w:sz w:val="21"/>
                <w:szCs w:val="21"/>
                <w:highlight w:val="none"/>
                <w:lang w:eastAsia="zh-CN"/>
              </w:rPr>
              <w:t>东厂界紧邻企业不具备监测条件，</w:t>
            </w:r>
            <w:r>
              <w:rPr>
                <w:rFonts w:hint="eastAsia"/>
                <w:color w:val="auto"/>
                <w:sz w:val="21"/>
                <w:szCs w:val="21"/>
                <w:highlight w:val="none"/>
                <w:lang w:val="en-US" w:eastAsia="zh-CN"/>
              </w:rPr>
              <w:t>现状监测值以另三个厂界的最大值计</w:t>
            </w:r>
            <w:r>
              <w:rPr>
                <w:rFonts w:hint="eastAsia"/>
                <w:color w:val="auto"/>
                <w:sz w:val="21"/>
                <w:szCs w:val="21"/>
                <w:highlight w:val="none"/>
                <w:lang w:eastAsia="zh-CN"/>
              </w:rPr>
              <w:t>。</w:t>
            </w:r>
          </w:p>
          <w:p w14:paraId="488366EF">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由上表可以看出，厂界贡献满足《工业企业厂界环境噪声排放标准》（GB</w:t>
            </w:r>
            <w:r>
              <w:rPr>
                <w:rFonts w:hint="eastAsia" w:eastAsia="宋体"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12348-2008）中</w:t>
            </w:r>
            <w:r>
              <w:rPr>
                <w:rFonts w:hint="eastAsia" w:cs="Times New Roman"/>
                <w:b w:val="0"/>
                <w:bCs/>
                <w:color w:val="auto"/>
                <w:sz w:val="21"/>
                <w:szCs w:val="21"/>
                <w:highlight w:val="none"/>
                <w:lang w:val="en-US" w:eastAsia="zh-CN"/>
              </w:rPr>
              <w:t>3</w:t>
            </w:r>
            <w:r>
              <w:rPr>
                <w:rFonts w:hint="default" w:ascii="Times New Roman" w:hAnsi="Times New Roman" w:eastAsia="宋体" w:cs="Times New Roman"/>
                <w:b w:val="0"/>
                <w:bCs/>
                <w:color w:val="auto"/>
                <w:sz w:val="21"/>
                <w:szCs w:val="21"/>
                <w:highlight w:val="none"/>
                <w:lang w:val="en-US" w:eastAsia="zh-CN"/>
              </w:rPr>
              <w:t>类标准。</w:t>
            </w:r>
          </w:p>
          <w:p w14:paraId="724AD42F">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4、</w:t>
            </w:r>
            <w:r>
              <w:rPr>
                <w:rFonts w:hint="default" w:ascii="Times New Roman" w:hAnsi="Times New Roman" w:eastAsia="宋体" w:cs="Times New Roman"/>
                <w:b w:val="0"/>
                <w:bCs/>
                <w:color w:val="auto"/>
                <w:sz w:val="21"/>
                <w:szCs w:val="21"/>
                <w:highlight w:val="none"/>
                <w:lang w:val="en-US" w:eastAsia="zh-CN"/>
              </w:rPr>
              <w:t>监测要求</w:t>
            </w:r>
          </w:p>
          <w:p w14:paraId="694451C8">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根据《排污单位自行监测技术指南</w:t>
            </w:r>
            <w:r>
              <w:rPr>
                <w:rFonts w:hint="eastAsia"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总则》（HJ</w:t>
            </w:r>
            <w:r>
              <w:rPr>
                <w:rFonts w:hint="eastAsia" w:eastAsia="宋体" w:cs="Times New Roman"/>
                <w:b w:val="0"/>
                <w:bCs/>
                <w:color w:val="auto"/>
                <w:sz w:val="21"/>
                <w:szCs w:val="21"/>
                <w:highlight w:val="none"/>
                <w:lang w:val="en-US" w:eastAsia="zh-CN"/>
              </w:rPr>
              <w:t xml:space="preserve"> </w:t>
            </w:r>
            <w:r>
              <w:rPr>
                <w:rFonts w:hint="default" w:ascii="Times New Roman" w:hAnsi="Times New Roman" w:eastAsia="宋体" w:cs="Times New Roman"/>
                <w:b w:val="0"/>
                <w:bCs/>
                <w:color w:val="auto"/>
                <w:sz w:val="21"/>
                <w:szCs w:val="21"/>
                <w:highlight w:val="none"/>
                <w:lang w:val="en-US" w:eastAsia="zh-CN"/>
              </w:rPr>
              <w:t>819-2017）的相关规定以及本项目污染物排放情况，对本项目噪声的日常监测要求详见表4-</w:t>
            </w:r>
            <w:r>
              <w:rPr>
                <w:rFonts w:hint="eastAsia" w:cs="Times New Roman"/>
                <w:b w:val="0"/>
                <w:bCs/>
                <w:color w:val="auto"/>
                <w:sz w:val="21"/>
                <w:szCs w:val="21"/>
                <w:highlight w:val="none"/>
                <w:lang w:val="en-US" w:eastAsia="zh-CN"/>
              </w:rPr>
              <w:t>15</w:t>
            </w:r>
            <w:r>
              <w:rPr>
                <w:rFonts w:hint="default" w:ascii="Times New Roman" w:hAnsi="Times New Roman" w:eastAsia="宋体" w:cs="Times New Roman"/>
                <w:b w:val="0"/>
                <w:bCs/>
                <w:color w:val="auto"/>
                <w:sz w:val="21"/>
                <w:szCs w:val="21"/>
                <w:highlight w:val="none"/>
                <w:lang w:val="en-US" w:eastAsia="zh-CN"/>
              </w:rPr>
              <w:t>。</w:t>
            </w:r>
          </w:p>
          <w:p w14:paraId="440326B4">
            <w:pPr>
              <w:adjustRightInd/>
              <w:snapToGrid/>
              <w:spacing w:beforeLines="0" w:afterLines="0" w:line="360" w:lineRule="auto"/>
              <w:ind w:firstLine="0" w:firstLineChars="0"/>
              <w:jc w:val="center"/>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4-</w:t>
            </w:r>
            <w:r>
              <w:rPr>
                <w:rFonts w:hint="eastAsia" w:ascii="Times New Roman" w:hAnsi="Times New Roman" w:eastAsia="宋体" w:cs="Times New Roman"/>
                <w:b/>
                <w:bCs w:val="0"/>
                <w:color w:val="auto"/>
                <w:sz w:val="21"/>
                <w:szCs w:val="21"/>
                <w:highlight w:val="none"/>
                <w:lang w:val="en-US" w:eastAsia="zh-CN"/>
              </w:rPr>
              <w:t>1</w:t>
            </w:r>
            <w:r>
              <w:rPr>
                <w:rFonts w:hint="eastAsia" w:cs="Times New Roman"/>
                <w:b/>
                <w:bCs w:val="0"/>
                <w:color w:val="auto"/>
                <w:sz w:val="21"/>
                <w:szCs w:val="21"/>
                <w:highlight w:val="none"/>
                <w:lang w:val="en-US" w:eastAsia="zh-CN"/>
              </w:rPr>
              <w:t>5 声环境监测计划一览表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8"/>
              <w:gridCol w:w="938"/>
              <w:gridCol w:w="1053"/>
              <w:gridCol w:w="992"/>
              <w:gridCol w:w="1122"/>
              <w:gridCol w:w="3616"/>
            </w:tblGrid>
            <w:tr w14:paraId="117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4" w:type="pct"/>
                  <w:noWrap w:val="0"/>
                  <w:vAlign w:val="center"/>
                </w:tcPr>
                <w:p w14:paraId="25B6FC3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类别</w:t>
                  </w:r>
                </w:p>
              </w:tc>
              <w:tc>
                <w:tcPr>
                  <w:tcW w:w="557" w:type="pct"/>
                  <w:noWrap w:val="0"/>
                  <w:vAlign w:val="center"/>
                </w:tcPr>
                <w:p w14:paraId="4E02E3F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污染源</w:t>
                  </w:r>
                </w:p>
              </w:tc>
              <w:tc>
                <w:tcPr>
                  <w:tcW w:w="625" w:type="pct"/>
                  <w:noWrap w:val="0"/>
                  <w:vAlign w:val="center"/>
                </w:tcPr>
                <w:p w14:paraId="2DBB0C92">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监测</w:t>
                  </w:r>
                </w:p>
                <w:p w14:paraId="305A9C25">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项目</w:t>
                  </w:r>
                </w:p>
              </w:tc>
              <w:tc>
                <w:tcPr>
                  <w:tcW w:w="589" w:type="pct"/>
                  <w:noWrap w:val="0"/>
                  <w:vAlign w:val="center"/>
                </w:tcPr>
                <w:p w14:paraId="4DF6C34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监测</w:t>
                  </w:r>
                </w:p>
                <w:p w14:paraId="339DCB72">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点位</w:t>
                  </w:r>
                </w:p>
              </w:tc>
              <w:tc>
                <w:tcPr>
                  <w:tcW w:w="666" w:type="pct"/>
                  <w:noWrap w:val="0"/>
                  <w:vAlign w:val="center"/>
                </w:tcPr>
                <w:p w14:paraId="1314870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监测频率</w:t>
                  </w:r>
                </w:p>
              </w:tc>
              <w:tc>
                <w:tcPr>
                  <w:tcW w:w="2146" w:type="pct"/>
                  <w:noWrap w:val="0"/>
                  <w:vAlign w:val="center"/>
                </w:tcPr>
                <w:p w14:paraId="2A79118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执行排放标准</w:t>
                  </w:r>
                </w:p>
              </w:tc>
            </w:tr>
            <w:tr w14:paraId="281EF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414" w:type="pct"/>
                  <w:noWrap w:val="0"/>
                  <w:vAlign w:val="center"/>
                </w:tcPr>
                <w:p w14:paraId="17E5D606">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噪声</w:t>
                  </w:r>
                </w:p>
              </w:tc>
              <w:tc>
                <w:tcPr>
                  <w:tcW w:w="557" w:type="pct"/>
                  <w:noWrap w:val="0"/>
                  <w:vAlign w:val="center"/>
                </w:tcPr>
                <w:p w14:paraId="34AF9049">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设备噪声</w:t>
                  </w:r>
                </w:p>
              </w:tc>
              <w:tc>
                <w:tcPr>
                  <w:tcW w:w="625" w:type="pct"/>
                  <w:noWrap w:val="0"/>
                  <w:vAlign w:val="center"/>
                </w:tcPr>
                <w:p w14:paraId="2BC476FA">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等效A声级</w:t>
                  </w:r>
                  <w:r>
                    <w:rPr>
                      <w:rFonts w:hint="eastAsia" w:cs="Times New Roman"/>
                      <w:color w:val="auto"/>
                      <w:kern w:val="0"/>
                      <w:sz w:val="21"/>
                      <w:szCs w:val="21"/>
                      <w:highlight w:val="none"/>
                      <w:lang w:val="en-US" w:eastAsia="zh-CN" w:bidi="ar-SA"/>
                    </w:rPr>
                    <w:t>、最大声级</w:t>
                  </w:r>
                </w:p>
              </w:tc>
              <w:tc>
                <w:tcPr>
                  <w:tcW w:w="589" w:type="pct"/>
                  <w:noWrap w:val="0"/>
                  <w:vAlign w:val="center"/>
                </w:tcPr>
                <w:p w14:paraId="51321D81">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厂界外1m处</w:t>
                  </w:r>
                </w:p>
              </w:tc>
              <w:tc>
                <w:tcPr>
                  <w:tcW w:w="666" w:type="pct"/>
                  <w:noWrap w:val="0"/>
                  <w:vAlign w:val="center"/>
                </w:tcPr>
                <w:p w14:paraId="12BA08BC">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每季一次</w:t>
                  </w:r>
                </w:p>
              </w:tc>
              <w:tc>
                <w:tcPr>
                  <w:tcW w:w="2146" w:type="pct"/>
                  <w:noWrap w:val="0"/>
                  <w:vAlign w:val="center"/>
                </w:tcPr>
                <w:p w14:paraId="5B6899D4">
                  <w:pPr>
                    <w:keepNext w:val="0"/>
                    <w:keepLines w:val="0"/>
                    <w:widowControl w:val="0"/>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满足《工业企业厂界环境噪声排放标准》（GB</w:t>
                  </w:r>
                  <w:r>
                    <w:rPr>
                      <w:rFonts w:hint="eastAsia" w:ascii="Times New Roman" w:hAnsi="Times New Roman" w:eastAsia="宋体" w:cs="Times New Roman"/>
                      <w:color w:val="auto"/>
                      <w:kern w:val="0"/>
                      <w:sz w:val="21"/>
                      <w:szCs w:val="21"/>
                      <w:highlight w:val="none"/>
                      <w:lang w:val="en-US" w:eastAsia="zh-CN" w:bidi="ar-SA"/>
                    </w:rPr>
                    <w:t xml:space="preserve"> </w:t>
                  </w:r>
                  <w:r>
                    <w:rPr>
                      <w:rFonts w:hint="default" w:ascii="Times New Roman" w:hAnsi="Times New Roman" w:eastAsia="宋体" w:cs="Times New Roman"/>
                      <w:color w:val="auto"/>
                      <w:kern w:val="0"/>
                      <w:sz w:val="21"/>
                      <w:szCs w:val="21"/>
                      <w:highlight w:val="none"/>
                      <w:lang w:val="en-US" w:eastAsia="zh-CN" w:bidi="ar-SA"/>
                    </w:rPr>
                    <w:t>12348-2008）</w:t>
                  </w:r>
                  <w:r>
                    <w:rPr>
                      <w:rFonts w:hint="eastAsia" w:ascii="Times New Roman" w:hAnsi="Times New Roman" w:eastAsia="宋体" w:cs="Times New Roman"/>
                      <w:color w:val="auto"/>
                      <w:kern w:val="0"/>
                      <w:sz w:val="21"/>
                      <w:szCs w:val="21"/>
                      <w:highlight w:val="none"/>
                      <w:lang w:val="en-US" w:eastAsia="zh-CN" w:bidi="ar-SA"/>
                    </w:rPr>
                    <w:t>3</w:t>
                  </w:r>
                  <w:r>
                    <w:rPr>
                      <w:rFonts w:hint="default" w:ascii="Times New Roman" w:hAnsi="Times New Roman" w:eastAsia="宋体" w:cs="Times New Roman"/>
                      <w:color w:val="auto"/>
                      <w:kern w:val="0"/>
                      <w:sz w:val="21"/>
                      <w:szCs w:val="21"/>
                      <w:highlight w:val="none"/>
                      <w:lang w:val="en-US" w:eastAsia="zh-CN" w:bidi="ar-SA"/>
                    </w:rPr>
                    <w:t>类区标准</w:t>
                  </w:r>
                </w:p>
              </w:tc>
            </w:tr>
          </w:tbl>
          <w:p w14:paraId="359C3BCD">
            <w:pPr>
              <w:adjustRightInd/>
              <w:snapToGrid/>
              <w:spacing w:beforeLines="0" w:afterLines="0" w:line="360" w:lineRule="auto"/>
              <w:ind w:firstLine="422" w:firstLineChars="200"/>
              <w:rPr>
                <w:rFonts w:hint="eastAsia" w:cs="Times New Roman"/>
                <w:b/>
                <w:bCs w:val="0"/>
                <w:color w:val="auto"/>
                <w:sz w:val="21"/>
                <w:szCs w:val="21"/>
                <w:highlight w:val="none"/>
                <w:lang w:val="en-US" w:eastAsia="zh-CN"/>
              </w:rPr>
            </w:pPr>
          </w:p>
          <w:p w14:paraId="47625E49">
            <w:pPr>
              <w:adjustRightInd/>
              <w:snapToGrid/>
              <w:spacing w:beforeLines="0" w:afterLines="0" w:line="360" w:lineRule="auto"/>
              <w:ind w:firstLine="422" w:firstLineChars="200"/>
              <w:rPr>
                <w:rFonts w:hint="eastAsia" w:cs="Times New Roman"/>
                <w:b/>
                <w:bCs w:val="0"/>
                <w:color w:val="auto"/>
                <w:sz w:val="21"/>
                <w:szCs w:val="21"/>
                <w:highlight w:val="none"/>
                <w:lang w:val="en-US" w:eastAsia="zh-CN"/>
              </w:rPr>
            </w:pPr>
            <w:r>
              <w:rPr>
                <w:rFonts w:hint="eastAsia" w:cs="Times New Roman"/>
                <w:b/>
                <w:bCs w:val="0"/>
                <w:color w:val="auto"/>
                <w:sz w:val="21"/>
                <w:szCs w:val="21"/>
                <w:highlight w:val="none"/>
                <w:lang w:val="en-US" w:eastAsia="zh-CN"/>
              </w:rPr>
              <w:t>（四）固体废物</w:t>
            </w:r>
          </w:p>
          <w:p w14:paraId="6B2D825E">
            <w:pPr>
              <w:adjustRightInd/>
              <w:snapToGrid/>
              <w:spacing w:beforeLines="0" w:afterLines="0" w:line="360" w:lineRule="auto"/>
              <w:ind w:firstLine="420" w:firstLineChars="200"/>
              <w:rPr>
                <w:rFonts w:hint="eastAsia"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w:t>
            </w:r>
            <w:r>
              <w:rPr>
                <w:rFonts w:hint="eastAsia" w:cs="Times New Roman"/>
                <w:b w:val="0"/>
                <w:bCs/>
                <w:color w:val="auto"/>
                <w:sz w:val="21"/>
                <w:szCs w:val="21"/>
                <w:highlight w:val="none"/>
                <w:lang w:val="en-US" w:eastAsia="zh-CN"/>
              </w:rPr>
              <w:t>不新增人员，不新增生活垃圾产生量。</w:t>
            </w:r>
            <w:r>
              <w:rPr>
                <w:rFonts w:hint="eastAsia" w:eastAsia="宋体" w:cs="Times New Roman"/>
                <w:b w:val="0"/>
                <w:bCs/>
                <w:color w:val="auto"/>
                <w:sz w:val="21"/>
                <w:szCs w:val="21"/>
                <w:highlight w:val="none"/>
                <w:lang w:val="en-US" w:eastAsia="zh-CN"/>
              </w:rPr>
              <w:t>产生的固体废物主要为废包装</w:t>
            </w:r>
            <w:r>
              <w:rPr>
                <w:rFonts w:hint="eastAsia" w:cs="Times New Roman"/>
                <w:b w:val="0"/>
                <w:bCs/>
                <w:color w:val="auto"/>
                <w:sz w:val="21"/>
                <w:szCs w:val="21"/>
                <w:highlight w:val="none"/>
                <w:lang w:val="en-US" w:eastAsia="zh-CN"/>
              </w:rPr>
              <w:t>袋</w:t>
            </w:r>
            <w:r>
              <w:rPr>
                <w:rFonts w:hint="eastAsia" w:eastAsia="宋体" w:cs="Times New Roman"/>
                <w:b w:val="0"/>
                <w:bCs/>
                <w:color w:val="auto"/>
                <w:sz w:val="21"/>
                <w:szCs w:val="21"/>
                <w:highlight w:val="none"/>
                <w:lang w:val="en-US" w:eastAsia="zh-CN"/>
              </w:rPr>
              <w:t>、</w:t>
            </w:r>
            <w:r>
              <w:rPr>
                <w:rFonts w:hint="eastAsia" w:cs="Times New Roman"/>
                <w:b w:val="0"/>
                <w:bCs/>
                <w:color w:val="auto"/>
                <w:sz w:val="21"/>
                <w:szCs w:val="21"/>
                <w:highlight w:val="none"/>
                <w:lang w:val="en-US" w:eastAsia="zh-CN"/>
              </w:rPr>
              <w:t>废反渗透膜、废布袋、污水站污泥、废润滑油及废润滑油桶。其中，企业进行污水处理站污泥的危废鉴定工作，经鉴定污泥属于一般固废，鉴别报告及专家意见见附件。鉴于本项目所用原辅料现有工程均使用，且污水处理站生产工艺均不发生变化，因此本次污泥按</w:t>
            </w:r>
            <w:r>
              <w:rPr>
                <w:rFonts w:hint="eastAsia" w:eastAsia="宋体" w:cs="Times New Roman"/>
                <w:b w:val="0"/>
                <w:bCs/>
                <w:color w:val="auto"/>
                <w:sz w:val="21"/>
                <w:szCs w:val="21"/>
                <w:highlight w:val="none"/>
                <w:lang w:val="en-US" w:eastAsia="zh-CN"/>
              </w:rPr>
              <w:t>一般工业固体废物</w:t>
            </w:r>
            <w:r>
              <w:rPr>
                <w:rFonts w:hint="eastAsia" w:cs="Times New Roman"/>
                <w:b w:val="0"/>
                <w:bCs/>
                <w:color w:val="auto"/>
                <w:sz w:val="21"/>
                <w:szCs w:val="21"/>
                <w:highlight w:val="none"/>
                <w:lang w:val="en-US" w:eastAsia="zh-CN"/>
              </w:rPr>
              <w:t>管理</w:t>
            </w:r>
            <w:r>
              <w:rPr>
                <w:rFonts w:hint="eastAsia" w:eastAsia="宋体" w:cs="Times New Roman"/>
                <w:b w:val="0"/>
                <w:bCs/>
                <w:color w:val="auto"/>
                <w:sz w:val="21"/>
                <w:szCs w:val="21"/>
                <w:highlight w:val="none"/>
                <w:lang w:val="en-US" w:eastAsia="zh-CN"/>
              </w:rPr>
              <w:t>。</w:t>
            </w:r>
            <w:r>
              <w:rPr>
                <w:rFonts w:hint="eastAsia" w:cs="Times New Roman"/>
                <w:b w:val="0"/>
                <w:bCs/>
                <w:color w:val="auto"/>
                <w:sz w:val="21"/>
                <w:szCs w:val="21"/>
                <w:highlight w:val="none"/>
                <w:lang w:val="en-US" w:eastAsia="zh-CN"/>
              </w:rPr>
              <w:t>除尘灰产生即回用，不经过贮存或堆积，现场直接返回原生产过程，不作为固体废物管理，不纳入一般工业固体废物统计。</w:t>
            </w:r>
          </w:p>
          <w:p w14:paraId="165C1BAC">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（1）</w:t>
            </w:r>
            <w:r>
              <w:rPr>
                <w:rFonts w:hint="eastAsia" w:eastAsia="宋体" w:cs="Times New Roman"/>
                <w:b w:val="0"/>
                <w:bCs/>
                <w:color w:val="auto"/>
                <w:sz w:val="21"/>
                <w:szCs w:val="21"/>
                <w:highlight w:val="none"/>
                <w:lang w:val="en-US" w:eastAsia="zh-CN"/>
              </w:rPr>
              <w:t>一般工业固体废物</w:t>
            </w:r>
          </w:p>
          <w:p w14:paraId="41FB8069">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一般工业固体废物主要为废包装</w:t>
            </w:r>
            <w:r>
              <w:rPr>
                <w:rFonts w:hint="eastAsia" w:cs="Times New Roman"/>
                <w:b w:val="0"/>
                <w:bCs/>
                <w:color w:val="auto"/>
                <w:sz w:val="21"/>
                <w:szCs w:val="21"/>
                <w:highlight w:val="none"/>
                <w:lang w:val="en-US" w:eastAsia="zh-CN"/>
              </w:rPr>
              <w:t>袋</w:t>
            </w:r>
            <w:r>
              <w:rPr>
                <w:rFonts w:hint="eastAsia" w:eastAsia="宋体" w:cs="Times New Roman"/>
                <w:b w:val="0"/>
                <w:bCs/>
                <w:color w:val="auto"/>
                <w:sz w:val="21"/>
                <w:szCs w:val="21"/>
                <w:highlight w:val="none"/>
                <w:lang w:val="en-US" w:eastAsia="zh-CN"/>
              </w:rPr>
              <w:t>、</w:t>
            </w:r>
            <w:r>
              <w:rPr>
                <w:rFonts w:hint="eastAsia" w:cs="Times New Roman"/>
                <w:b w:val="0"/>
                <w:bCs/>
                <w:color w:val="auto"/>
                <w:sz w:val="21"/>
                <w:szCs w:val="21"/>
                <w:highlight w:val="none"/>
                <w:lang w:val="en-US" w:eastAsia="zh-CN"/>
              </w:rPr>
              <w:t>废反渗透膜、废布袋、污泥</w:t>
            </w:r>
            <w:r>
              <w:rPr>
                <w:rFonts w:hint="eastAsia" w:eastAsia="宋体" w:cs="Times New Roman"/>
                <w:b w:val="0"/>
                <w:bCs/>
                <w:color w:val="auto"/>
                <w:sz w:val="21"/>
                <w:szCs w:val="21"/>
                <w:highlight w:val="none"/>
                <w:lang w:val="en-US" w:eastAsia="zh-CN"/>
              </w:rPr>
              <w:t>。</w:t>
            </w:r>
          </w:p>
          <w:p w14:paraId="6B832191">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废包装：原辅料脱包装过程废包装材料</w:t>
            </w:r>
            <w:r>
              <w:rPr>
                <w:rFonts w:hint="eastAsia" w:ascii="Times New Roman" w:hAnsi="Times New Roman" w:cs="Times New Roman"/>
                <w:b w:val="0"/>
                <w:bCs/>
                <w:color w:val="auto"/>
                <w:sz w:val="21"/>
                <w:szCs w:val="21"/>
                <w:highlight w:val="none"/>
                <w:lang w:val="en-US" w:eastAsia="zh-CN"/>
              </w:rPr>
              <w:t>，根据原辅材料年用量、单袋净重、包装损耗率核算；本项目原辅材料总用量约284.5t/a，单袋/箱平均净重25 kg，包装损耗率按0.1% 计，核算得废包装袋产生量约为0.28</w:t>
            </w:r>
            <w:r>
              <w:rPr>
                <w:rFonts w:hint="eastAsia" w:eastAsia="宋体" w:cs="Times New Roman"/>
                <w:b w:val="0"/>
                <w:bCs/>
                <w:color w:val="auto"/>
                <w:sz w:val="21"/>
                <w:szCs w:val="21"/>
                <w:highlight w:val="none"/>
                <w:lang w:val="en-US" w:eastAsia="zh-CN"/>
              </w:rPr>
              <w:t>t/a，统一收集后外售。</w:t>
            </w:r>
          </w:p>
          <w:p w14:paraId="7EB3E282">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废反渗透膜：</w:t>
            </w:r>
            <w:r>
              <w:rPr>
                <w:rFonts w:hint="eastAsia" w:eastAsia="宋体" w:cs="Times New Roman"/>
                <w:b w:val="0"/>
                <w:bCs/>
                <w:color w:val="auto"/>
                <w:sz w:val="21"/>
                <w:szCs w:val="21"/>
                <w:highlight w:val="none"/>
                <w:lang w:val="en-US" w:eastAsia="zh-CN"/>
              </w:rPr>
              <w:t>纯水制备时会产生</w:t>
            </w:r>
            <w:r>
              <w:rPr>
                <w:rFonts w:hint="eastAsia" w:cs="Times New Roman"/>
                <w:b w:val="0"/>
                <w:bCs/>
                <w:color w:val="auto"/>
                <w:sz w:val="21"/>
                <w:szCs w:val="21"/>
                <w:highlight w:val="none"/>
                <w:lang w:val="en-US" w:eastAsia="zh-CN"/>
              </w:rPr>
              <w:t>废反渗透膜</w:t>
            </w:r>
            <w:r>
              <w:rPr>
                <w:rFonts w:hint="eastAsia" w:eastAsia="宋体" w:cs="Times New Roman"/>
                <w:b w:val="0"/>
                <w:bCs/>
                <w:color w:val="auto"/>
                <w:sz w:val="21"/>
                <w:szCs w:val="21"/>
                <w:highlight w:val="none"/>
                <w:lang w:val="en-US" w:eastAsia="zh-CN"/>
              </w:rPr>
              <w:t>，</w:t>
            </w:r>
            <w:r>
              <w:rPr>
                <w:rFonts w:hint="eastAsia" w:cs="Times New Roman"/>
                <w:b w:val="0"/>
                <w:bCs/>
                <w:color w:val="auto"/>
                <w:sz w:val="21"/>
                <w:szCs w:val="21"/>
                <w:highlight w:val="none"/>
                <w:lang w:val="en-US" w:eastAsia="zh-CN"/>
              </w:rPr>
              <w:t>本项目纯水使用量1380t/a，</w:t>
            </w:r>
            <w:r>
              <w:rPr>
                <w:rFonts w:hint="eastAsia" w:ascii="Times New Roman" w:hAnsi="Times New Roman" w:cs="Times New Roman"/>
                <w:b w:val="0"/>
                <w:bCs/>
                <w:color w:val="auto"/>
                <w:sz w:val="21"/>
                <w:szCs w:val="21"/>
                <w:highlight w:val="none"/>
                <w:lang w:val="en-US" w:eastAsia="zh-CN"/>
              </w:rPr>
              <w:t>根据设备厂家技术手册废反渗透膜产生量约为0.2t/a</w:t>
            </w:r>
            <w:r>
              <w:rPr>
                <w:rFonts w:hint="eastAsia" w:eastAsia="宋体" w:cs="Times New Roman"/>
                <w:b w:val="0"/>
                <w:bCs/>
                <w:color w:val="auto"/>
                <w:sz w:val="21"/>
                <w:szCs w:val="21"/>
                <w:highlight w:val="none"/>
                <w:lang w:val="en-US" w:eastAsia="zh-CN"/>
              </w:rPr>
              <w:t>，</w:t>
            </w:r>
            <w:commentRangeStart w:id="9"/>
            <w:r>
              <w:rPr>
                <w:rFonts w:hint="eastAsia" w:eastAsia="宋体" w:cs="Times New Roman"/>
                <w:b w:val="0"/>
                <w:bCs/>
                <w:color w:val="auto"/>
                <w:sz w:val="21"/>
                <w:szCs w:val="21"/>
                <w:highlight w:val="none"/>
                <w:lang w:val="en-US" w:eastAsia="zh-CN"/>
              </w:rPr>
              <w:t>统一收集后外售。</w:t>
            </w:r>
            <w:commentRangeEnd w:id="9"/>
            <w:r>
              <w:commentReference w:id="9"/>
            </w:r>
          </w:p>
          <w:p w14:paraId="3E4EDAA2">
            <w:pPr>
              <w:adjustRightInd/>
              <w:snapToGrid/>
              <w:spacing w:beforeLines="0" w:afterLines="0" w:line="360" w:lineRule="auto"/>
              <w:ind w:firstLine="420" w:firstLineChars="200"/>
              <w:rPr>
                <w:rFonts w:hint="eastAsia" w:ascii="Times New Roman" w:hAnsi="Times New Roman"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废布袋：</w:t>
            </w:r>
            <w:r>
              <w:rPr>
                <w:rFonts w:hint="eastAsia" w:ascii="Times New Roman" w:hAnsi="Times New Roman" w:eastAsia="宋体" w:cs="Times New Roman"/>
                <w:b w:val="0"/>
                <w:bCs/>
                <w:color w:val="auto"/>
                <w:sz w:val="21"/>
                <w:szCs w:val="21"/>
                <w:highlight w:val="none"/>
                <w:lang w:val="en-US" w:eastAsia="zh-CN"/>
              </w:rPr>
              <w:t>袋除尘器滤袋老化、破损定期更换产生</w:t>
            </w:r>
            <w:r>
              <w:rPr>
                <w:rFonts w:hint="eastAsia" w:ascii="Times New Roman" w:hAnsi="Times New Roman" w:cs="Times New Roman"/>
                <w:b w:val="0"/>
                <w:bCs/>
                <w:color w:val="auto"/>
                <w:sz w:val="21"/>
                <w:szCs w:val="21"/>
                <w:highlight w:val="none"/>
                <w:lang w:val="en-US" w:eastAsia="zh-CN"/>
              </w:rPr>
              <w:t>。</w:t>
            </w:r>
            <w:r>
              <w:rPr>
                <w:rFonts w:hint="eastAsia" w:ascii="Times New Roman" w:hAnsi="Times New Roman" w:eastAsia="宋体" w:cs="Times New Roman"/>
                <w:b w:val="0"/>
                <w:bCs/>
                <w:color w:val="auto"/>
                <w:sz w:val="21"/>
                <w:szCs w:val="21"/>
                <w:highlight w:val="none"/>
                <w:lang w:val="en-US" w:eastAsia="zh-CN"/>
              </w:rPr>
              <w:t>根据设备厂家技术手册，本项目布袋除尘器滤袋</w:t>
            </w:r>
            <w:r>
              <w:rPr>
                <w:rFonts w:hint="eastAsia" w:ascii="Times New Roman" w:hAnsi="Times New Roman" w:cs="Times New Roman"/>
                <w:b w:val="0"/>
                <w:bCs/>
                <w:color w:val="auto"/>
                <w:sz w:val="21"/>
                <w:szCs w:val="21"/>
                <w:highlight w:val="none"/>
                <w:lang w:val="en-US" w:eastAsia="zh-CN"/>
              </w:rPr>
              <w:t>年消耗100</w:t>
            </w:r>
            <w:r>
              <w:rPr>
                <w:rFonts w:hint="eastAsia" w:ascii="Times New Roman" w:hAnsi="Times New Roman" w:eastAsia="宋体" w:cs="Times New Roman"/>
                <w:b w:val="0"/>
                <w:bCs/>
                <w:color w:val="auto"/>
                <w:sz w:val="21"/>
                <w:szCs w:val="21"/>
                <w:highlight w:val="none"/>
                <w:lang w:val="en-US" w:eastAsia="zh-CN"/>
              </w:rPr>
              <w:t>条，单条滤袋重量约</w:t>
            </w:r>
            <w:r>
              <w:rPr>
                <w:rFonts w:hint="eastAsia" w:ascii="Times New Roman" w:hAnsi="Times New Roman" w:cs="Times New Roman"/>
                <w:b w:val="0"/>
                <w:bCs/>
                <w:color w:val="auto"/>
                <w:sz w:val="21"/>
                <w:szCs w:val="21"/>
                <w:highlight w:val="none"/>
                <w:lang w:val="en-US" w:eastAsia="zh-CN"/>
              </w:rPr>
              <w:t>0.5</w:t>
            </w:r>
            <w:r>
              <w:rPr>
                <w:rFonts w:hint="eastAsia" w:ascii="Times New Roman" w:hAnsi="Times New Roman" w:eastAsia="宋体" w:cs="Times New Roman"/>
                <w:b w:val="0"/>
                <w:bCs/>
                <w:color w:val="auto"/>
                <w:sz w:val="21"/>
                <w:szCs w:val="21"/>
                <w:highlight w:val="none"/>
                <w:lang w:val="en-US" w:eastAsia="zh-CN"/>
              </w:rPr>
              <w:t>kg</w:t>
            </w:r>
            <w:r>
              <w:rPr>
                <w:rFonts w:hint="eastAsia" w:ascii="Times New Roman" w:hAnsi="Times New Roman" w:cs="Times New Roman"/>
                <w:b w:val="0"/>
                <w:bCs/>
                <w:color w:val="auto"/>
                <w:sz w:val="21"/>
                <w:szCs w:val="21"/>
                <w:highlight w:val="none"/>
                <w:lang w:val="en-US" w:eastAsia="zh-CN"/>
              </w:rPr>
              <w:t>；</w:t>
            </w:r>
            <w:r>
              <w:rPr>
                <w:rFonts w:hint="eastAsia" w:ascii="Times New Roman" w:hAnsi="Times New Roman" w:eastAsia="宋体" w:cs="Times New Roman"/>
                <w:b w:val="0"/>
                <w:bCs/>
                <w:color w:val="auto"/>
                <w:sz w:val="21"/>
                <w:szCs w:val="21"/>
                <w:highlight w:val="none"/>
                <w:lang w:val="en-US" w:eastAsia="zh-CN"/>
              </w:rPr>
              <w:t>则废布袋年产生量为</w:t>
            </w:r>
            <w:r>
              <w:rPr>
                <w:rFonts w:hint="eastAsia" w:ascii="Times New Roman" w:hAnsi="Times New Roman" w:cs="Times New Roman"/>
                <w:b w:val="0"/>
                <w:bCs/>
                <w:color w:val="auto"/>
                <w:sz w:val="21"/>
                <w:szCs w:val="21"/>
                <w:highlight w:val="none"/>
                <w:lang w:val="en-US" w:eastAsia="zh-CN"/>
              </w:rPr>
              <w:t>0.05t/a，</w:t>
            </w:r>
            <w:commentRangeStart w:id="10"/>
            <w:r>
              <w:rPr>
                <w:rFonts w:hint="eastAsia" w:cs="Times New Roman"/>
                <w:b w:val="0"/>
                <w:bCs/>
                <w:color w:val="auto"/>
                <w:sz w:val="21"/>
                <w:szCs w:val="21"/>
                <w:highlight w:val="none"/>
                <w:lang w:val="en-US" w:eastAsia="zh-CN"/>
              </w:rPr>
              <w:t>统一收集后外售</w:t>
            </w:r>
            <w:r>
              <w:rPr>
                <w:rFonts w:hint="eastAsia" w:ascii="Times New Roman" w:hAnsi="Times New Roman" w:eastAsia="宋体" w:cs="Times New Roman"/>
                <w:b w:val="0"/>
                <w:bCs/>
                <w:color w:val="auto"/>
                <w:sz w:val="21"/>
                <w:szCs w:val="21"/>
                <w:highlight w:val="none"/>
                <w:lang w:val="en-US" w:eastAsia="zh-CN"/>
              </w:rPr>
              <w:t>。</w:t>
            </w:r>
            <w:commentRangeEnd w:id="10"/>
            <w:r>
              <w:commentReference w:id="10"/>
            </w:r>
          </w:p>
          <w:p w14:paraId="71427ADC">
            <w:pPr>
              <w:adjustRightInd/>
              <w:snapToGrid/>
              <w:spacing w:beforeLines="0" w:afterLines="0" w:line="360" w:lineRule="auto"/>
              <w:ind w:firstLine="420" w:firstLineChars="200"/>
              <w:rPr>
                <w:rFonts w:hint="eastAsia" w:cs="Times New Roman"/>
                <w:b w:val="0"/>
                <w:bCs/>
                <w:color w:val="auto"/>
                <w:sz w:val="21"/>
                <w:szCs w:val="21"/>
                <w:highlight w:val="none"/>
                <w:lang w:val="en-US" w:eastAsia="zh-CN"/>
              </w:rPr>
            </w:pPr>
            <w:r>
              <w:rPr>
                <w:rFonts w:hint="eastAsia" w:cs="Times New Roman"/>
                <w:b w:val="0"/>
                <w:bCs/>
                <w:color w:val="5300FF"/>
                <w:sz w:val="21"/>
                <w:szCs w:val="21"/>
                <w:highlight w:val="none"/>
                <w:lang w:val="en-US" w:eastAsia="zh-CN"/>
              </w:rPr>
              <w:t>污泥：本项目新增废水量5.49m</w:t>
            </w:r>
            <w:r>
              <w:rPr>
                <w:rFonts w:hint="eastAsia" w:cs="Times New Roman"/>
                <w:b w:val="0"/>
                <w:bCs/>
                <w:color w:val="5300FF"/>
                <w:sz w:val="21"/>
                <w:szCs w:val="21"/>
                <w:highlight w:val="none"/>
                <w:vertAlign w:val="superscript"/>
                <w:lang w:val="en-US" w:eastAsia="zh-CN"/>
              </w:rPr>
              <w:t>3</w:t>
            </w:r>
            <w:r>
              <w:rPr>
                <w:rFonts w:hint="eastAsia" w:cs="Times New Roman"/>
                <w:b w:val="0"/>
                <w:bCs/>
                <w:color w:val="5300FF"/>
                <w:sz w:val="21"/>
                <w:szCs w:val="21"/>
                <w:highlight w:val="none"/>
                <w:lang w:val="en-US" w:eastAsia="zh-CN"/>
              </w:rPr>
              <w:t>/d，增加污泥量公式为：平均进水COD浓度（换算成吨/m</w:t>
            </w:r>
            <w:r>
              <w:rPr>
                <w:rFonts w:hint="eastAsia" w:cs="Times New Roman"/>
                <w:b w:val="0"/>
                <w:bCs/>
                <w:color w:val="5300FF"/>
                <w:sz w:val="21"/>
                <w:szCs w:val="21"/>
                <w:highlight w:val="none"/>
                <w:vertAlign w:val="superscript"/>
                <w:lang w:val="en-US" w:eastAsia="zh-CN"/>
              </w:rPr>
              <w:t>3</w:t>
            </w:r>
            <w:r>
              <w:rPr>
                <w:rFonts w:hint="eastAsia" w:cs="Times New Roman"/>
                <w:b w:val="0"/>
                <w:bCs/>
                <w:color w:val="5300FF"/>
                <w:sz w:val="21"/>
                <w:szCs w:val="21"/>
                <w:highlight w:val="none"/>
                <w:lang w:val="en-US" w:eastAsia="zh-CN"/>
              </w:rPr>
              <w:t>）</w:t>
            </w:r>
            <w:r>
              <w:rPr>
                <w:rFonts w:hint="default" w:ascii="Times New Roman" w:hAnsi="Times New Roman" w:cs="Times New Roman"/>
                <w:b w:val="0"/>
                <w:bCs/>
                <w:color w:val="5300FF"/>
                <w:sz w:val="21"/>
                <w:szCs w:val="21"/>
                <w:highlight w:val="none"/>
                <w:lang w:val="en-US" w:eastAsia="zh-CN"/>
              </w:rPr>
              <w:t>×</w:t>
            </w:r>
            <w:r>
              <w:rPr>
                <w:rFonts w:hint="eastAsia" w:cs="Times New Roman"/>
                <w:b w:val="0"/>
                <w:bCs/>
                <w:color w:val="5300FF"/>
                <w:sz w:val="21"/>
                <w:szCs w:val="21"/>
                <w:highlight w:val="none"/>
                <w:lang w:val="en-US" w:eastAsia="zh-CN"/>
              </w:rPr>
              <w:t>日新增水量×0.7×0.3（折干污泥量）×300天；新增废水平均进水COD浓度值约为4267mg/L，则新增产生污泥1.48t/a，经吨包收集后，暂存于厂内一般固废库，</w:t>
            </w:r>
            <w:r>
              <w:rPr>
                <w:rFonts w:hint="eastAsia" w:eastAsia="宋体" w:cs="Times New Roman"/>
                <w:color w:val="5300FF"/>
                <w:spacing w:val="0"/>
                <w:w w:val="100"/>
                <w:position w:val="0"/>
                <w:sz w:val="21"/>
                <w:szCs w:val="21"/>
                <w:highlight w:val="none"/>
                <w:lang w:val="en-US" w:eastAsia="zh-CN"/>
              </w:rPr>
              <w:t>定期</w:t>
            </w:r>
            <w:r>
              <w:rPr>
                <w:rFonts w:hint="eastAsia" w:cs="Times New Roman"/>
                <w:color w:val="5300FF"/>
                <w:spacing w:val="0"/>
                <w:w w:val="100"/>
                <w:position w:val="0"/>
                <w:sz w:val="21"/>
                <w:szCs w:val="21"/>
                <w:highlight w:val="none"/>
                <w:lang w:val="en-US" w:eastAsia="zh-CN"/>
              </w:rPr>
              <w:t>交有利用能力的单位处置后综合利</w:t>
            </w:r>
            <w:r>
              <w:rPr>
                <w:rFonts w:hint="eastAsia" w:ascii="Times New Roman" w:hAnsi="Times New Roman" w:eastAsia="宋体" w:cs="Times New Roman"/>
                <w:b w:val="0"/>
                <w:bCs/>
                <w:color w:val="5300FF"/>
                <w:sz w:val="21"/>
                <w:szCs w:val="21"/>
                <w:highlight w:val="none"/>
                <w:lang w:val="en-US" w:eastAsia="zh-CN"/>
              </w:rPr>
              <w:t>用</w:t>
            </w:r>
            <w:r>
              <w:rPr>
                <w:rFonts w:hint="eastAsia" w:cs="Times New Roman"/>
                <w:b w:val="0"/>
                <w:bCs/>
                <w:color w:val="5300FF"/>
                <w:sz w:val="21"/>
                <w:szCs w:val="21"/>
                <w:highlight w:val="none"/>
                <w:lang w:val="en-US" w:eastAsia="zh-CN"/>
              </w:rPr>
              <w:t>。</w:t>
            </w:r>
          </w:p>
          <w:p w14:paraId="152F32F7">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（2）危险废物</w:t>
            </w:r>
          </w:p>
          <w:p w14:paraId="24658145">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危险废物包括：设备维护过程中使用润滑油产生的废润滑油及废润滑油桶</w:t>
            </w:r>
            <w:r>
              <w:rPr>
                <w:rFonts w:hint="eastAsia" w:eastAsia="宋体" w:cs="Times New Roman"/>
                <w:b w:val="0"/>
                <w:bCs/>
                <w:color w:val="auto"/>
                <w:sz w:val="21"/>
                <w:szCs w:val="21"/>
                <w:highlight w:val="none"/>
                <w:lang w:val="en-US" w:eastAsia="zh-CN"/>
              </w:rPr>
              <w:t>。</w:t>
            </w:r>
          </w:p>
          <w:p w14:paraId="0AEC12F1">
            <w:pPr>
              <w:adjustRightInd/>
              <w:snapToGrid/>
              <w:spacing w:beforeLines="0" w:afterLines="0" w:line="360" w:lineRule="auto"/>
              <w:ind w:firstLine="420" w:firstLineChars="200"/>
              <w:rPr>
                <w:rFonts w:hint="eastAsia"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废</w:t>
            </w:r>
            <w:r>
              <w:rPr>
                <w:rFonts w:hint="eastAsia" w:cs="Times New Roman"/>
                <w:b w:val="0"/>
                <w:bCs/>
                <w:color w:val="auto"/>
                <w:sz w:val="21"/>
                <w:szCs w:val="21"/>
                <w:highlight w:val="none"/>
                <w:lang w:val="en-US" w:eastAsia="zh-CN"/>
              </w:rPr>
              <w:t>润滑</w:t>
            </w:r>
            <w:r>
              <w:rPr>
                <w:rFonts w:hint="default" w:ascii="Times New Roman" w:hAnsi="Times New Roman" w:eastAsia="宋体" w:cs="Times New Roman"/>
                <w:b w:val="0"/>
                <w:bCs/>
                <w:color w:val="auto"/>
                <w:sz w:val="21"/>
                <w:szCs w:val="21"/>
                <w:highlight w:val="none"/>
                <w:lang w:val="en-US" w:eastAsia="zh-CN"/>
              </w:rPr>
              <w:t>油：</w:t>
            </w:r>
            <w:r>
              <w:rPr>
                <w:rFonts w:hint="eastAsia" w:ascii="Times New Roman" w:hAnsi="Times New Roman" w:cs="Times New Roman"/>
                <w:b w:val="0"/>
                <w:bCs/>
                <w:color w:val="auto"/>
                <w:sz w:val="21"/>
                <w:szCs w:val="21"/>
                <w:highlight w:val="none"/>
                <w:lang w:val="en-US" w:eastAsia="zh-CN"/>
              </w:rPr>
              <w:t>本项目设备规模小，润滑油总消耗量约 0.05 t/a，按行业常规损耗/更换率20%核算，</w:t>
            </w:r>
            <w:r>
              <w:rPr>
                <w:rFonts w:hint="default" w:ascii="Times New Roman" w:hAnsi="Times New Roman" w:cs="Times New Roman"/>
                <w:b w:val="0"/>
                <w:bCs/>
                <w:color w:val="auto"/>
                <w:sz w:val="21"/>
                <w:szCs w:val="21"/>
                <w:highlight w:val="none"/>
                <w:lang w:val="en-US" w:eastAsia="zh-CN"/>
              </w:rPr>
              <w:t>设备维护废</w:t>
            </w:r>
            <w:r>
              <w:rPr>
                <w:rFonts w:hint="eastAsia" w:ascii="Times New Roman" w:hAnsi="Times New Roman" w:cs="Times New Roman"/>
                <w:b w:val="0"/>
                <w:bCs/>
                <w:color w:val="auto"/>
                <w:sz w:val="21"/>
                <w:szCs w:val="21"/>
                <w:highlight w:val="none"/>
                <w:lang w:val="en-US" w:eastAsia="zh-CN"/>
              </w:rPr>
              <w:t>润滑</w:t>
            </w:r>
            <w:r>
              <w:rPr>
                <w:rFonts w:hint="default" w:ascii="Times New Roman" w:hAnsi="Times New Roman" w:cs="Times New Roman"/>
                <w:b w:val="0"/>
                <w:bCs/>
                <w:color w:val="auto"/>
                <w:sz w:val="21"/>
                <w:szCs w:val="21"/>
                <w:highlight w:val="none"/>
                <w:lang w:val="en-US" w:eastAsia="zh-CN"/>
              </w:rPr>
              <w:t>油产生量</w:t>
            </w:r>
            <w:r>
              <w:rPr>
                <w:rFonts w:hint="eastAsia" w:ascii="Times New Roman" w:hAnsi="Times New Roman" w:cs="Times New Roman"/>
                <w:b w:val="0"/>
                <w:bCs/>
                <w:color w:val="auto"/>
                <w:sz w:val="21"/>
                <w:szCs w:val="21"/>
                <w:highlight w:val="none"/>
                <w:lang w:val="en-US" w:eastAsia="zh-CN"/>
              </w:rPr>
              <w:t>约</w:t>
            </w:r>
            <w:r>
              <w:rPr>
                <w:rFonts w:hint="default" w:ascii="Times New Roman" w:hAnsi="Times New Roman" w:cs="Times New Roman"/>
                <w:b w:val="0"/>
                <w:bCs/>
                <w:color w:val="auto"/>
                <w:sz w:val="21"/>
                <w:szCs w:val="21"/>
                <w:highlight w:val="none"/>
                <w:lang w:val="en-US" w:eastAsia="zh-CN"/>
              </w:rPr>
              <w:t>为0.0</w:t>
            </w:r>
            <w:r>
              <w:rPr>
                <w:rFonts w:hint="eastAsia" w:ascii="Times New Roman" w:hAnsi="Times New Roman" w:cs="Times New Roman"/>
                <w:b w:val="0"/>
                <w:bCs/>
                <w:color w:val="auto"/>
                <w:sz w:val="21"/>
                <w:szCs w:val="21"/>
                <w:highlight w:val="none"/>
                <w:lang w:val="en-US" w:eastAsia="zh-CN"/>
              </w:rPr>
              <w:t>1</w:t>
            </w:r>
            <w:r>
              <w:rPr>
                <w:rFonts w:hint="default" w:ascii="Times New Roman" w:hAnsi="Times New Roman" w:cs="Times New Roman"/>
                <w:b w:val="0"/>
                <w:bCs/>
                <w:color w:val="auto"/>
                <w:sz w:val="21"/>
                <w:szCs w:val="21"/>
                <w:highlight w:val="none"/>
                <w:lang w:val="en-US" w:eastAsia="zh-CN"/>
              </w:rPr>
              <w:t>t/a，根据《</w:t>
            </w:r>
            <w:r>
              <w:rPr>
                <w:rFonts w:hint="eastAsia" w:ascii="Times New Roman" w:hAnsi="Times New Roman" w:cs="Times New Roman"/>
                <w:b w:val="0"/>
                <w:bCs/>
                <w:color w:val="auto"/>
                <w:sz w:val="21"/>
                <w:szCs w:val="21"/>
                <w:highlight w:val="none"/>
                <w:lang w:val="en-US" w:eastAsia="zh-CN"/>
              </w:rPr>
              <w:t>国</w:t>
            </w:r>
            <w:r>
              <w:rPr>
                <w:rFonts w:hint="eastAsia" w:cs="Times New Roman"/>
                <w:b w:val="0"/>
                <w:bCs/>
                <w:color w:val="auto"/>
                <w:sz w:val="21"/>
                <w:szCs w:val="21"/>
                <w:highlight w:val="none"/>
                <w:lang w:val="en-US" w:eastAsia="zh-CN"/>
              </w:rPr>
              <w:t>家危险废物名录（2025年版）</w:t>
            </w:r>
            <w:r>
              <w:rPr>
                <w:rFonts w:hint="default" w:ascii="Times New Roman" w:hAnsi="Times New Roman" w:eastAsia="宋体" w:cs="Times New Roman"/>
                <w:b w:val="0"/>
                <w:bCs/>
                <w:color w:val="auto"/>
                <w:sz w:val="21"/>
                <w:szCs w:val="21"/>
                <w:highlight w:val="none"/>
                <w:lang w:val="en-US" w:eastAsia="zh-CN"/>
              </w:rPr>
              <w:t>》可知，废</w:t>
            </w:r>
            <w:r>
              <w:rPr>
                <w:rFonts w:hint="eastAsia" w:cs="Times New Roman"/>
                <w:b w:val="0"/>
                <w:bCs/>
                <w:color w:val="auto"/>
                <w:sz w:val="21"/>
                <w:szCs w:val="21"/>
                <w:highlight w:val="none"/>
                <w:lang w:val="en-US" w:eastAsia="zh-CN"/>
              </w:rPr>
              <w:t>润滑</w:t>
            </w:r>
            <w:r>
              <w:rPr>
                <w:rFonts w:hint="default" w:ascii="Times New Roman" w:hAnsi="Times New Roman" w:eastAsia="宋体" w:cs="Times New Roman"/>
                <w:b w:val="0"/>
                <w:bCs/>
                <w:color w:val="auto"/>
                <w:sz w:val="21"/>
                <w:szCs w:val="21"/>
                <w:highlight w:val="none"/>
                <w:lang w:val="en-US" w:eastAsia="zh-CN"/>
              </w:rPr>
              <w:t>油属于HW08废矿物油与含矿物油废物，废物代码900-2</w:t>
            </w:r>
            <w:r>
              <w:rPr>
                <w:rFonts w:hint="eastAsia" w:cs="Times New Roman"/>
                <w:b w:val="0"/>
                <w:bCs/>
                <w:color w:val="auto"/>
                <w:sz w:val="21"/>
                <w:szCs w:val="21"/>
                <w:highlight w:val="none"/>
                <w:lang w:val="en-US" w:eastAsia="zh-CN"/>
              </w:rPr>
              <w:t>17</w:t>
            </w:r>
            <w:r>
              <w:rPr>
                <w:rFonts w:hint="default" w:ascii="Times New Roman" w:hAnsi="Times New Roman" w:eastAsia="宋体" w:cs="Times New Roman"/>
                <w:b w:val="0"/>
                <w:bCs/>
                <w:color w:val="auto"/>
                <w:sz w:val="21"/>
                <w:szCs w:val="21"/>
                <w:highlight w:val="none"/>
                <w:lang w:val="en-US" w:eastAsia="zh-CN"/>
              </w:rPr>
              <w:t>-08，收集后暂存于</w:t>
            </w:r>
            <w:r>
              <w:rPr>
                <w:rFonts w:hint="eastAsia" w:ascii="Times New Roman" w:hAnsi="Times New Roman" w:eastAsia="宋体" w:cs="Times New Roman"/>
                <w:b w:val="0"/>
                <w:bCs/>
                <w:color w:val="auto"/>
                <w:sz w:val="21"/>
                <w:szCs w:val="21"/>
                <w:highlight w:val="none"/>
                <w:lang w:val="en-US" w:eastAsia="zh-CN"/>
              </w:rPr>
              <w:t>危废暂存间</w:t>
            </w:r>
            <w:r>
              <w:rPr>
                <w:rFonts w:hint="default" w:ascii="Times New Roman" w:hAnsi="Times New Roman" w:eastAsia="宋体" w:cs="Times New Roman"/>
                <w:b w:val="0"/>
                <w:bCs/>
                <w:color w:val="auto"/>
                <w:sz w:val="21"/>
                <w:szCs w:val="21"/>
                <w:highlight w:val="none"/>
                <w:lang w:val="en-US" w:eastAsia="zh-CN"/>
              </w:rPr>
              <w:t>，定期委托有资质单位处置</w:t>
            </w:r>
            <w:r>
              <w:rPr>
                <w:rFonts w:hint="eastAsia" w:cs="Times New Roman"/>
                <w:b w:val="0"/>
                <w:bCs/>
                <w:color w:val="auto"/>
                <w:sz w:val="21"/>
                <w:szCs w:val="21"/>
                <w:highlight w:val="none"/>
                <w:lang w:val="en-US" w:eastAsia="zh-CN"/>
              </w:rPr>
              <w:t>。</w:t>
            </w:r>
          </w:p>
          <w:p w14:paraId="490E622E">
            <w:pPr>
              <w:adjustRightInd/>
              <w:snapToGrid/>
              <w:spacing w:beforeLines="0" w:afterLines="0" w:line="360" w:lineRule="auto"/>
              <w:ind w:firstLine="420" w:firstLineChars="200"/>
              <w:rPr>
                <w:rFonts w:hint="default" w:ascii="Times New Roman" w:hAnsi="Times New Roman"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废润滑</w:t>
            </w:r>
            <w:r>
              <w:rPr>
                <w:rFonts w:hint="default" w:ascii="Times New Roman" w:hAnsi="Times New Roman" w:eastAsia="宋体" w:cs="Times New Roman"/>
                <w:b w:val="0"/>
                <w:bCs/>
                <w:color w:val="auto"/>
                <w:sz w:val="21"/>
                <w:szCs w:val="21"/>
                <w:highlight w:val="none"/>
                <w:lang w:val="en-US" w:eastAsia="zh-CN"/>
              </w:rPr>
              <w:t>油</w:t>
            </w:r>
            <w:r>
              <w:rPr>
                <w:rFonts w:hint="eastAsia" w:cs="Times New Roman"/>
                <w:b w:val="0"/>
                <w:bCs/>
                <w:color w:val="auto"/>
                <w:sz w:val="21"/>
                <w:szCs w:val="21"/>
                <w:highlight w:val="none"/>
                <w:lang w:val="en-US" w:eastAsia="zh-CN"/>
              </w:rPr>
              <w:t>桶</w:t>
            </w:r>
            <w:r>
              <w:rPr>
                <w:rFonts w:hint="default" w:ascii="Times New Roman" w:hAnsi="Times New Roman" w:eastAsia="宋体" w:cs="Times New Roman"/>
                <w:b w:val="0"/>
                <w:bCs/>
                <w:color w:val="auto"/>
                <w:sz w:val="21"/>
                <w:szCs w:val="21"/>
                <w:highlight w:val="none"/>
                <w:lang w:val="en-US" w:eastAsia="zh-CN"/>
              </w:rPr>
              <w:t>：</w:t>
            </w:r>
            <w:r>
              <w:rPr>
                <w:rFonts w:hint="default" w:ascii="Times New Roman" w:hAnsi="Times New Roman" w:cs="Times New Roman"/>
                <w:b w:val="0"/>
                <w:bCs/>
                <w:color w:val="auto"/>
                <w:sz w:val="21"/>
                <w:szCs w:val="21"/>
                <w:highlight w:val="none"/>
                <w:lang w:val="en-US" w:eastAsia="zh-CN"/>
              </w:rPr>
              <w:t>为润滑油包装容器，规格20kg</w:t>
            </w:r>
            <w:r>
              <w:rPr>
                <w:rFonts w:hint="eastAsia" w:ascii="Times New Roman" w:hAnsi="Times New Roman" w:cs="Times New Roman"/>
                <w:b w:val="0"/>
                <w:bCs/>
                <w:color w:val="auto"/>
                <w:sz w:val="21"/>
                <w:szCs w:val="21"/>
                <w:highlight w:val="none"/>
                <w:lang w:val="en-US" w:eastAsia="zh-CN"/>
              </w:rPr>
              <w:t>/</w:t>
            </w:r>
            <w:r>
              <w:rPr>
                <w:rFonts w:hint="default" w:ascii="Times New Roman" w:hAnsi="Times New Roman" w:cs="Times New Roman"/>
                <w:b w:val="0"/>
                <w:bCs/>
                <w:color w:val="auto"/>
                <w:sz w:val="21"/>
                <w:szCs w:val="21"/>
                <w:highlight w:val="none"/>
                <w:lang w:val="en-US" w:eastAsia="zh-CN"/>
              </w:rPr>
              <w:t>桶。结合润滑油年消耗量0.05 t/a，全年产生废油桶约3只，单只桶重约0.7kg，合计产生量</w:t>
            </w:r>
            <w:r>
              <w:rPr>
                <w:rFonts w:hint="eastAsia" w:ascii="Times New Roman" w:hAnsi="Times New Roman" w:cs="Times New Roman"/>
                <w:b w:val="0"/>
                <w:bCs/>
                <w:color w:val="auto"/>
                <w:sz w:val="21"/>
                <w:szCs w:val="21"/>
                <w:highlight w:val="none"/>
                <w:lang w:val="en-US" w:eastAsia="zh-CN"/>
              </w:rPr>
              <w:t>约为</w:t>
            </w:r>
            <w:r>
              <w:rPr>
                <w:rFonts w:hint="default" w:ascii="Times New Roman" w:hAnsi="Times New Roman" w:cs="Times New Roman"/>
                <w:b w:val="0"/>
                <w:bCs/>
                <w:color w:val="auto"/>
                <w:sz w:val="21"/>
                <w:szCs w:val="21"/>
                <w:highlight w:val="none"/>
                <w:lang w:val="en-US" w:eastAsia="zh-CN"/>
              </w:rPr>
              <w:t>0.002 t/a</w:t>
            </w:r>
            <w:r>
              <w:rPr>
                <w:rFonts w:hint="default" w:ascii="Times New Roman" w:hAnsi="Times New Roman" w:eastAsia="宋体" w:cs="Times New Roman"/>
                <w:b w:val="0"/>
                <w:bCs/>
                <w:color w:val="auto"/>
                <w:sz w:val="21"/>
                <w:szCs w:val="21"/>
                <w:highlight w:val="none"/>
                <w:lang w:val="en-US" w:eastAsia="zh-CN"/>
              </w:rPr>
              <w:t>，根据《国家危险废物名录（202</w:t>
            </w:r>
            <w:r>
              <w:rPr>
                <w:rFonts w:hint="eastAsia" w:ascii="Times New Roman" w:hAnsi="Times New Roman" w:eastAsia="宋体" w:cs="Times New Roman"/>
                <w:b w:val="0"/>
                <w:bCs/>
                <w:color w:val="auto"/>
                <w:sz w:val="21"/>
                <w:szCs w:val="21"/>
                <w:highlight w:val="none"/>
                <w:lang w:val="en-US" w:eastAsia="zh-CN"/>
              </w:rPr>
              <w:t>5</w:t>
            </w:r>
            <w:r>
              <w:rPr>
                <w:rFonts w:hint="default" w:ascii="Times New Roman" w:hAnsi="Times New Roman" w:eastAsia="宋体" w:cs="Times New Roman"/>
                <w:b w:val="0"/>
                <w:bCs/>
                <w:color w:val="auto"/>
                <w:sz w:val="21"/>
                <w:szCs w:val="21"/>
                <w:highlight w:val="none"/>
                <w:lang w:val="en-US" w:eastAsia="zh-CN"/>
              </w:rPr>
              <w:t>年版）》可知，</w:t>
            </w:r>
            <w:r>
              <w:rPr>
                <w:rFonts w:hint="eastAsia" w:cs="Times New Roman"/>
                <w:b w:val="0"/>
                <w:bCs/>
                <w:color w:val="auto"/>
                <w:sz w:val="21"/>
                <w:szCs w:val="21"/>
                <w:highlight w:val="none"/>
                <w:lang w:val="en-US" w:eastAsia="zh-CN"/>
              </w:rPr>
              <w:t>废润滑</w:t>
            </w:r>
            <w:r>
              <w:rPr>
                <w:rFonts w:hint="default" w:ascii="Times New Roman" w:hAnsi="Times New Roman" w:eastAsia="宋体" w:cs="Times New Roman"/>
                <w:b w:val="0"/>
                <w:bCs/>
                <w:color w:val="auto"/>
                <w:sz w:val="21"/>
                <w:szCs w:val="21"/>
                <w:highlight w:val="none"/>
                <w:lang w:val="en-US" w:eastAsia="zh-CN"/>
              </w:rPr>
              <w:t>油</w:t>
            </w:r>
            <w:r>
              <w:rPr>
                <w:rFonts w:hint="eastAsia" w:cs="Times New Roman"/>
                <w:b w:val="0"/>
                <w:bCs/>
                <w:color w:val="auto"/>
                <w:sz w:val="21"/>
                <w:szCs w:val="21"/>
                <w:highlight w:val="none"/>
                <w:lang w:val="en-US" w:eastAsia="zh-CN"/>
              </w:rPr>
              <w:t>桶</w:t>
            </w:r>
            <w:r>
              <w:rPr>
                <w:rFonts w:hint="default" w:ascii="Times New Roman" w:hAnsi="Times New Roman" w:eastAsia="宋体" w:cs="Times New Roman"/>
                <w:b w:val="0"/>
                <w:bCs/>
                <w:color w:val="auto"/>
                <w:sz w:val="21"/>
                <w:szCs w:val="21"/>
                <w:highlight w:val="none"/>
                <w:lang w:val="en-US" w:eastAsia="zh-CN"/>
              </w:rPr>
              <w:t>属于HW08废矿物油与含矿物油废物，废物代码900-249-08，收集后暂存于</w:t>
            </w:r>
            <w:r>
              <w:rPr>
                <w:rFonts w:hint="eastAsia" w:ascii="Times New Roman" w:hAnsi="Times New Roman" w:eastAsia="宋体" w:cs="Times New Roman"/>
                <w:b w:val="0"/>
                <w:bCs/>
                <w:color w:val="auto"/>
                <w:sz w:val="21"/>
                <w:szCs w:val="21"/>
                <w:highlight w:val="none"/>
                <w:lang w:val="en-US" w:eastAsia="zh-CN"/>
              </w:rPr>
              <w:t>危废暂存间</w:t>
            </w:r>
            <w:r>
              <w:rPr>
                <w:rFonts w:hint="default" w:ascii="Times New Roman" w:hAnsi="Times New Roman" w:eastAsia="宋体" w:cs="Times New Roman"/>
                <w:b w:val="0"/>
                <w:bCs/>
                <w:color w:val="auto"/>
                <w:sz w:val="21"/>
                <w:szCs w:val="21"/>
                <w:highlight w:val="none"/>
                <w:lang w:val="en-US" w:eastAsia="zh-CN"/>
              </w:rPr>
              <w:t>，定期委托有资质单位处置。</w:t>
            </w:r>
          </w:p>
          <w:p w14:paraId="6A14158F">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color w:val="auto"/>
                <w:sz w:val="21"/>
                <w:szCs w:val="21"/>
                <w:highlight w:val="none"/>
              </w:rPr>
            </w:pPr>
            <w:r>
              <w:rPr>
                <w:color w:val="auto"/>
                <w:sz w:val="21"/>
                <w:szCs w:val="21"/>
                <w:highlight w:val="none"/>
              </w:rPr>
              <w:t>本项目危废产生及处置情况详见下表。</w:t>
            </w:r>
          </w:p>
          <w:p w14:paraId="375C5B16">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 xml:space="preserve"> 4-1</w:t>
            </w:r>
            <w:r>
              <w:rPr>
                <w:rFonts w:hint="eastAsia" w:cs="Times New Roman"/>
                <w:b/>
                <w:bCs w:val="0"/>
                <w:color w:val="auto"/>
                <w:sz w:val="21"/>
                <w:szCs w:val="21"/>
                <w:highlight w:val="none"/>
                <w:lang w:val="en-US" w:eastAsia="zh-CN"/>
              </w:rPr>
              <w:t>6</w:t>
            </w:r>
            <w:r>
              <w:rPr>
                <w:rFonts w:hint="eastAsia" w:ascii="Times New Roman" w:hAnsi="Times New Roman" w:eastAsia="宋体"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本项目</w:t>
            </w:r>
            <w:r>
              <w:rPr>
                <w:rFonts w:hint="eastAsia" w:ascii="Times New Roman" w:hAnsi="Times New Roman" w:eastAsia="宋体" w:cs="Times New Roman"/>
                <w:b/>
                <w:bCs w:val="0"/>
                <w:color w:val="auto"/>
                <w:sz w:val="21"/>
                <w:szCs w:val="21"/>
                <w:highlight w:val="none"/>
                <w:lang w:val="en-US" w:eastAsia="zh-CN"/>
              </w:rPr>
              <w:t>固体</w:t>
            </w:r>
            <w:r>
              <w:rPr>
                <w:rFonts w:hint="default" w:ascii="Times New Roman" w:hAnsi="Times New Roman" w:eastAsia="宋体" w:cs="Times New Roman"/>
                <w:b/>
                <w:bCs w:val="0"/>
                <w:color w:val="auto"/>
                <w:sz w:val="21"/>
                <w:szCs w:val="21"/>
                <w:highlight w:val="none"/>
                <w:lang w:val="en-US" w:eastAsia="zh-CN"/>
              </w:rPr>
              <w:t>废物产生及处理情况</w:t>
            </w:r>
          </w:p>
          <w:tbl>
            <w:tblPr>
              <w:tblStyle w:val="25"/>
              <w:tblW w:w="49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1" w:type="dxa"/>
                <w:left w:w="11" w:type="dxa"/>
                <w:bottom w:w="11" w:type="dxa"/>
                <w:right w:w="11" w:type="dxa"/>
              </w:tblCellMar>
            </w:tblPr>
            <w:tblGrid>
              <w:gridCol w:w="840"/>
              <w:gridCol w:w="368"/>
              <w:gridCol w:w="612"/>
              <w:gridCol w:w="1119"/>
              <w:gridCol w:w="652"/>
              <w:gridCol w:w="839"/>
              <w:gridCol w:w="467"/>
              <w:gridCol w:w="1259"/>
              <w:gridCol w:w="462"/>
              <w:gridCol w:w="650"/>
              <w:gridCol w:w="1129"/>
            </w:tblGrid>
            <w:tr w14:paraId="57524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2106AB3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固体</w:t>
                  </w:r>
                  <w:r>
                    <w:rPr>
                      <w:rFonts w:hint="default" w:ascii="Times New Roman" w:hAnsi="Times New Roman" w:cs="Times New Roman"/>
                      <w:color w:val="auto"/>
                      <w:sz w:val="21"/>
                      <w:szCs w:val="21"/>
                      <w:highlight w:val="none"/>
                    </w:rPr>
                    <w:t>废物名称</w:t>
                  </w:r>
                </w:p>
              </w:tc>
              <w:tc>
                <w:tcPr>
                  <w:tcW w:w="219" w:type="pct"/>
                  <w:noWrap w:val="0"/>
                  <w:vAlign w:val="center"/>
                </w:tcPr>
                <w:p w14:paraId="60E8C56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种类</w:t>
                  </w:r>
                </w:p>
              </w:tc>
              <w:tc>
                <w:tcPr>
                  <w:tcW w:w="364" w:type="pct"/>
                  <w:noWrap w:val="0"/>
                  <w:vAlign w:val="center"/>
                </w:tcPr>
                <w:p w14:paraId="2C62164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废物类别</w:t>
                  </w:r>
                </w:p>
              </w:tc>
              <w:tc>
                <w:tcPr>
                  <w:tcW w:w="666" w:type="pct"/>
                  <w:noWrap w:val="0"/>
                  <w:vAlign w:val="center"/>
                </w:tcPr>
                <w:p w14:paraId="5C00EA6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废物</w:t>
                  </w:r>
                </w:p>
                <w:p w14:paraId="5ECACEA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代码</w:t>
                  </w:r>
                </w:p>
              </w:tc>
              <w:tc>
                <w:tcPr>
                  <w:tcW w:w="388" w:type="pct"/>
                  <w:noWrap w:val="0"/>
                  <w:vAlign w:val="center"/>
                </w:tcPr>
                <w:p w14:paraId="779D9DA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产生量（t/a）</w:t>
                  </w:r>
                </w:p>
              </w:tc>
              <w:tc>
                <w:tcPr>
                  <w:tcW w:w="499" w:type="pct"/>
                  <w:noWrap w:val="0"/>
                  <w:vAlign w:val="center"/>
                </w:tcPr>
                <w:p w14:paraId="1C8FA24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产生工序及装置</w:t>
                  </w:r>
                </w:p>
              </w:tc>
              <w:tc>
                <w:tcPr>
                  <w:tcW w:w="278" w:type="pct"/>
                  <w:noWrap w:val="0"/>
                  <w:vAlign w:val="center"/>
                </w:tcPr>
                <w:p w14:paraId="596B380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形态</w:t>
                  </w:r>
                </w:p>
              </w:tc>
              <w:tc>
                <w:tcPr>
                  <w:tcW w:w="749" w:type="pct"/>
                  <w:noWrap w:val="0"/>
                  <w:vAlign w:val="center"/>
                </w:tcPr>
                <w:p w14:paraId="02C8462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主要有害</w:t>
                  </w:r>
                </w:p>
                <w:p w14:paraId="0C19935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eastAsia="zh-CN"/>
                    </w:rPr>
                    <w:t>成分</w:t>
                  </w:r>
                </w:p>
              </w:tc>
              <w:tc>
                <w:tcPr>
                  <w:tcW w:w="275" w:type="pct"/>
                  <w:noWrap w:val="0"/>
                  <w:vAlign w:val="center"/>
                </w:tcPr>
                <w:p w14:paraId="4220133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产废</w:t>
                  </w:r>
                </w:p>
                <w:p w14:paraId="21A8E68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周期</w:t>
                  </w:r>
                </w:p>
              </w:tc>
              <w:tc>
                <w:tcPr>
                  <w:tcW w:w="387" w:type="pct"/>
                  <w:noWrap w:val="0"/>
                  <w:vAlign w:val="center"/>
                </w:tcPr>
                <w:p w14:paraId="44EA1AC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危废</w:t>
                  </w:r>
                </w:p>
                <w:p w14:paraId="28672E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特征</w:t>
                  </w:r>
                </w:p>
              </w:tc>
              <w:tc>
                <w:tcPr>
                  <w:tcW w:w="672" w:type="pct"/>
                  <w:noWrap w:val="0"/>
                  <w:vAlign w:val="center"/>
                </w:tcPr>
                <w:p w14:paraId="292CABE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处置</w:t>
                  </w:r>
                </w:p>
                <w:p w14:paraId="5AA0698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措施</w:t>
                  </w:r>
                </w:p>
              </w:tc>
            </w:tr>
            <w:tr w14:paraId="67C2F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7367B1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废包装袋</w:t>
                  </w:r>
                </w:p>
              </w:tc>
              <w:tc>
                <w:tcPr>
                  <w:tcW w:w="219" w:type="pct"/>
                  <w:vMerge w:val="restart"/>
                  <w:noWrap w:val="0"/>
                  <w:vAlign w:val="center"/>
                </w:tcPr>
                <w:p w14:paraId="22727FE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cs="Times New Roman"/>
                      <w:color w:val="auto"/>
                      <w:kern w:val="2"/>
                      <w:sz w:val="21"/>
                      <w:szCs w:val="21"/>
                      <w:highlight w:val="none"/>
                      <w:lang w:val="en-US" w:eastAsia="zh-CN" w:bidi="ar-SA"/>
                    </w:rPr>
                    <w:t>一般固废</w:t>
                  </w:r>
                </w:p>
              </w:tc>
              <w:tc>
                <w:tcPr>
                  <w:tcW w:w="364" w:type="pct"/>
                  <w:vMerge w:val="restart"/>
                  <w:noWrap w:val="0"/>
                  <w:vAlign w:val="center"/>
                </w:tcPr>
                <w:p w14:paraId="15FC813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666" w:type="pct"/>
                  <w:noWrap w:val="0"/>
                  <w:vAlign w:val="center"/>
                </w:tcPr>
                <w:p w14:paraId="0589EEF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900-005-S17</w:t>
                  </w:r>
                </w:p>
              </w:tc>
              <w:tc>
                <w:tcPr>
                  <w:tcW w:w="388" w:type="pct"/>
                  <w:noWrap w:val="0"/>
                  <w:vAlign w:val="center"/>
                </w:tcPr>
                <w:p w14:paraId="0B46801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0.28</w:t>
                  </w:r>
                </w:p>
              </w:tc>
              <w:tc>
                <w:tcPr>
                  <w:tcW w:w="499" w:type="pct"/>
                  <w:noWrap w:val="0"/>
                  <w:vAlign w:val="center"/>
                </w:tcPr>
                <w:p w14:paraId="0C8CB7C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原辅料脱包装</w:t>
                  </w:r>
                </w:p>
              </w:tc>
              <w:tc>
                <w:tcPr>
                  <w:tcW w:w="278" w:type="pct"/>
                  <w:noWrap w:val="0"/>
                  <w:vAlign w:val="center"/>
                </w:tcPr>
                <w:p w14:paraId="4F3D8E1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固态</w:t>
                  </w:r>
                </w:p>
              </w:tc>
              <w:tc>
                <w:tcPr>
                  <w:tcW w:w="749" w:type="pct"/>
                  <w:noWrap w:val="0"/>
                  <w:vAlign w:val="center"/>
                </w:tcPr>
                <w:p w14:paraId="092F74B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275" w:type="pct"/>
                  <w:noWrap w:val="0"/>
                  <w:vAlign w:val="center"/>
                </w:tcPr>
                <w:p w14:paraId="78CB56F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每天</w:t>
                  </w:r>
                </w:p>
              </w:tc>
              <w:tc>
                <w:tcPr>
                  <w:tcW w:w="387" w:type="pct"/>
                  <w:noWrap w:val="0"/>
                  <w:vAlign w:val="center"/>
                </w:tcPr>
                <w:p w14:paraId="1214451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672" w:type="pct"/>
                  <w:noWrap w:val="0"/>
                  <w:vAlign w:val="center"/>
                </w:tcPr>
                <w:p w14:paraId="7C468DE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eastAsia" w:eastAsia="宋体" w:cs="Times New Roman"/>
                      <w:b w:val="0"/>
                      <w:bCs/>
                      <w:color w:val="auto"/>
                      <w:sz w:val="21"/>
                      <w:szCs w:val="21"/>
                      <w:highlight w:val="none"/>
                      <w:lang w:val="en-US" w:eastAsia="zh-CN"/>
                    </w:rPr>
                    <w:t>统一收集后外售</w:t>
                  </w:r>
                </w:p>
              </w:tc>
            </w:tr>
            <w:tr w14:paraId="0455A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27051CB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废反渗透膜</w:t>
                  </w:r>
                </w:p>
              </w:tc>
              <w:tc>
                <w:tcPr>
                  <w:tcW w:w="219" w:type="pct"/>
                  <w:vMerge w:val="continue"/>
                  <w:noWrap w:val="0"/>
                  <w:vAlign w:val="center"/>
                </w:tcPr>
                <w:p w14:paraId="6C8A71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color w:val="auto"/>
                      <w:kern w:val="2"/>
                      <w:sz w:val="21"/>
                      <w:szCs w:val="21"/>
                      <w:highlight w:val="none"/>
                      <w:lang w:val="en-US" w:eastAsia="zh-CN" w:bidi="ar-SA"/>
                    </w:rPr>
                  </w:pPr>
                </w:p>
              </w:tc>
              <w:tc>
                <w:tcPr>
                  <w:tcW w:w="364" w:type="pct"/>
                  <w:vMerge w:val="continue"/>
                  <w:noWrap w:val="0"/>
                  <w:vAlign w:val="center"/>
                </w:tcPr>
                <w:p w14:paraId="2BF25CC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p>
              </w:tc>
              <w:tc>
                <w:tcPr>
                  <w:tcW w:w="666" w:type="pct"/>
                  <w:noWrap w:val="0"/>
                  <w:vAlign w:val="center"/>
                </w:tcPr>
                <w:p w14:paraId="13ED438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cs="Times New Roman"/>
                      <w:color w:val="auto"/>
                      <w:sz w:val="21"/>
                      <w:szCs w:val="21"/>
                      <w:highlight w:val="none"/>
                    </w:rPr>
                    <w:t>900-009-S59</w:t>
                  </w:r>
                </w:p>
              </w:tc>
              <w:tc>
                <w:tcPr>
                  <w:tcW w:w="388" w:type="pct"/>
                  <w:noWrap w:val="0"/>
                  <w:vAlign w:val="center"/>
                </w:tcPr>
                <w:p w14:paraId="50FD35F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0.2</w:t>
                  </w:r>
                </w:p>
              </w:tc>
              <w:tc>
                <w:tcPr>
                  <w:tcW w:w="499" w:type="pct"/>
                  <w:noWrap w:val="0"/>
                  <w:vAlign w:val="center"/>
                </w:tcPr>
                <w:p w14:paraId="6CE9524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b w:val="0"/>
                      <w:bCs/>
                      <w:color w:val="auto"/>
                      <w:sz w:val="21"/>
                      <w:szCs w:val="21"/>
                      <w:highlight w:val="none"/>
                      <w:lang w:val="en-US" w:eastAsia="zh-CN"/>
                    </w:rPr>
                    <w:t>纯水制备</w:t>
                  </w:r>
                </w:p>
              </w:tc>
              <w:tc>
                <w:tcPr>
                  <w:tcW w:w="278" w:type="pct"/>
                  <w:noWrap w:val="0"/>
                  <w:vAlign w:val="center"/>
                </w:tcPr>
                <w:p w14:paraId="5276EAC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固态</w:t>
                  </w:r>
                </w:p>
              </w:tc>
              <w:tc>
                <w:tcPr>
                  <w:tcW w:w="749" w:type="pct"/>
                  <w:noWrap w:val="0"/>
                  <w:vAlign w:val="center"/>
                </w:tcPr>
                <w:p w14:paraId="183578C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275" w:type="pct"/>
                  <w:noWrap w:val="0"/>
                  <w:vAlign w:val="center"/>
                </w:tcPr>
                <w:p w14:paraId="1F88567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每周</w:t>
                  </w:r>
                </w:p>
              </w:tc>
              <w:tc>
                <w:tcPr>
                  <w:tcW w:w="387" w:type="pct"/>
                  <w:noWrap w:val="0"/>
                  <w:vAlign w:val="center"/>
                </w:tcPr>
                <w:p w14:paraId="2AFB6B6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672" w:type="pct"/>
                  <w:noWrap w:val="0"/>
                  <w:vAlign w:val="center"/>
                </w:tcPr>
                <w:p w14:paraId="4DEF055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b w:val="0"/>
                      <w:bCs/>
                      <w:color w:val="auto"/>
                      <w:sz w:val="21"/>
                      <w:szCs w:val="21"/>
                      <w:highlight w:val="none"/>
                      <w:lang w:val="en-US" w:eastAsia="zh-CN"/>
                    </w:rPr>
                    <w:t>统一收集后外售</w:t>
                  </w:r>
                </w:p>
              </w:tc>
            </w:tr>
            <w:tr w14:paraId="799661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29EEC71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废布袋</w:t>
                  </w:r>
                </w:p>
              </w:tc>
              <w:tc>
                <w:tcPr>
                  <w:tcW w:w="219" w:type="pct"/>
                  <w:vMerge w:val="continue"/>
                  <w:noWrap w:val="0"/>
                  <w:vAlign w:val="center"/>
                </w:tcPr>
                <w:p w14:paraId="7A1219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cs="Times New Roman"/>
                      <w:color w:val="auto"/>
                      <w:kern w:val="2"/>
                      <w:sz w:val="21"/>
                      <w:szCs w:val="21"/>
                      <w:highlight w:val="none"/>
                      <w:lang w:val="en-US" w:eastAsia="zh-CN" w:bidi="ar-SA"/>
                    </w:rPr>
                  </w:pPr>
                </w:p>
              </w:tc>
              <w:tc>
                <w:tcPr>
                  <w:tcW w:w="364" w:type="pct"/>
                  <w:vMerge w:val="continue"/>
                  <w:noWrap w:val="0"/>
                  <w:vAlign w:val="center"/>
                </w:tcPr>
                <w:p w14:paraId="612A37B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p>
              </w:tc>
              <w:tc>
                <w:tcPr>
                  <w:tcW w:w="666" w:type="pct"/>
                  <w:noWrap w:val="0"/>
                  <w:vAlign w:val="center"/>
                </w:tcPr>
                <w:p w14:paraId="0AB8F0F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900-009-S59</w:t>
                  </w:r>
                </w:p>
              </w:tc>
              <w:tc>
                <w:tcPr>
                  <w:tcW w:w="388" w:type="pct"/>
                  <w:noWrap w:val="0"/>
                  <w:vAlign w:val="center"/>
                </w:tcPr>
                <w:p w14:paraId="72ED56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0.05</w:t>
                  </w:r>
                </w:p>
              </w:tc>
              <w:tc>
                <w:tcPr>
                  <w:tcW w:w="499" w:type="pct"/>
                  <w:noWrap w:val="0"/>
                  <w:vAlign w:val="center"/>
                </w:tcPr>
                <w:p w14:paraId="5A7FA35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eastAsia="zh-CN"/>
                    </w:rPr>
                    <w:t>布袋除尘器</w:t>
                  </w:r>
                </w:p>
              </w:tc>
              <w:tc>
                <w:tcPr>
                  <w:tcW w:w="278" w:type="pct"/>
                  <w:noWrap w:val="0"/>
                  <w:vAlign w:val="center"/>
                </w:tcPr>
                <w:p w14:paraId="6548A1D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固态</w:t>
                  </w:r>
                </w:p>
              </w:tc>
              <w:tc>
                <w:tcPr>
                  <w:tcW w:w="749" w:type="pct"/>
                  <w:noWrap w:val="0"/>
                  <w:vAlign w:val="center"/>
                </w:tcPr>
                <w:p w14:paraId="1810481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275" w:type="pct"/>
                  <w:noWrap w:val="0"/>
                  <w:vAlign w:val="center"/>
                </w:tcPr>
                <w:p w14:paraId="5F4F490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每年</w:t>
                  </w:r>
                </w:p>
              </w:tc>
              <w:tc>
                <w:tcPr>
                  <w:tcW w:w="387" w:type="pct"/>
                  <w:noWrap w:val="0"/>
                  <w:vAlign w:val="center"/>
                </w:tcPr>
                <w:p w14:paraId="031DAA2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w:t>
                  </w:r>
                </w:p>
              </w:tc>
              <w:tc>
                <w:tcPr>
                  <w:tcW w:w="672" w:type="pct"/>
                  <w:noWrap w:val="0"/>
                  <w:vAlign w:val="center"/>
                </w:tcPr>
                <w:p w14:paraId="03F3DFF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b w:val="0"/>
                      <w:bCs/>
                      <w:color w:val="auto"/>
                      <w:sz w:val="21"/>
                      <w:szCs w:val="21"/>
                      <w:highlight w:val="none"/>
                      <w:lang w:val="en-US" w:eastAsia="zh-CN"/>
                    </w:rPr>
                    <w:t>统一收集后外售</w:t>
                  </w:r>
                </w:p>
              </w:tc>
            </w:tr>
            <w:tr w14:paraId="5C2EE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16D4D88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r>
                    <w:rPr>
                      <w:rFonts w:hint="eastAsia" w:cs="Times New Roman"/>
                      <w:b w:val="0"/>
                      <w:bCs/>
                      <w:color w:val="auto"/>
                      <w:sz w:val="21"/>
                      <w:szCs w:val="21"/>
                      <w:highlight w:val="none"/>
                      <w:lang w:val="en-US" w:eastAsia="zh-CN"/>
                    </w:rPr>
                    <w:t>污泥</w:t>
                  </w:r>
                </w:p>
              </w:tc>
              <w:tc>
                <w:tcPr>
                  <w:tcW w:w="219" w:type="pct"/>
                  <w:vMerge w:val="continue"/>
                  <w:noWrap w:val="0"/>
                  <w:vAlign w:val="center"/>
                </w:tcPr>
                <w:p w14:paraId="3A71716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364" w:type="pct"/>
                  <w:vMerge w:val="continue"/>
                  <w:noWrap w:val="0"/>
                  <w:vAlign w:val="center"/>
                </w:tcPr>
                <w:p w14:paraId="2BBA8B0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p>
              </w:tc>
              <w:tc>
                <w:tcPr>
                  <w:tcW w:w="666" w:type="pct"/>
                  <w:noWrap w:val="0"/>
                  <w:vAlign w:val="center"/>
                </w:tcPr>
                <w:p w14:paraId="56B42D7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w:t>
                  </w:r>
                </w:p>
              </w:tc>
              <w:tc>
                <w:tcPr>
                  <w:tcW w:w="388" w:type="pct"/>
                  <w:noWrap w:val="0"/>
                  <w:vAlign w:val="center"/>
                </w:tcPr>
                <w:p w14:paraId="3FD1AB4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0.23</w:t>
                  </w:r>
                </w:p>
              </w:tc>
              <w:tc>
                <w:tcPr>
                  <w:tcW w:w="499" w:type="pct"/>
                  <w:noWrap w:val="0"/>
                  <w:vAlign w:val="center"/>
                </w:tcPr>
                <w:p w14:paraId="0BF760D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污水处理</w:t>
                  </w:r>
                </w:p>
              </w:tc>
              <w:tc>
                <w:tcPr>
                  <w:tcW w:w="278" w:type="pct"/>
                  <w:noWrap w:val="0"/>
                  <w:vAlign w:val="center"/>
                </w:tcPr>
                <w:p w14:paraId="0E04A31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固态</w:t>
                  </w:r>
                </w:p>
              </w:tc>
              <w:tc>
                <w:tcPr>
                  <w:tcW w:w="749" w:type="pct"/>
                  <w:noWrap w:val="0"/>
                  <w:vAlign w:val="center"/>
                </w:tcPr>
                <w:p w14:paraId="329A7BF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eastAsia="zh-CN"/>
                    </w:rPr>
                    <w:t>污泥</w:t>
                  </w:r>
                </w:p>
              </w:tc>
              <w:tc>
                <w:tcPr>
                  <w:tcW w:w="275" w:type="pct"/>
                  <w:noWrap w:val="0"/>
                  <w:vAlign w:val="center"/>
                </w:tcPr>
                <w:p w14:paraId="0EEDAC0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1次/批</w:t>
                  </w:r>
                </w:p>
              </w:tc>
              <w:tc>
                <w:tcPr>
                  <w:tcW w:w="387" w:type="pct"/>
                  <w:noWrap w:val="0"/>
                  <w:vAlign w:val="center"/>
                </w:tcPr>
                <w:p w14:paraId="7E534DD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w:t>
                  </w:r>
                </w:p>
              </w:tc>
              <w:tc>
                <w:tcPr>
                  <w:tcW w:w="672" w:type="pct"/>
                  <w:noWrap w:val="0"/>
                  <w:vAlign w:val="center"/>
                </w:tcPr>
                <w:p w14:paraId="1DC09C8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eastAsia="宋体" w:cs="Times New Roman"/>
                      <w:color w:val="5300FF"/>
                      <w:spacing w:val="0"/>
                      <w:w w:val="100"/>
                      <w:position w:val="0"/>
                      <w:sz w:val="21"/>
                      <w:szCs w:val="21"/>
                      <w:highlight w:val="none"/>
                      <w:lang w:val="en-US" w:eastAsia="zh-CN"/>
                    </w:rPr>
                    <w:t>定期</w:t>
                  </w:r>
                  <w:r>
                    <w:rPr>
                      <w:rFonts w:hint="eastAsia" w:cs="Times New Roman"/>
                      <w:color w:val="5300FF"/>
                      <w:spacing w:val="0"/>
                      <w:w w:val="100"/>
                      <w:position w:val="0"/>
                      <w:sz w:val="21"/>
                      <w:szCs w:val="21"/>
                      <w:highlight w:val="none"/>
                      <w:lang w:val="en-US" w:eastAsia="zh-CN"/>
                    </w:rPr>
                    <w:t>交有利用能力的单位处置后综合利</w:t>
                  </w:r>
                  <w:r>
                    <w:rPr>
                      <w:rFonts w:hint="eastAsia" w:ascii="Times New Roman" w:hAnsi="Times New Roman" w:eastAsia="宋体" w:cs="Times New Roman"/>
                      <w:b w:val="0"/>
                      <w:bCs/>
                      <w:color w:val="5300FF"/>
                      <w:sz w:val="21"/>
                      <w:szCs w:val="21"/>
                      <w:highlight w:val="none"/>
                      <w:lang w:val="en-US" w:eastAsia="zh-CN"/>
                    </w:rPr>
                    <w:t>用</w:t>
                  </w:r>
                </w:p>
              </w:tc>
            </w:tr>
            <w:tr w14:paraId="7C86F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03CE449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cs="Times New Roman"/>
                      <w:color w:val="auto"/>
                      <w:sz w:val="21"/>
                      <w:szCs w:val="21"/>
                      <w:highlight w:val="none"/>
                      <w:lang w:val="en-US" w:eastAsia="zh-CN"/>
                    </w:rPr>
                  </w:pPr>
                  <w:r>
                    <w:rPr>
                      <w:rFonts w:hint="eastAsia" w:eastAsia="宋体" w:cs="Times New Roman"/>
                      <w:b w:val="0"/>
                      <w:bCs/>
                      <w:color w:val="auto"/>
                      <w:sz w:val="21"/>
                      <w:szCs w:val="21"/>
                      <w:highlight w:val="none"/>
                      <w:lang w:val="en-US" w:eastAsia="zh-CN"/>
                    </w:rPr>
                    <w:t>废</w:t>
                  </w:r>
                  <w:r>
                    <w:rPr>
                      <w:rFonts w:hint="eastAsia" w:cs="Times New Roman"/>
                      <w:b w:val="0"/>
                      <w:bCs/>
                      <w:color w:val="auto"/>
                      <w:sz w:val="21"/>
                      <w:szCs w:val="21"/>
                      <w:highlight w:val="none"/>
                      <w:lang w:val="en-US" w:eastAsia="zh-CN"/>
                    </w:rPr>
                    <w:t>润滑油</w:t>
                  </w:r>
                </w:p>
              </w:tc>
              <w:tc>
                <w:tcPr>
                  <w:tcW w:w="219" w:type="pct"/>
                  <w:vMerge w:val="restart"/>
                  <w:noWrap w:val="0"/>
                  <w:vAlign w:val="center"/>
                </w:tcPr>
                <w:p w14:paraId="7AC6BC2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危险废物</w:t>
                  </w:r>
                </w:p>
              </w:tc>
              <w:tc>
                <w:tcPr>
                  <w:tcW w:w="364" w:type="pct"/>
                  <w:vMerge w:val="restart"/>
                  <w:noWrap w:val="0"/>
                  <w:vAlign w:val="center"/>
                </w:tcPr>
                <w:p w14:paraId="0256076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eastAsia="宋体" w:cs="Times New Roman"/>
                      <w:b w:val="0"/>
                      <w:bCs/>
                      <w:color w:val="auto"/>
                      <w:sz w:val="21"/>
                      <w:szCs w:val="21"/>
                      <w:highlight w:val="none"/>
                      <w:lang w:val="en-US" w:eastAsia="zh-CN"/>
                    </w:rPr>
                    <w:t>HW0</w:t>
                  </w:r>
                  <w:r>
                    <w:rPr>
                      <w:rFonts w:hint="eastAsia" w:cs="Times New Roman"/>
                      <w:b w:val="0"/>
                      <w:bCs/>
                      <w:color w:val="auto"/>
                      <w:sz w:val="21"/>
                      <w:szCs w:val="21"/>
                      <w:highlight w:val="none"/>
                      <w:lang w:val="en-US" w:eastAsia="zh-CN"/>
                    </w:rPr>
                    <w:t>8废矿物油与含矿物油废物</w:t>
                  </w:r>
                </w:p>
              </w:tc>
              <w:tc>
                <w:tcPr>
                  <w:tcW w:w="666" w:type="pct"/>
                  <w:noWrap w:val="0"/>
                  <w:vAlign w:val="center"/>
                </w:tcPr>
                <w:p w14:paraId="2345B6F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900-2</w:t>
                  </w:r>
                  <w:r>
                    <w:rPr>
                      <w:rFonts w:hint="eastAsia" w:cs="Times New Roman"/>
                      <w:color w:val="auto"/>
                      <w:spacing w:val="0"/>
                      <w:w w:val="100"/>
                      <w:position w:val="0"/>
                      <w:sz w:val="21"/>
                      <w:szCs w:val="21"/>
                      <w:highlight w:val="none"/>
                      <w:lang w:val="en-US" w:eastAsia="zh-CN"/>
                    </w:rPr>
                    <w:t>17-</w:t>
                  </w:r>
                  <w:r>
                    <w:rPr>
                      <w:rFonts w:hint="default" w:ascii="Times New Roman" w:hAnsi="Times New Roman" w:eastAsia="宋体" w:cs="Times New Roman"/>
                      <w:color w:val="auto"/>
                      <w:spacing w:val="0"/>
                      <w:w w:val="100"/>
                      <w:position w:val="0"/>
                      <w:sz w:val="21"/>
                      <w:szCs w:val="21"/>
                      <w:highlight w:val="none"/>
                      <w:lang w:val="en-US" w:eastAsia="zh-CN"/>
                    </w:rPr>
                    <w:t>08</w:t>
                  </w:r>
                </w:p>
              </w:tc>
              <w:tc>
                <w:tcPr>
                  <w:tcW w:w="388" w:type="pct"/>
                  <w:noWrap w:val="0"/>
                  <w:vAlign w:val="center"/>
                </w:tcPr>
                <w:p w14:paraId="098357A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eastAsia" w:eastAsia="宋体" w:cs="Times New Roman"/>
                      <w:color w:val="auto"/>
                      <w:sz w:val="21"/>
                      <w:szCs w:val="21"/>
                      <w:highlight w:val="none"/>
                      <w:lang w:val="en-US" w:eastAsia="zh-CN"/>
                    </w:rPr>
                    <w:t>0.01</w:t>
                  </w:r>
                </w:p>
              </w:tc>
              <w:tc>
                <w:tcPr>
                  <w:tcW w:w="499" w:type="pct"/>
                  <w:noWrap w:val="0"/>
                  <w:vAlign w:val="center"/>
                </w:tcPr>
                <w:p w14:paraId="7238C00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设备维护</w:t>
                  </w:r>
                </w:p>
              </w:tc>
              <w:tc>
                <w:tcPr>
                  <w:tcW w:w="278" w:type="pct"/>
                  <w:noWrap w:val="0"/>
                  <w:vAlign w:val="center"/>
                </w:tcPr>
                <w:p w14:paraId="4B7D9C2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eastAsia" w:cs="Times New Roman"/>
                      <w:color w:val="auto"/>
                      <w:sz w:val="21"/>
                      <w:szCs w:val="21"/>
                      <w:highlight w:val="none"/>
                      <w:lang w:val="en-US" w:eastAsia="zh-CN"/>
                    </w:rPr>
                    <w:t>液态</w:t>
                  </w:r>
                </w:p>
              </w:tc>
              <w:tc>
                <w:tcPr>
                  <w:tcW w:w="749" w:type="pct"/>
                  <w:noWrap w:val="0"/>
                  <w:vAlign w:val="center"/>
                </w:tcPr>
                <w:p w14:paraId="4D553C5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润滑油</w:t>
                  </w:r>
                </w:p>
              </w:tc>
              <w:tc>
                <w:tcPr>
                  <w:tcW w:w="275" w:type="pct"/>
                  <w:vMerge w:val="restart"/>
                  <w:noWrap w:val="0"/>
                  <w:vAlign w:val="center"/>
                </w:tcPr>
                <w:p w14:paraId="6C5CCDE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lang w:val="en-US"/>
                    </w:rPr>
                  </w:pPr>
                  <w:r>
                    <w:rPr>
                      <w:rFonts w:hint="eastAsia" w:cs="Times New Roman"/>
                      <w:color w:val="auto"/>
                      <w:sz w:val="21"/>
                      <w:szCs w:val="21"/>
                      <w:highlight w:val="none"/>
                      <w:lang w:val="en-US" w:eastAsia="zh-CN"/>
                    </w:rPr>
                    <w:t>每周</w:t>
                  </w:r>
                </w:p>
              </w:tc>
              <w:tc>
                <w:tcPr>
                  <w:tcW w:w="387" w:type="pct"/>
                  <w:vMerge w:val="restart"/>
                  <w:noWrap w:val="0"/>
                  <w:vAlign w:val="center"/>
                </w:tcPr>
                <w:p w14:paraId="2410398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T，I</w:t>
                  </w:r>
                </w:p>
              </w:tc>
              <w:tc>
                <w:tcPr>
                  <w:tcW w:w="672" w:type="pct"/>
                  <w:vMerge w:val="restart"/>
                  <w:noWrap w:val="0"/>
                  <w:vAlign w:val="center"/>
                </w:tcPr>
                <w:p w14:paraId="1D82A1A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暂存于</w:t>
                  </w:r>
                  <w:r>
                    <w:rPr>
                      <w:rFonts w:hint="eastAsia" w:ascii="Times New Roman" w:hAnsi="Times New Roman" w:cs="Times New Roman"/>
                      <w:color w:val="auto"/>
                      <w:sz w:val="21"/>
                      <w:szCs w:val="21"/>
                      <w:highlight w:val="none"/>
                      <w:lang w:eastAsia="zh-CN"/>
                    </w:rPr>
                    <w:t>危废暂存间</w:t>
                  </w:r>
                  <w:r>
                    <w:rPr>
                      <w:rFonts w:hint="default" w:ascii="Times New Roman" w:hAnsi="Times New Roman" w:cs="Times New Roman"/>
                      <w:color w:val="auto"/>
                      <w:sz w:val="21"/>
                      <w:szCs w:val="21"/>
                      <w:highlight w:val="none"/>
                    </w:rPr>
                    <w:t>内，定期交由有资质的危废处置单位处理</w:t>
                  </w:r>
                </w:p>
              </w:tc>
            </w:tr>
            <w:tr w14:paraId="7BF33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1" w:type="dxa"/>
                  <w:left w:w="11" w:type="dxa"/>
                  <w:bottom w:w="11" w:type="dxa"/>
                  <w:right w:w="11" w:type="dxa"/>
                </w:tblCellMar>
              </w:tblPrEx>
              <w:trPr>
                <w:trHeight w:val="567" w:hRule="atLeast"/>
                <w:tblHeader/>
                <w:jc w:val="center"/>
              </w:trPr>
              <w:tc>
                <w:tcPr>
                  <w:tcW w:w="500" w:type="pct"/>
                  <w:noWrap w:val="0"/>
                  <w:vAlign w:val="center"/>
                </w:tcPr>
                <w:p w14:paraId="0BDEE0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废润滑油桶</w:t>
                  </w:r>
                </w:p>
              </w:tc>
              <w:tc>
                <w:tcPr>
                  <w:tcW w:w="219" w:type="pct"/>
                  <w:vMerge w:val="continue"/>
                  <w:noWrap w:val="0"/>
                  <w:vAlign w:val="center"/>
                </w:tcPr>
                <w:p w14:paraId="4087140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val="0"/>
                      <w:bCs/>
                      <w:color w:val="auto"/>
                      <w:kern w:val="2"/>
                      <w:sz w:val="21"/>
                      <w:szCs w:val="21"/>
                      <w:highlight w:val="none"/>
                      <w:lang w:val="en-US" w:eastAsia="zh-CN" w:bidi="ar-SA"/>
                    </w:rPr>
                  </w:pPr>
                </w:p>
              </w:tc>
              <w:tc>
                <w:tcPr>
                  <w:tcW w:w="364" w:type="pct"/>
                  <w:vMerge w:val="continue"/>
                  <w:noWrap w:val="0"/>
                  <w:vAlign w:val="center"/>
                </w:tcPr>
                <w:p w14:paraId="505088E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666" w:type="pct"/>
                  <w:noWrap w:val="0"/>
                  <w:vAlign w:val="center"/>
                </w:tcPr>
                <w:p w14:paraId="5A61F55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900-2</w:t>
                  </w:r>
                  <w:r>
                    <w:rPr>
                      <w:rFonts w:hint="eastAsia" w:ascii="Times New Roman" w:hAnsi="Times New Roman" w:eastAsia="宋体" w:cs="Times New Roman"/>
                      <w:color w:val="auto"/>
                      <w:spacing w:val="0"/>
                      <w:w w:val="100"/>
                      <w:position w:val="0"/>
                      <w:sz w:val="21"/>
                      <w:szCs w:val="21"/>
                      <w:highlight w:val="none"/>
                      <w:lang w:val="en-US" w:eastAsia="zh-CN"/>
                    </w:rPr>
                    <w:t>49</w:t>
                  </w:r>
                  <w:r>
                    <w:rPr>
                      <w:rFonts w:hint="default" w:ascii="Times New Roman" w:hAnsi="Times New Roman" w:eastAsia="宋体" w:cs="Times New Roman"/>
                      <w:color w:val="auto"/>
                      <w:spacing w:val="0"/>
                      <w:w w:val="100"/>
                      <w:position w:val="0"/>
                      <w:sz w:val="21"/>
                      <w:szCs w:val="21"/>
                      <w:highlight w:val="none"/>
                      <w:lang w:val="en-US" w:eastAsia="zh-CN"/>
                    </w:rPr>
                    <w:t>-08</w:t>
                  </w:r>
                </w:p>
              </w:tc>
              <w:tc>
                <w:tcPr>
                  <w:tcW w:w="388" w:type="pct"/>
                  <w:noWrap w:val="0"/>
                  <w:vAlign w:val="center"/>
                </w:tcPr>
                <w:p w14:paraId="1940C73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宋体" w:cs="Times New Roman"/>
                      <w:color w:val="auto"/>
                      <w:sz w:val="21"/>
                      <w:szCs w:val="21"/>
                      <w:highlight w:val="none"/>
                      <w:lang w:val="en-US" w:eastAsia="zh-CN"/>
                    </w:rPr>
                    <w:t>0.002</w:t>
                  </w:r>
                </w:p>
              </w:tc>
              <w:tc>
                <w:tcPr>
                  <w:tcW w:w="499" w:type="pct"/>
                  <w:noWrap w:val="0"/>
                  <w:vAlign w:val="center"/>
                </w:tcPr>
                <w:p w14:paraId="3869631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设备维护</w:t>
                  </w:r>
                </w:p>
              </w:tc>
              <w:tc>
                <w:tcPr>
                  <w:tcW w:w="278" w:type="pct"/>
                  <w:noWrap w:val="0"/>
                  <w:vAlign w:val="center"/>
                </w:tcPr>
                <w:p w14:paraId="395049D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固态</w:t>
                  </w:r>
                </w:p>
              </w:tc>
              <w:tc>
                <w:tcPr>
                  <w:tcW w:w="749" w:type="pct"/>
                  <w:noWrap w:val="0"/>
                  <w:vAlign w:val="center"/>
                </w:tcPr>
                <w:p w14:paraId="303DCE1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eastAsia="zh-CN"/>
                    </w:rPr>
                    <w:t>润滑油</w:t>
                  </w:r>
                </w:p>
              </w:tc>
              <w:tc>
                <w:tcPr>
                  <w:tcW w:w="275" w:type="pct"/>
                  <w:vMerge w:val="continue"/>
                  <w:noWrap w:val="0"/>
                  <w:vAlign w:val="center"/>
                </w:tcPr>
                <w:p w14:paraId="5E90AC3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387" w:type="pct"/>
                  <w:vMerge w:val="continue"/>
                  <w:noWrap w:val="0"/>
                  <w:vAlign w:val="center"/>
                </w:tcPr>
                <w:p w14:paraId="1B8D32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p>
              </w:tc>
              <w:tc>
                <w:tcPr>
                  <w:tcW w:w="672" w:type="pct"/>
                  <w:vMerge w:val="continue"/>
                  <w:noWrap w:val="0"/>
                  <w:vAlign w:val="center"/>
                </w:tcPr>
                <w:p w14:paraId="04D038E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p>
              </w:tc>
            </w:tr>
          </w:tbl>
          <w:p w14:paraId="0A63F84B">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w:t>
            </w:r>
            <w:r>
              <w:rPr>
                <w:rFonts w:hint="eastAsia" w:cs="Times New Roman"/>
                <w:b w:val="0"/>
                <w:bCs/>
                <w:color w:val="auto"/>
                <w:sz w:val="21"/>
                <w:szCs w:val="21"/>
                <w:highlight w:val="none"/>
                <w:lang w:val="en-US" w:eastAsia="zh-CN"/>
              </w:rPr>
              <w:t>利用现有危废暂存间</w:t>
            </w:r>
            <w:r>
              <w:rPr>
                <w:rFonts w:hint="eastAsia" w:eastAsia="宋体" w:cs="Times New Roman"/>
                <w:b w:val="0"/>
                <w:bCs/>
                <w:color w:val="auto"/>
                <w:sz w:val="21"/>
                <w:szCs w:val="21"/>
                <w:highlight w:val="none"/>
                <w:lang w:val="en-US" w:eastAsia="zh-CN"/>
              </w:rPr>
              <w:t>1座，</w:t>
            </w:r>
            <w:r>
              <w:rPr>
                <w:rFonts w:hint="eastAsia" w:cs="Times New Roman"/>
                <w:b w:val="0"/>
                <w:bCs/>
                <w:color w:val="auto"/>
                <w:sz w:val="21"/>
                <w:szCs w:val="21"/>
                <w:highlight w:val="none"/>
                <w:lang w:val="en-US" w:eastAsia="zh-CN"/>
              </w:rPr>
              <w:t>位于厂内中部，建筑</w:t>
            </w:r>
            <w:r>
              <w:rPr>
                <w:rFonts w:hint="eastAsia" w:eastAsia="宋体" w:cs="Times New Roman"/>
                <w:b w:val="0"/>
                <w:bCs/>
                <w:color w:val="auto"/>
                <w:sz w:val="21"/>
                <w:szCs w:val="21"/>
                <w:highlight w:val="none"/>
                <w:lang w:val="en-US" w:eastAsia="zh-CN"/>
              </w:rPr>
              <w:t>面积为216m</w:t>
            </w:r>
            <w:r>
              <w:rPr>
                <w:rFonts w:hint="eastAsia" w:eastAsia="宋体" w:cs="Times New Roman"/>
                <w:b w:val="0"/>
                <w:bCs/>
                <w:color w:val="auto"/>
                <w:sz w:val="21"/>
                <w:szCs w:val="21"/>
                <w:highlight w:val="none"/>
                <w:vertAlign w:val="superscript"/>
                <w:lang w:val="en-US" w:eastAsia="zh-CN"/>
              </w:rPr>
              <w:t>2</w:t>
            </w:r>
            <w:r>
              <w:rPr>
                <w:rFonts w:hint="eastAsia" w:eastAsia="宋体" w:cs="Times New Roman"/>
                <w:b w:val="0"/>
                <w:bCs/>
                <w:color w:val="auto"/>
                <w:sz w:val="21"/>
                <w:szCs w:val="21"/>
                <w:highlight w:val="none"/>
                <w:lang w:val="en-US" w:eastAsia="zh-CN"/>
              </w:rPr>
              <w:t>，最大暂存量</w:t>
            </w:r>
            <w:r>
              <w:rPr>
                <w:rFonts w:hint="eastAsia" w:cs="Times New Roman"/>
                <w:b w:val="0"/>
                <w:bCs/>
                <w:color w:val="auto"/>
                <w:sz w:val="21"/>
                <w:szCs w:val="21"/>
                <w:highlight w:val="none"/>
                <w:lang w:val="en-US" w:eastAsia="zh-CN"/>
              </w:rPr>
              <w:t>345</w:t>
            </w:r>
            <w:r>
              <w:rPr>
                <w:rFonts w:hint="eastAsia" w:eastAsia="宋体" w:cs="Times New Roman"/>
                <w:b w:val="0"/>
                <w:bCs/>
                <w:color w:val="auto"/>
                <w:sz w:val="21"/>
                <w:szCs w:val="21"/>
                <w:highlight w:val="none"/>
                <w:lang w:val="en-US" w:eastAsia="zh-CN"/>
              </w:rPr>
              <w:t>t，</w:t>
            </w:r>
            <w:r>
              <w:rPr>
                <w:rFonts w:hint="eastAsia" w:cs="Times New Roman"/>
                <w:b w:val="0"/>
                <w:bCs/>
                <w:color w:val="auto"/>
                <w:sz w:val="21"/>
                <w:szCs w:val="21"/>
                <w:highlight w:val="none"/>
                <w:lang w:val="en-US" w:eastAsia="zh-CN"/>
              </w:rPr>
              <w:t>现有工程危废暂存量为80t，余量够本项目使用。</w:t>
            </w:r>
            <w:r>
              <w:rPr>
                <w:rFonts w:hint="eastAsia" w:eastAsia="宋体" w:cs="Times New Roman"/>
                <w:b w:val="0"/>
                <w:bCs/>
                <w:color w:val="auto"/>
                <w:sz w:val="21"/>
                <w:szCs w:val="21"/>
                <w:highlight w:val="none"/>
                <w:lang w:val="en-US" w:eastAsia="zh-CN"/>
              </w:rPr>
              <w:t>危废储存周期最长1年。</w:t>
            </w:r>
          </w:p>
          <w:p w14:paraId="18594DCE">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情况详见下表。</w:t>
            </w:r>
          </w:p>
          <w:p w14:paraId="7E8E8938">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 xml:space="preserve"> 4-1</w:t>
            </w:r>
            <w:r>
              <w:rPr>
                <w:rFonts w:hint="eastAsia" w:cs="Times New Roman"/>
                <w:b/>
                <w:bCs w:val="0"/>
                <w:color w:val="auto"/>
                <w:sz w:val="21"/>
                <w:szCs w:val="21"/>
                <w:highlight w:val="none"/>
                <w:lang w:val="en-US" w:eastAsia="zh-CN"/>
              </w:rPr>
              <w:t>7</w:t>
            </w:r>
            <w:r>
              <w:rPr>
                <w:rFonts w:hint="eastAsia" w:ascii="Times New Roman" w:hAnsi="Times New Roman" w:eastAsia="宋体" w:cs="Times New Roman"/>
                <w:b/>
                <w:bCs w:val="0"/>
                <w:color w:val="auto"/>
                <w:sz w:val="21"/>
                <w:szCs w:val="21"/>
                <w:highlight w:val="none"/>
                <w:lang w:val="en-US" w:eastAsia="zh-CN"/>
              </w:rPr>
              <w:t xml:space="preserve"> </w:t>
            </w:r>
            <w:r>
              <w:rPr>
                <w:rFonts w:hint="default" w:ascii="Times New Roman" w:hAnsi="Times New Roman" w:eastAsia="宋体" w:cs="Times New Roman"/>
                <w:b/>
                <w:bCs w:val="0"/>
                <w:color w:val="auto"/>
                <w:sz w:val="21"/>
                <w:szCs w:val="21"/>
                <w:highlight w:val="none"/>
                <w:lang w:val="en-US" w:eastAsia="zh-CN"/>
              </w:rPr>
              <w:t>危险废物暂存间基本情况表</w:t>
            </w:r>
          </w:p>
          <w:tbl>
            <w:tblPr>
              <w:tblStyle w:val="25"/>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 w:type="dxa"/>
                <w:left w:w="28" w:type="dxa"/>
                <w:bottom w:w="28" w:type="dxa"/>
                <w:right w:w="28" w:type="dxa"/>
              </w:tblCellMar>
            </w:tblPr>
            <w:tblGrid>
              <w:gridCol w:w="518"/>
              <w:gridCol w:w="748"/>
              <w:gridCol w:w="1732"/>
              <w:gridCol w:w="866"/>
              <w:gridCol w:w="1172"/>
              <w:gridCol w:w="551"/>
              <w:gridCol w:w="603"/>
              <w:gridCol w:w="633"/>
              <w:gridCol w:w="600"/>
              <w:gridCol w:w="989"/>
            </w:tblGrid>
            <w:tr w14:paraId="28F4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bottom w:val="single" w:color="auto" w:sz="4" w:space="0"/>
                    <w:right w:val="single" w:color="auto" w:sz="4" w:space="0"/>
                  </w:tcBorders>
                  <w:noWrap w:val="0"/>
                  <w:vAlign w:val="center"/>
                </w:tcPr>
                <w:p w14:paraId="4EB65E6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序号</w:t>
                  </w:r>
                </w:p>
              </w:tc>
              <w:tc>
                <w:tcPr>
                  <w:tcW w:w="444" w:type="pct"/>
                  <w:tcBorders>
                    <w:left w:val="single" w:color="auto" w:sz="4" w:space="0"/>
                    <w:bottom w:val="single" w:color="auto" w:sz="4" w:space="0"/>
                    <w:right w:val="single" w:color="auto" w:sz="4" w:space="0"/>
                  </w:tcBorders>
                  <w:noWrap w:val="0"/>
                  <w:vAlign w:val="center"/>
                </w:tcPr>
                <w:p w14:paraId="64D9BFF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贮存场</w:t>
                  </w:r>
                </w:p>
                <w:p w14:paraId="23F4CEF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所名称</w:t>
                  </w:r>
                </w:p>
              </w:tc>
              <w:tc>
                <w:tcPr>
                  <w:tcW w:w="1028" w:type="pct"/>
                  <w:tcBorders>
                    <w:left w:val="single" w:color="auto" w:sz="4" w:space="0"/>
                    <w:bottom w:val="single" w:color="auto" w:sz="4" w:space="0"/>
                    <w:right w:val="single" w:color="auto" w:sz="4" w:space="0"/>
                  </w:tcBorders>
                  <w:noWrap w:val="0"/>
                  <w:vAlign w:val="center"/>
                </w:tcPr>
                <w:p w14:paraId="493A575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危险废物名称</w:t>
                  </w:r>
                </w:p>
              </w:tc>
              <w:tc>
                <w:tcPr>
                  <w:tcW w:w="514" w:type="pct"/>
                  <w:tcBorders>
                    <w:left w:val="single" w:color="auto" w:sz="4" w:space="0"/>
                    <w:bottom w:val="single" w:color="auto" w:sz="4" w:space="0"/>
                    <w:right w:val="single" w:color="auto" w:sz="4" w:space="0"/>
                  </w:tcBorders>
                  <w:noWrap w:val="0"/>
                  <w:vAlign w:val="center"/>
                </w:tcPr>
                <w:p w14:paraId="0A2DA5B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危险废物类别</w:t>
                  </w:r>
                </w:p>
              </w:tc>
              <w:tc>
                <w:tcPr>
                  <w:tcW w:w="696" w:type="pct"/>
                  <w:tcBorders>
                    <w:left w:val="single" w:color="auto" w:sz="4" w:space="0"/>
                    <w:bottom w:val="single" w:color="auto" w:sz="4" w:space="0"/>
                    <w:right w:val="single" w:color="auto" w:sz="4" w:space="0"/>
                  </w:tcBorders>
                  <w:noWrap w:val="0"/>
                  <w:vAlign w:val="center"/>
                </w:tcPr>
                <w:p w14:paraId="25C755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危险废物</w:t>
                  </w:r>
                </w:p>
                <w:p w14:paraId="19A64A2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代码</w:t>
                  </w:r>
                </w:p>
              </w:tc>
              <w:tc>
                <w:tcPr>
                  <w:tcW w:w="327" w:type="pct"/>
                  <w:tcBorders>
                    <w:left w:val="single" w:color="auto" w:sz="4" w:space="0"/>
                    <w:bottom w:val="single" w:color="auto" w:sz="4" w:space="0"/>
                    <w:right w:val="single" w:color="auto" w:sz="4" w:space="0"/>
                  </w:tcBorders>
                  <w:noWrap w:val="0"/>
                  <w:vAlign w:val="center"/>
                </w:tcPr>
                <w:p w14:paraId="63AE5E0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位置</w:t>
                  </w:r>
                </w:p>
              </w:tc>
              <w:tc>
                <w:tcPr>
                  <w:tcW w:w="358" w:type="pct"/>
                  <w:tcBorders>
                    <w:left w:val="single" w:color="auto" w:sz="4" w:space="0"/>
                    <w:bottom w:val="single" w:color="auto" w:sz="4" w:space="0"/>
                    <w:right w:val="single" w:color="auto" w:sz="4" w:space="0"/>
                  </w:tcBorders>
                  <w:noWrap w:val="0"/>
                  <w:vAlign w:val="center"/>
                </w:tcPr>
                <w:p w14:paraId="13ADE8E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占地</w:t>
                  </w:r>
                </w:p>
                <w:p w14:paraId="67326DC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面积</w:t>
                  </w:r>
                </w:p>
              </w:tc>
              <w:tc>
                <w:tcPr>
                  <w:tcW w:w="376" w:type="pct"/>
                  <w:tcBorders>
                    <w:left w:val="single" w:color="auto" w:sz="4" w:space="0"/>
                    <w:bottom w:val="single" w:color="auto" w:sz="4" w:space="0"/>
                    <w:right w:val="single" w:color="auto" w:sz="4" w:space="0"/>
                  </w:tcBorders>
                  <w:noWrap w:val="0"/>
                  <w:vAlign w:val="center"/>
                </w:tcPr>
                <w:p w14:paraId="1E29D7F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贮存</w:t>
                  </w:r>
                </w:p>
                <w:p w14:paraId="37B62F9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方式</w:t>
                  </w:r>
                </w:p>
              </w:tc>
              <w:tc>
                <w:tcPr>
                  <w:tcW w:w="356" w:type="pct"/>
                  <w:tcBorders>
                    <w:left w:val="single" w:color="auto" w:sz="4" w:space="0"/>
                    <w:bottom w:val="single" w:color="auto" w:sz="4" w:space="0"/>
                    <w:right w:val="single" w:color="auto" w:sz="4" w:space="0"/>
                  </w:tcBorders>
                  <w:noWrap w:val="0"/>
                  <w:vAlign w:val="center"/>
                </w:tcPr>
                <w:p w14:paraId="353522F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贮存</w:t>
                  </w:r>
                </w:p>
                <w:p w14:paraId="68112AC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能力</w:t>
                  </w:r>
                </w:p>
              </w:tc>
              <w:tc>
                <w:tcPr>
                  <w:tcW w:w="587" w:type="pct"/>
                  <w:tcBorders>
                    <w:left w:val="single" w:color="auto" w:sz="4" w:space="0"/>
                    <w:bottom w:val="single" w:color="auto" w:sz="4" w:space="0"/>
                  </w:tcBorders>
                  <w:noWrap w:val="0"/>
                  <w:vAlign w:val="center"/>
                </w:tcPr>
                <w:p w14:paraId="360B63B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rFonts w:hint="eastAsia"/>
                      <w:color w:val="auto"/>
                      <w:sz w:val="21"/>
                      <w:szCs w:val="21"/>
                      <w:highlight w:val="none"/>
                      <w:lang w:eastAsia="zh-CN"/>
                    </w:rPr>
                    <w:t>转运</w:t>
                  </w:r>
                  <w:r>
                    <w:rPr>
                      <w:color w:val="auto"/>
                      <w:sz w:val="21"/>
                      <w:szCs w:val="21"/>
                      <w:highlight w:val="none"/>
                    </w:rPr>
                    <w:t>周期</w:t>
                  </w:r>
                </w:p>
              </w:tc>
            </w:tr>
            <w:tr w14:paraId="1D350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4787B94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1</w:t>
                  </w:r>
                </w:p>
              </w:tc>
              <w:tc>
                <w:tcPr>
                  <w:tcW w:w="444" w:type="pct"/>
                  <w:vMerge w:val="restart"/>
                  <w:tcBorders>
                    <w:top w:val="single" w:color="auto" w:sz="4" w:space="0"/>
                    <w:left w:val="single" w:color="auto" w:sz="4" w:space="0"/>
                    <w:right w:val="single" w:color="auto" w:sz="4" w:space="0"/>
                  </w:tcBorders>
                  <w:noWrap w:val="0"/>
                  <w:vAlign w:val="center"/>
                </w:tcPr>
                <w:p w14:paraId="2A161F9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危</w:t>
                  </w:r>
                  <w:r>
                    <w:rPr>
                      <w:rFonts w:hint="eastAsia"/>
                      <w:color w:val="auto"/>
                      <w:sz w:val="21"/>
                      <w:szCs w:val="21"/>
                      <w:highlight w:val="none"/>
                      <w:lang w:eastAsia="zh-CN"/>
                    </w:rPr>
                    <w:t>废</w:t>
                  </w:r>
                  <w:r>
                    <w:rPr>
                      <w:rFonts w:hint="eastAsia" w:ascii="Times New Roman" w:eastAsia="宋体"/>
                      <w:color w:val="auto"/>
                      <w:sz w:val="21"/>
                      <w:szCs w:val="21"/>
                      <w:highlight w:val="none"/>
                      <w:lang w:val="en-US" w:eastAsia="zh-CN"/>
                    </w:rPr>
                    <w:t>暂存</w:t>
                  </w:r>
                  <w:r>
                    <w:rPr>
                      <w:color w:val="auto"/>
                      <w:sz w:val="21"/>
                      <w:szCs w:val="21"/>
                      <w:highlight w:val="none"/>
                    </w:rPr>
                    <w:t>间</w:t>
                  </w:r>
                </w:p>
              </w:tc>
              <w:tc>
                <w:tcPr>
                  <w:tcW w:w="1028" w:type="pct"/>
                  <w:tcBorders>
                    <w:top w:val="single" w:color="auto" w:sz="4" w:space="0"/>
                    <w:left w:val="single" w:color="auto" w:sz="4" w:space="0"/>
                    <w:bottom w:val="single" w:color="auto" w:sz="4" w:space="0"/>
                    <w:right w:val="single" w:color="auto" w:sz="4" w:space="0"/>
                  </w:tcBorders>
                  <w:noWrap w:val="0"/>
                  <w:vAlign w:val="center"/>
                </w:tcPr>
                <w:p w14:paraId="69971CE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氯乙酸</w:t>
                  </w:r>
                  <w:r>
                    <w:rPr>
                      <w:rFonts w:hint="eastAsia" w:ascii="Times New Roman" w:hAnsi="Times New Roman" w:eastAsia="宋体" w:cs="Times New Roman"/>
                      <w:color w:val="auto"/>
                      <w:spacing w:val="0"/>
                      <w:w w:val="100"/>
                      <w:position w:val="0"/>
                      <w:sz w:val="21"/>
                      <w:szCs w:val="21"/>
                      <w:highlight w:val="none"/>
                      <w:lang w:val="en-US" w:eastAsia="zh-CN"/>
                    </w:rPr>
                    <w:t>内</w:t>
                  </w:r>
                  <w:r>
                    <w:rPr>
                      <w:rFonts w:hint="default" w:ascii="Times New Roman" w:hAnsi="Times New Roman" w:eastAsia="宋体" w:cs="Times New Roman"/>
                      <w:color w:val="auto"/>
                      <w:spacing w:val="0"/>
                      <w:w w:val="100"/>
                      <w:position w:val="0"/>
                      <w:sz w:val="21"/>
                      <w:szCs w:val="21"/>
                      <w:highlight w:val="none"/>
                      <w:lang w:val="en-US" w:eastAsia="zh-CN"/>
                    </w:rPr>
                    <w:t>包装</w:t>
                  </w:r>
                </w:p>
              </w:tc>
              <w:tc>
                <w:tcPr>
                  <w:tcW w:w="514" w:type="pct"/>
                  <w:tcBorders>
                    <w:top w:val="single" w:color="auto" w:sz="4" w:space="0"/>
                    <w:left w:val="single" w:color="auto" w:sz="4" w:space="0"/>
                    <w:bottom w:val="single" w:color="auto" w:sz="4" w:space="0"/>
                    <w:right w:val="single" w:color="auto" w:sz="4" w:space="0"/>
                  </w:tcBorders>
                  <w:noWrap w:val="0"/>
                  <w:vAlign w:val="center"/>
                </w:tcPr>
                <w:p w14:paraId="27D679B4">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03063365">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900-041-49</w:t>
                  </w:r>
                </w:p>
              </w:tc>
              <w:tc>
                <w:tcPr>
                  <w:tcW w:w="327" w:type="pct"/>
                  <w:vMerge w:val="restart"/>
                  <w:tcBorders>
                    <w:top w:val="single" w:color="auto" w:sz="4" w:space="0"/>
                    <w:left w:val="single" w:color="auto" w:sz="4" w:space="0"/>
                    <w:right w:val="single" w:color="auto" w:sz="4" w:space="0"/>
                  </w:tcBorders>
                  <w:noWrap w:val="0"/>
                  <w:vAlign w:val="center"/>
                </w:tcPr>
                <w:p w14:paraId="23EF4FF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厂内中部</w:t>
                  </w:r>
                </w:p>
                <w:p w14:paraId="3A0CD3D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eastAsia" w:eastAsia="宋体"/>
                      <w:color w:val="auto"/>
                      <w:sz w:val="21"/>
                      <w:szCs w:val="21"/>
                      <w:highlight w:val="none"/>
                      <w:lang w:eastAsia="zh-CN"/>
                    </w:rPr>
                  </w:pPr>
                </w:p>
              </w:tc>
              <w:tc>
                <w:tcPr>
                  <w:tcW w:w="358" w:type="pct"/>
                  <w:vMerge w:val="restart"/>
                  <w:tcBorders>
                    <w:top w:val="single" w:color="auto" w:sz="4" w:space="0"/>
                    <w:left w:val="single" w:color="auto" w:sz="4" w:space="0"/>
                    <w:right w:val="single" w:color="auto" w:sz="4" w:space="0"/>
                  </w:tcBorders>
                  <w:noWrap w:val="0"/>
                  <w:vAlign w:val="center"/>
                </w:tcPr>
                <w:p w14:paraId="39F91C5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216m</w:t>
                  </w:r>
                  <w:r>
                    <w:rPr>
                      <w:rFonts w:hint="eastAsia"/>
                      <w:color w:val="auto"/>
                      <w:sz w:val="21"/>
                      <w:szCs w:val="21"/>
                      <w:highlight w:val="none"/>
                      <w:vertAlign w:val="superscript"/>
                      <w:lang w:val="en-US" w:eastAsia="zh-CN"/>
                    </w:rPr>
                    <w:t>2</w:t>
                  </w:r>
                </w:p>
                <w:p w14:paraId="704E3CA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default" w:eastAsia="宋体"/>
                      <w:color w:val="auto"/>
                      <w:sz w:val="21"/>
                      <w:szCs w:val="21"/>
                      <w:highlight w:val="none"/>
                      <w:lang w:val="en-US" w:eastAsia="zh-CN"/>
                    </w:rPr>
                  </w:pPr>
                </w:p>
              </w:tc>
              <w:tc>
                <w:tcPr>
                  <w:tcW w:w="376" w:type="pct"/>
                  <w:tcBorders>
                    <w:top w:val="single" w:color="auto" w:sz="4" w:space="0"/>
                    <w:left w:val="single" w:color="auto" w:sz="4" w:space="0"/>
                    <w:right w:val="single" w:color="auto" w:sz="4" w:space="0"/>
                  </w:tcBorders>
                  <w:noWrap w:val="0"/>
                  <w:vAlign w:val="center"/>
                </w:tcPr>
                <w:p w14:paraId="41F5F5A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rFonts w:hint="eastAsia"/>
                      <w:color w:val="auto"/>
                      <w:sz w:val="21"/>
                      <w:szCs w:val="21"/>
                      <w:highlight w:val="none"/>
                      <w:lang w:eastAsia="zh-CN"/>
                    </w:rPr>
                    <w:t>袋装</w:t>
                  </w:r>
                </w:p>
              </w:tc>
              <w:tc>
                <w:tcPr>
                  <w:tcW w:w="356" w:type="pct"/>
                  <w:tcBorders>
                    <w:top w:val="single" w:color="auto" w:sz="4" w:space="0"/>
                    <w:left w:val="single" w:color="auto" w:sz="4" w:space="0"/>
                    <w:right w:val="single" w:color="auto" w:sz="4" w:space="0"/>
                  </w:tcBorders>
                  <w:noWrap w:val="0"/>
                  <w:vAlign w:val="center"/>
                </w:tcPr>
                <w:p w14:paraId="13F1111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2t</w:t>
                  </w:r>
                </w:p>
              </w:tc>
              <w:tc>
                <w:tcPr>
                  <w:tcW w:w="587" w:type="pct"/>
                  <w:tcBorders>
                    <w:top w:val="single" w:color="auto" w:sz="4" w:space="0"/>
                    <w:left w:val="single" w:color="auto" w:sz="4" w:space="0"/>
                    <w:bottom w:val="single" w:color="auto" w:sz="4" w:space="0"/>
                  </w:tcBorders>
                  <w:noWrap w:val="0"/>
                  <w:vAlign w:val="center"/>
                </w:tcPr>
                <w:p w14:paraId="302BCB0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rFonts w:hint="eastAsia" w:ascii="Times New Roman" w:eastAsia="宋体"/>
                      <w:color w:val="auto"/>
                      <w:sz w:val="21"/>
                      <w:szCs w:val="21"/>
                      <w:highlight w:val="none"/>
                      <w:lang w:val="en-US" w:eastAsia="zh-CN"/>
                    </w:rPr>
                    <w:t>3</w:t>
                  </w:r>
                  <w:r>
                    <w:rPr>
                      <w:color w:val="auto"/>
                      <w:sz w:val="21"/>
                      <w:szCs w:val="21"/>
                      <w:highlight w:val="none"/>
                    </w:rPr>
                    <w:t>个月</w:t>
                  </w:r>
                </w:p>
              </w:tc>
            </w:tr>
            <w:tr w14:paraId="74744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45584C1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2</w:t>
                  </w:r>
                </w:p>
              </w:tc>
              <w:tc>
                <w:tcPr>
                  <w:tcW w:w="444" w:type="pct"/>
                  <w:vMerge w:val="continue"/>
                  <w:tcBorders>
                    <w:left w:val="single" w:color="auto" w:sz="4" w:space="0"/>
                    <w:right w:val="single" w:color="auto" w:sz="4" w:space="0"/>
                  </w:tcBorders>
                  <w:noWrap w:val="0"/>
                  <w:vAlign w:val="center"/>
                </w:tcPr>
                <w:p w14:paraId="50F9729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45274D6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在线监测废试剂</w:t>
                  </w:r>
                </w:p>
              </w:tc>
              <w:tc>
                <w:tcPr>
                  <w:tcW w:w="514" w:type="pct"/>
                  <w:tcBorders>
                    <w:top w:val="single" w:color="auto" w:sz="4" w:space="0"/>
                    <w:left w:val="single" w:color="auto" w:sz="4" w:space="0"/>
                    <w:bottom w:val="single" w:color="auto" w:sz="4" w:space="0"/>
                    <w:right w:val="single" w:color="auto" w:sz="4" w:space="0"/>
                  </w:tcBorders>
                  <w:noWrap w:val="0"/>
                  <w:vAlign w:val="center"/>
                </w:tcPr>
                <w:p w14:paraId="2284DEF9">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color w:val="auto"/>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69611AA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900-047-49</w:t>
                  </w:r>
                </w:p>
              </w:tc>
              <w:tc>
                <w:tcPr>
                  <w:tcW w:w="327" w:type="pct"/>
                  <w:vMerge w:val="continue"/>
                  <w:tcBorders>
                    <w:left w:val="single" w:color="auto" w:sz="4" w:space="0"/>
                    <w:right w:val="single" w:color="auto" w:sz="4" w:space="0"/>
                  </w:tcBorders>
                  <w:noWrap w:val="0"/>
                  <w:vAlign w:val="center"/>
                </w:tcPr>
                <w:p w14:paraId="02B1EC3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673D7F6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1581515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eastAsia="宋体"/>
                      <w:color w:val="auto"/>
                      <w:sz w:val="21"/>
                      <w:szCs w:val="21"/>
                      <w:highlight w:val="none"/>
                      <w:lang w:eastAsia="zh-CN"/>
                    </w:rPr>
                  </w:pPr>
                  <w:r>
                    <w:rPr>
                      <w:rFonts w:hint="eastAsia"/>
                      <w:color w:val="auto"/>
                      <w:sz w:val="21"/>
                      <w:szCs w:val="21"/>
                      <w:highlight w:val="none"/>
                      <w:lang w:eastAsia="zh-CN"/>
                    </w:rPr>
                    <w:t>桶装</w:t>
                  </w:r>
                </w:p>
              </w:tc>
              <w:tc>
                <w:tcPr>
                  <w:tcW w:w="356" w:type="pct"/>
                  <w:tcBorders>
                    <w:left w:val="single" w:color="auto" w:sz="4" w:space="0"/>
                    <w:right w:val="single" w:color="auto" w:sz="4" w:space="0"/>
                  </w:tcBorders>
                  <w:noWrap w:val="0"/>
                  <w:vAlign w:val="center"/>
                </w:tcPr>
                <w:p w14:paraId="767BD76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2t</w:t>
                  </w:r>
                </w:p>
              </w:tc>
              <w:tc>
                <w:tcPr>
                  <w:tcW w:w="587" w:type="pct"/>
                  <w:tcBorders>
                    <w:top w:val="single" w:color="auto" w:sz="4" w:space="0"/>
                    <w:left w:val="single" w:color="auto" w:sz="4" w:space="0"/>
                    <w:bottom w:val="single" w:color="auto" w:sz="4" w:space="0"/>
                  </w:tcBorders>
                  <w:noWrap w:val="0"/>
                  <w:vAlign w:val="center"/>
                </w:tcPr>
                <w:p w14:paraId="40F5363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rFonts w:hint="eastAsia"/>
                      <w:color w:val="auto"/>
                      <w:sz w:val="21"/>
                      <w:szCs w:val="21"/>
                      <w:highlight w:val="none"/>
                      <w:lang w:val="en-US" w:eastAsia="zh-CN"/>
                    </w:rPr>
                    <w:t>12</w:t>
                  </w:r>
                  <w:r>
                    <w:rPr>
                      <w:color w:val="auto"/>
                      <w:sz w:val="21"/>
                      <w:szCs w:val="21"/>
                      <w:highlight w:val="none"/>
                    </w:rPr>
                    <w:t>个月</w:t>
                  </w:r>
                </w:p>
              </w:tc>
            </w:tr>
            <w:tr w14:paraId="0A9C5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36478B2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3</w:t>
                  </w:r>
                </w:p>
              </w:tc>
              <w:tc>
                <w:tcPr>
                  <w:tcW w:w="444" w:type="pct"/>
                  <w:vMerge w:val="continue"/>
                  <w:tcBorders>
                    <w:left w:val="single" w:color="auto" w:sz="4" w:space="0"/>
                    <w:right w:val="single" w:color="auto" w:sz="4" w:space="0"/>
                  </w:tcBorders>
                  <w:noWrap w:val="0"/>
                  <w:vAlign w:val="center"/>
                </w:tcPr>
                <w:p w14:paraId="5A34D5C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5E0F2538">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废矿物油</w:t>
                  </w:r>
                </w:p>
              </w:tc>
              <w:tc>
                <w:tcPr>
                  <w:tcW w:w="514" w:type="pct"/>
                  <w:vMerge w:val="restart"/>
                  <w:tcBorders>
                    <w:top w:val="single" w:color="auto" w:sz="4" w:space="0"/>
                    <w:left w:val="single" w:color="auto" w:sz="4" w:space="0"/>
                    <w:bottom w:val="single" w:color="auto" w:sz="4" w:space="0"/>
                    <w:right w:val="single" w:color="auto" w:sz="4" w:space="0"/>
                  </w:tcBorders>
                  <w:noWrap w:val="0"/>
                  <w:vAlign w:val="center"/>
                </w:tcPr>
                <w:p w14:paraId="47153E42">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color w:val="auto"/>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HW08</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30C2443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900-219-08</w:t>
                  </w:r>
                </w:p>
              </w:tc>
              <w:tc>
                <w:tcPr>
                  <w:tcW w:w="327" w:type="pct"/>
                  <w:vMerge w:val="continue"/>
                  <w:tcBorders>
                    <w:left w:val="single" w:color="auto" w:sz="4" w:space="0"/>
                    <w:right w:val="single" w:color="auto" w:sz="4" w:space="0"/>
                  </w:tcBorders>
                  <w:noWrap w:val="0"/>
                  <w:vAlign w:val="center"/>
                </w:tcPr>
                <w:p w14:paraId="7B7EE1D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67B46FA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662102E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r>
                    <w:rPr>
                      <w:rFonts w:hint="eastAsia"/>
                      <w:color w:val="auto"/>
                      <w:sz w:val="21"/>
                      <w:szCs w:val="21"/>
                      <w:highlight w:val="none"/>
                      <w:lang w:eastAsia="zh-CN"/>
                    </w:rPr>
                    <w:t>桶装</w:t>
                  </w:r>
                </w:p>
              </w:tc>
              <w:tc>
                <w:tcPr>
                  <w:tcW w:w="356" w:type="pct"/>
                  <w:tcBorders>
                    <w:left w:val="single" w:color="auto" w:sz="4" w:space="0"/>
                    <w:right w:val="single" w:color="auto" w:sz="4" w:space="0"/>
                  </w:tcBorders>
                  <w:noWrap w:val="0"/>
                  <w:vAlign w:val="center"/>
                </w:tcPr>
                <w:p w14:paraId="3B3EF5E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10t</w:t>
                  </w:r>
                </w:p>
              </w:tc>
              <w:tc>
                <w:tcPr>
                  <w:tcW w:w="587" w:type="pct"/>
                  <w:tcBorders>
                    <w:top w:val="single" w:color="auto" w:sz="4" w:space="0"/>
                    <w:left w:val="single" w:color="auto" w:sz="4" w:space="0"/>
                    <w:bottom w:val="single" w:color="auto" w:sz="4" w:space="0"/>
                  </w:tcBorders>
                  <w:noWrap w:val="0"/>
                  <w:vAlign w:val="center"/>
                </w:tcPr>
                <w:p w14:paraId="0669918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rFonts w:hint="eastAsia"/>
                      <w:color w:val="auto"/>
                      <w:sz w:val="21"/>
                      <w:szCs w:val="21"/>
                      <w:highlight w:val="none"/>
                      <w:lang w:val="en-US" w:eastAsia="zh-CN"/>
                    </w:rPr>
                    <w:t>12</w:t>
                  </w:r>
                  <w:r>
                    <w:rPr>
                      <w:color w:val="auto"/>
                      <w:sz w:val="21"/>
                      <w:szCs w:val="21"/>
                      <w:highlight w:val="none"/>
                    </w:rPr>
                    <w:t>个月</w:t>
                  </w:r>
                </w:p>
              </w:tc>
            </w:tr>
            <w:tr w14:paraId="420FE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4886764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4</w:t>
                  </w:r>
                </w:p>
              </w:tc>
              <w:tc>
                <w:tcPr>
                  <w:tcW w:w="444" w:type="pct"/>
                  <w:vMerge w:val="continue"/>
                  <w:tcBorders>
                    <w:left w:val="single" w:color="auto" w:sz="4" w:space="0"/>
                    <w:right w:val="single" w:color="auto" w:sz="4" w:space="0"/>
                  </w:tcBorders>
                  <w:noWrap w:val="0"/>
                  <w:vAlign w:val="center"/>
                </w:tcPr>
                <w:p w14:paraId="04ABE59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7FE33BB1">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废润滑油</w:t>
                  </w:r>
                </w:p>
              </w:tc>
              <w:tc>
                <w:tcPr>
                  <w:tcW w:w="514" w:type="pct"/>
                  <w:vMerge w:val="continue"/>
                  <w:tcBorders>
                    <w:top w:val="single" w:color="auto" w:sz="4" w:space="0"/>
                    <w:left w:val="single" w:color="auto" w:sz="4" w:space="0"/>
                    <w:bottom w:val="single" w:color="auto" w:sz="4" w:space="0"/>
                    <w:right w:val="single" w:color="auto" w:sz="4" w:space="0"/>
                  </w:tcBorders>
                  <w:noWrap w:val="0"/>
                  <w:vAlign w:val="center"/>
                </w:tcPr>
                <w:p w14:paraId="65FF44B3">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p>
              </w:tc>
              <w:tc>
                <w:tcPr>
                  <w:tcW w:w="696" w:type="pct"/>
                  <w:tcBorders>
                    <w:top w:val="single" w:color="auto" w:sz="4" w:space="0"/>
                    <w:left w:val="single" w:color="auto" w:sz="4" w:space="0"/>
                    <w:bottom w:val="single" w:color="auto" w:sz="4" w:space="0"/>
                    <w:right w:val="single" w:color="auto" w:sz="4" w:space="0"/>
                  </w:tcBorders>
                  <w:noWrap w:val="0"/>
                  <w:vAlign w:val="center"/>
                </w:tcPr>
                <w:p w14:paraId="4DF35F2E">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900-217-08</w:t>
                  </w:r>
                </w:p>
              </w:tc>
              <w:tc>
                <w:tcPr>
                  <w:tcW w:w="327" w:type="pct"/>
                  <w:vMerge w:val="continue"/>
                  <w:tcBorders>
                    <w:left w:val="single" w:color="auto" w:sz="4" w:space="0"/>
                    <w:right w:val="single" w:color="auto" w:sz="4" w:space="0"/>
                  </w:tcBorders>
                  <w:noWrap w:val="0"/>
                  <w:vAlign w:val="center"/>
                </w:tcPr>
                <w:p w14:paraId="3078FAC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78DEE07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685CE8E0">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r>
                    <w:rPr>
                      <w:rFonts w:hint="eastAsia"/>
                      <w:color w:val="auto"/>
                      <w:sz w:val="21"/>
                      <w:szCs w:val="21"/>
                      <w:highlight w:val="none"/>
                      <w:lang w:eastAsia="zh-CN"/>
                    </w:rPr>
                    <w:t>桶装</w:t>
                  </w:r>
                </w:p>
              </w:tc>
              <w:tc>
                <w:tcPr>
                  <w:tcW w:w="356" w:type="pct"/>
                  <w:tcBorders>
                    <w:left w:val="single" w:color="auto" w:sz="4" w:space="0"/>
                    <w:right w:val="single" w:color="auto" w:sz="4" w:space="0"/>
                  </w:tcBorders>
                  <w:noWrap w:val="0"/>
                  <w:vAlign w:val="center"/>
                </w:tcPr>
                <w:p w14:paraId="5C9C0E6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2t</w:t>
                  </w:r>
                </w:p>
              </w:tc>
              <w:tc>
                <w:tcPr>
                  <w:tcW w:w="587" w:type="pct"/>
                  <w:tcBorders>
                    <w:top w:val="single" w:color="auto" w:sz="4" w:space="0"/>
                    <w:left w:val="single" w:color="auto" w:sz="4" w:space="0"/>
                    <w:bottom w:val="single" w:color="auto" w:sz="4" w:space="0"/>
                  </w:tcBorders>
                  <w:noWrap w:val="0"/>
                  <w:vAlign w:val="center"/>
                </w:tcPr>
                <w:p w14:paraId="23243B8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rFonts w:hint="eastAsia"/>
                      <w:color w:val="auto"/>
                      <w:sz w:val="21"/>
                      <w:szCs w:val="21"/>
                      <w:highlight w:val="none"/>
                      <w:lang w:val="en-US" w:eastAsia="zh-CN"/>
                    </w:rPr>
                    <w:t>12</w:t>
                  </w:r>
                  <w:r>
                    <w:rPr>
                      <w:color w:val="auto"/>
                      <w:sz w:val="21"/>
                      <w:szCs w:val="21"/>
                      <w:highlight w:val="none"/>
                    </w:rPr>
                    <w:t>个月</w:t>
                  </w:r>
                </w:p>
              </w:tc>
            </w:tr>
            <w:tr w14:paraId="34459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24C94EC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kern w:val="2"/>
                      <w:sz w:val="21"/>
                      <w:szCs w:val="21"/>
                      <w:highlight w:val="none"/>
                      <w:lang w:val="en-US" w:eastAsia="zh-CN" w:bidi="ar-SA"/>
                    </w:rPr>
                  </w:pPr>
                  <w:r>
                    <w:rPr>
                      <w:color w:val="auto"/>
                      <w:sz w:val="21"/>
                      <w:szCs w:val="21"/>
                      <w:highlight w:val="none"/>
                    </w:rPr>
                    <w:t>5</w:t>
                  </w:r>
                </w:p>
              </w:tc>
              <w:tc>
                <w:tcPr>
                  <w:tcW w:w="444" w:type="pct"/>
                  <w:vMerge w:val="continue"/>
                  <w:tcBorders>
                    <w:left w:val="single" w:color="auto" w:sz="4" w:space="0"/>
                    <w:right w:val="single" w:color="auto" w:sz="4" w:space="0"/>
                  </w:tcBorders>
                  <w:noWrap w:val="0"/>
                  <w:vAlign w:val="center"/>
                </w:tcPr>
                <w:p w14:paraId="0547DC6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10AD3CCA">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废气处理设施废活性炭</w:t>
                  </w:r>
                </w:p>
              </w:tc>
              <w:tc>
                <w:tcPr>
                  <w:tcW w:w="514" w:type="pct"/>
                  <w:tcBorders>
                    <w:top w:val="single" w:color="auto" w:sz="4" w:space="0"/>
                    <w:left w:val="single" w:color="auto" w:sz="4" w:space="0"/>
                    <w:bottom w:val="single" w:color="auto" w:sz="4" w:space="0"/>
                    <w:right w:val="single" w:color="auto" w:sz="4" w:space="0"/>
                  </w:tcBorders>
                  <w:noWrap w:val="0"/>
                  <w:vAlign w:val="center"/>
                </w:tcPr>
                <w:p w14:paraId="08EA6000">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0C1C1175">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900-039-49</w:t>
                  </w:r>
                </w:p>
              </w:tc>
              <w:tc>
                <w:tcPr>
                  <w:tcW w:w="327" w:type="pct"/>
                  <w:vMerge w:val="continue"/>
                  <w:tcBorders>
                    <w:left w:val="single" w:color="auto" w:sz="4" w:space="0"/>
                    <w:right w:val="single" w:color="auto" w:sz="4" w:space="0"/>
                  </w:tcBorders>
                  <w:noWrap w:val="0"/>
                  <w:vAlign w:val="center"/>
                </w:tcPr>
                <w:p w14:paraId="53405B0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20C903A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4089DFD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r>
                    <w:rPr>
                      <w:rFonts w:hint="eastAsia"/>
                      <w:color w:val="auto"/>
                      <w:sz w:val="21"/>
                      <w:szCs w:val="21"/>
                      <w:highlight w:val="none"/>
                      <w:lang w:eastAsia="zh-CN"/>
                    </w:rPr>
                    <w:t>袋装</w:t>
                  </w:r>
                </w:p>
              </w:tc>
              <w:tc>
                <w:tcPr>
                  <w:tcW w:w="356" w:type="pct"/>
                  <w:tcBorders>
                    <w:left w:val="single" w:color="auto" w:sz="4" w:space="0"/>
                    <w:right w:val="single" w:color="auto" w:sz="4" w:space="0"/>
                  </w:tcBorders>
                  <w:noWrap w:val="0"/>
                  <w:vAlign w:val="center"/>
                </w:tcPr>
                <w:p w14:paraId="1D63528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15t</w:t>
                  </w:r>
                </w:p>
              </w:tc>
              <w:tc>
                <w:tcPr>
                  <w:tcW w:w="587" w:type="pct"/>
                  <w:tcBorders>
                    <w:top w:val="single" w:color="auto" w:sz="4" w:space="0"/>
                    <w:left w:val="single" w:color="auto" w:sz="4" w:space="0"/>
                    <w:bottom w:val="single" w:color="auto" w:sz="4" w:space="0"/>
                  </w:tcBorders>
                  <w:noWrap w:val="0"/>
                  <w:vAlign w:val="center"/>
                </w:tcPr>
                <w:p w14:paraId="215B3B7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3个月</w:t>
                  </w:r>
                </w:p>
              </w:tc>
            </w:tr>
            <w:tr w14:paraId="099F4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71EAD56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kern w:val="2"/>
                      <w:sz w:val="21"/>
                      <w:szCs w:val="21"/>
                      <w:highlight w:val="none"/>
                      <w:lang w:val="en-US" w:eastAsia="zh-CN" w:bidi="ar-SA"/>
                    </w:rPr>
                  </w:pPr>
                  <w:r>
                    <w:rPr>
                      <w:rFonts w:hint="eastAsia"/>
                      <w:color w:val="auto"/>
                      <w:sz w:val="21"/>
                      <w:szCs w:val="21"/>
                      <w:highlight w:val="none"/>
                    </w:rPr>
                    <w:t>6</w:t>
                  </w:r>
                </w:p>
              </w:tc>
              <w:tc>
                <w:tcPr>
                  <w:tcW w:w="444" w:type="pct"/>
                  <w:vMerge w:val="continue"/>
                  <w:tcBorders>
                    <w:left w:val="single" w:color="auto" w:sz="4" w:space="0"/>
                    <w:right w:val="single" w:color="auto" w:sz="4" w:space="0"/>
                  </w:tcBorders>
                  <w:noWrap w:val="0"/>
                  <w:vAlign w:val="center"/>
                </w:tcPr>
                <w:p w14:paraId="67DF309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5A633F2D">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eastAsia"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实验室废液、废试剂（含未按实验室管理的清洗试剂包装物、容器）</w:t>
                  </w:r>
                </w:p>
              </w:tc>
              <w:tc>
                <w:tcPr>
                  <w:tcW w:w="514" w:type="pct"/>
                  <w:tcBorders>
                    <w:top w:val="single" w:color="auto" w:sz="4" w:space="0"/>
                    <w:left w:val="single" w:color="auto" w:sz="4" w:space="0"/>
                    <w:bottom w:val="single" w:color="auto" w:sz="4" w:space="0"/>
                    <w:right w:val="single" w:color="auto" w:sz="4" w:space="0"/>
                  </w:tcBorders>
                  <w:noWrap w:val="0"/>
                  <w:vAlign w:val="center"/>
                </w:tcPr>
                <w:p w14:paraId="186735BA">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18464D5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900-047-49</w:t>
                  </w:r>
                </w:p>
              </w:tc>
              <w:tc>
                <w:tcPr>
                  <w:tcW w:w="327" w:type="pct"/>
                  <w:vMerge w:val="continue"/>
                  <w:tcBorders>
                    <w:left w:val="single" w:color="auto" w:sz="4" w:space="0"/>
                    <w:right w:val="single" w:color="auto" w:sz="4" w:space="0"/>
                  </w:tcBorders>
                  <w:noWrap w:val="0"/>
                  <w:vAlign w:val="center"/>
                </w:tcPr>
                <w:p w14:paraId="206462E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1C71DAA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0B1F16E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r>
                    <w:rPr>
                      <w:rFonts w:hint="eastAsia"/>
                      <w:color w:val="auto"/>
                      <w:sz w:val="21"/>
                      <w:szCs w:val="21"/>
                      <w:highlight w:val="none"/>
                      <w:lang w:eastAsia="zh-CN"/>
                    </w:rPr>
                    <w:t>桶装</w:t>
                  </w:r>
                </w:p>
              </w:tc>
              <w:tc>
                <w:tcPr>
                  <w:tcW w:w="356" w:type="pct"/>
                  <w:tcBorders>
                    <w:left w:val="single" w:color="auto" w:sz="4" w:space="0"/>
                    <w:right w:val="single" w:color="auto" w:sz="4" w:space="0"/>
                  </w:tcBorders>
                  <w:noWrap w:val="0"/>
                  <w:vAlign w:val="center"/>
                </w:tcPr>
                <w:p w14:paraId="0937C50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eastAsia="宋体"/>
                      <w:color w:val="auto"/>
                      <w:sz w:val="21"/>
                      <w:szCs w:val="21"/>
                      <w:highlight w:val="none"/>
                      <w:lang w:val="en-US" w:eastAsia="zh-CN"/>
                    </w:rPr>
                  </w:pPr>
                  <w:r>
                    <w:rPr>
                      <w:rFonts w:hint="eastAsia"/>
                      <w:color w:val="auto"/>
                      <w:sz w:val="21"/>
                      <w:szCs w:val="21"/>
                      <w:highlight w:val="none"/>
                      <w:lang w:val="en-US" w:eastAsia="zh-CN"/>
                    </w:rPr>
                    <w:t>5t</w:t>
                  </w:r>
                </w:p>
              </w:tc>
              <w:tc>
                <w:tcPr>
                  <w:tcW w:w="587" w:type="pct"/>
                  <w:tcBorders>
                    <w:top w:val="single" w:color="auto" w:sz="4" w:space="0"/>
                    <w:left w:val="single" w:color="auto" w:sz="4" w:space="0"/>
                    <w:bottom w:val="single" w:color="auto" w:sz="4" w:space="0"/>
                  </w:tcBorders>
                  <w:noWrap w:val="0"/>
                  <w:vAlign w:val="center"/>
                </w:tcPr>
                <w:p w14:paraId="6624061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3个月</w:t>
                  </w:r>
                </w:p>
              </w:tc>
            </w:tr>
            <w:tr w14:paraId="6E50C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3C1601C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kern w:val="2"/>
                      <w:sz w:val="21"/>
                      <w:szCs w:val="21"/>
                      <w:highlight w:val="none"/>
                      <w:lang w:val="en-US" w:eastAsia="zh-CN" w:bidi="ar-SA"/>
                    </w:rPr>
                  </w:pPr>
                  <w:r>
                    <w:rPr>
                      <w:color w:val="auto"/>
                      <w:sz w:val="21"/>
                      <w:szCs w:val="21"/>
                      <w:highlight w:val="none"/>
                    </w:rPr>
                    <w:t>7</w:t>
                  </w:r>
                </w:p>
              </w:tc>
              <w:tc>
                <w:tcPr>
                  <w:tcW w:w="444" w:type="pct"/>
                  <w:vMerge w:val="continue"/>
                  <w:tcBorders>
                    <w:left w:val="single" w:color="auto" w:sz="4" w:space="0"/>
                    <w:right w:val="single" w:color="auto" w:sz="4" w:space="0"/>
                  </w:tcBorders>
                  <w:noWrap w:val="0"/>
                  <w:vAlign w:val="center"/>
                </w:tcPr>
                <w:p w14:paraId="68A55B8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39148DD9">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pacing w:val="0"/>
                      <w:w w:val="100"/>
                      <w:position w:val="0"/>
                      <w:sz w:val="21"/>
                      <w:szCs w:val="21"/>
                      <w:highlight w:val="none"/>
                      <w:lang w:val="en-US" w:eastAsia="zh-CN"/>
                    </w:rPr>
                    <w:t>实验室废试剂瓶</w:t>
                  </w:r>
                </w:p>
              </w:tc>
              <w:tc>
                <w:tcPr>
                  <w:tcW w:w="514" w:type="pct"/>
                  <w:tcBorders>
                    <w:top w:val="single" w:color="auto" w:sz="4" w:space="0"/>
                    <w:left w:val="single" w:color="auto" w:sz="4" w:space="0"/>
                    <w:bottom w:val="single" w:color="auto" w:sz="4" w:space="0"/>
                    <w:right w:val="single" w:color="auto" w:sz="4" w:space="0"/>
                  </w:tcBorders>
                  <w:noWrap w:val="0"/>
                  <w:vAlign w:val="center"/>
                </w:tcPr>
                <w:p w14:paraId="2B25E211">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3948E290">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900-047-49</w:t>
                  </w:r>
                </w:p>
              </w:tc>
              <w:tc>
                <w:tcPr>
                  <w:tcW w:w="327" w:type="pct"/>
                  <w:vMerge w:val="continue"/>
                  <w:tcBorders>
                    <w:left w:val="single" w:color="auto" w:sz="4" w:space="0"/>
                    <w:right w:val="single" w:color="auto" w:sz="4" w:space="0"/>
                  </w:tcBorders>
                  <w:noWrap w:val="0"/>
                  <w:vAlign w:val="center"/>
                </w:tcPr>
                <w:p w14:paraId="1B5BBF1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4DB1AB0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14BAEE3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袋装、箱装</w:t>
                  </w:r>
                </w:p>
              </w:tc>
              <w:tc>
                <w:tcPr>
                  <w:tcW w:w="356" w:type="pct"/>
                  <w:tcBorders>
                    <w:left w:val="single" w:color="auto" w:sz="4" w:space="0"/>
                    <w:right w:val="single" w:color="auto" w:sz="4" w:space="0"/>
                  </w:tcBorders>
                  <w:noWrap w:val="0"/>
                  <w:vAlign w:val="center"/>
                </w:tcPr>
                <w:p w14:paraId="58815D0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eastAsia="宋体"/>
                      <w:color w:val="auto"/>
                      <w:sz w:val="21"/>
                      <w:szCs w:val="21"/>
                      <w:highlight w:val="none"/>
                      <w:lang w:val="en-US" w:eastAsia="zh-CN"/>
                    </w:rPr>
                  </w:pPr>
                  <w:r>
                    <w:rPr>
                      <w:rFonts w:hint="eastAsia"/>
                      <w:color w:val="auto"/>
                      <w:sz w:val="21"/>
                      <w:szCs w:val="21"/>
                      <w:highlight w:val="none"/>
                      <w:lang w:val="en-US" w:eastAsia="zh-CN"/>
                    </w:rPr>
                    <w:t>3t</w:t>
                  </w:r>
                </w:p>
              </w:tc>
              <w:tc>
                <w:tcPr>
                  <w:tcW w:w="587" w:type="pct"/>
                  <w:tcBorders>
                    <w:top w:val="single" w:color="auto" w:sz="4" w:space="0"/>
                    <w:left w:val="single" w:color="auto" w:sz="4" w:space="0"/>
                    <w:bottom w:val="single" w:color="auto" w:sz="4" w:space="0"/>
                  </w:tcBorders>
                  <w:noWrap w:val="0"/>
                  <w:vAlign w:val="center"/>
                </w:tcPr>
                <w:p w14:paraId="4D91214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color w:val="auto"/>
                      <w:sz w:val="21"/>
                      <w:szCs w:val="21"/>
                      <w:highlight w:val="none"/>
                    </w:rPr>
                  </w:pPr>
                  <w:r>
                    <w:rPr>
                      <w:color w:val="auto"/>
                      <w:sz w:val="21"/>
                      <w:szCs w:val="21"/>
                      <w:highlight w:val="none"/>
                    </w:rPr>
                    <w:t>3个月</w:t>
                  </w:r>
                </w:p>
              </w:tc>
            </w:tr>
            <w:tr w14:paraId="4ECC3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bottom w:val="single" w:color="auto" w:sz="4" w:space="0"/>
                    <w:right w:val="single" w:color="auto" w:sz="4" w:space="0"/>
                  </w:tcBorders>
                  <w:noWrap w:val="0"/>
                  <w:vAlign w:val="center"/>
                </w:tcPr>
                <w:p w14:paraId="66F01B9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eastAsia" w:eastAsia="宋体"/>
                      <w:color w:val="auto"/>
                      <w:kern w:val="2"/>
                      <w:sz w:val="21"/>
                      <w:szCs w:val="21"/>
                      <w:highlight w:val="none"/>
                      <w:lang w:val="en-US" w:eastAsia="zh-CN" w:bidi="ar-SA"/>
                    </w:rPr>
                  </w:pPr>
                  <w:r>
                    <w:rPr>
                      <w:rFonts w:hint="eastAsia" w:ascii="Times New Roman" w:eastAsia="宋体"/>
                      <w:color w:val="auto"/>
                      <w:sz w:val="21"/>
                      <w:szCs w:val="21"/>
                      <w:highlight w:val="none"/>
                      <w:lang w:val="en-US" w:eastAsia="zh-CN"/>
                    </w:rPr>
                    <w:t>8</w:t>
                  </w:r>
                </w:p>
              </w:tc>
              <w:tc>
                <w:tcPr>
                  <w:tcW w:w="444" w:type="pct"/>
                  <w:vMerge w:val="continue"/>
                  <w:tcBorders>
                    <w:left w:val="single" w:color="auto" w:sz="4" w:space="0"/>
                    <w:right w:val="single" w:color="auto" w:sz="4" w:space="0"/>
                  </w:tcBorders>
                  <w:noWrap w:val="0"/>
                  <w:vAlign w:val="center"/>
                </w:tcPr>
                <w:p w14:paraId="380A143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bottom w:val="single" w:color="auto" w:sz="4" w:space="0"/>
                    <w:right w:val="single" w:color="auto" w:sz="4" w:space="0"/>
                  </w:tcBorders>
                  <w:noWrap w:val="0"/>
                  <w:vAlign w:val="center"/>
                </w:tcPr>
                <w:p w14:paraId="69018AF4">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废铅酸蓄电池</w:t>
                  </w:r>
                </w:p>
              </w:tc>
              <w:tc>
                <w:tcPr>
                  <w:tcW w:w="514" w:type="pct"/>
                  <w:tcBorders>
                    <w:top w:val="single" w:color="auto" w:sz="4" w:space="0"/>
                    <w:left w:val="single" w:color="auto" w:sz="4" w:space="0"/>
                    <w:bottom w:val="single" w:color="auto" w:sz="4" w:space="0"/>
                    <w:right w:val="single" w:color="auto" w:sz="4" w:space="0"/>
                  </w:tcBorders>
                  <w:noWrap w:val="0"/>
                  <w:vAlign w:val="center"/>
                </w:tcPr>
                <w:p w14:paraId="08E23AA9">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HW31</w:t>
                  </w:r>
                </w:p>
              </w:tc>
              <w:tc>
                <w:tcPr>
                  <w:tcW w:w="696" w:type="pct"/>
                  <w:tcBorders>
                    <w:top w:val="single" w:color="auto" w:sz="4" w:space="0"/>
                    <w:left w:val="single" w:color="auto" w:sz="4" w:space="0"/>
                    <w:bottom w:val="single" w:color="auto" w:sz="4" w:space="0"/>
                    <w:right w:val="single" w:color="auto" w:sz="4" w:space="0"/>
                  </w:tcBorders>
                  <w:noWrap w:val="0"/>
                  <w:vAlign w:val="center"/>
                </w:tcPr>
                <w:p w14:paraId="4A11D7FB">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900-052-31</w:t>
                  </w:r>
                </w:p>
              </w:tc>
              <w:tc>
                <w:tcPr>
                  <w:tcW w:w="327" w:type="pct"/>
                  <w:vMerge w:val="continue"/>
                  <w:tcBorders>
                    <w:left w:val="single" w:color="auto" w:sz="4" w:space="0"/>
                    <w:right w:val="single" w:color="auto" w:sz="4" w:space="0"/>
                  </w:tcBorders>
                  <w:noWrap w:val="0"/>
                  <w:vAlign w:val="center"/>
                </w:tcPr>
                <w:p w14:paraId="6C82FEC4">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61757FC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5EB2752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袋装</w:t>
                  </w:r>
                </w:p>
              </w:tc>
              <w:tc>
                <w:tcPr>
                  <w:tcW w:w="356" w:type="pct"/>
                  <w:tcBorders>
                    <w:left w:val="single" w:color="auto" w:sz="4" w:space="0"/>
                    <w:right w:val="single" w:color="auto" w:sz="4" w:space="0"/>
                  </w:tcBorders>
                  <w:noWrap w:val="0"/>
                  <w:vAlign w:val="center"/>
                </w:tcPr>
                <w:p w14:paraId="6165A1C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2t</w:t>
                  </w:r>
                </w:p>
              </w:tc>
              <w:tc>
                <w:tcPr>
                  <w:tcW w:w="587" w:type="pct"/>
                  <w:tcBorders>
                    <w:top w:val="single" w:color="auto" w:sz="4" w:space="0"/>
                    <w:left w:val="single" w:color="auto" w:sz="4" w:space="0"/>
                    <w:bottom w:val="single" w:color="auto" w:sz="4" w:space="0"/>
                  </w:tcBorders>
                  <w:noWrap w:val="0"/>
                  <w:vAlign w:val="center"/>
                </w:tcPr>
                <w:p w14:paraId="2873F5E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12</w:t>
                  </w:r>
                  <w:r>
                    <w:rPr>
                      <w:color w:val="auto"/>
                      <w:sz w:val="21"/>
                      <w:szCs w:val="21"/>
                      <w:highlight w:val="none"/>
                    </w:rPr>
                    <w:t>个月</w:t>
                  </w:r>
                </w:p>
              </w:tc>
            </w:tr>
            <w:tr w14:paraId="7ABA5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308" w:type="pct"/>
                  <w:tcBorders>
                    <w:top w:val="single" w:color="auto" w:sz="4" w:space="0"/>
                    <w:right w:val="single" w:color="auto" w:sz="4" w:space="0"/>
                  </w:tcBorders>
                  <w:noWrap w:val="0"/>
                  <w:vAlign w:val="center"/>
                </w:tcPr>
                <w:p w14:paraId="0CDAAB7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9</w:t>
                  </w:r>
                </w:p>
              </w:tc>
              <w:tc>
                <w:tcPr>
                  <w:tcW w:w="444" w:type="pct"/>
                  <w:vMerge w:val="continue"/>
                  <w:tcBorders>
                    <w:left w:val="single" w:color="auto" w:sz="4" w:space="0"/>
                    <w:right w:val="single" w:color="auto" w:sz="4" w:space="0"/>
                  </w:tcBorders>
                  <w:noWrap w:val="0"/>
                  <w:vAlign w:val="center"/>
                </w:tcPr>
                <w:p w14:paraId="3FBFB43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tcBorders>
                    <w:top w:val="single" w:color="auto" w:sz="4" w:space="0"/>
                    <w:left w:val="single" w:color="auto" w:sz="4" w:space="0"/>
                    <w:right w:val="single" w:color="auto" w:sz="4" w:space="0"/>
                  </w:tcBorders>
                  <w:noWrap w:val="0"/>
                  <w:vAlign w:val="center"/>
                </w:tcPr>
                <w:p w14:paraId="302BFC40">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废油漆桶</w:t>
                  </w:r>
                </w:p>
              </w:tc>
              <w:tc>
                <w:tcPr>
                  <w:tcW w:w="514" w:type="pct"/>
                  <w:tcBorders>
                    <w:top w:val="single" w:color="auto" w:sz="4" w:space="0"/>
                    <w:left w:val="single" w:color="auto" w:sz="4" w:space="0"/>
                    <w:right w:val="single" w:color="auto" w:sz="4" w:space="0"/>
                  </w:tcBorders>
                  <w:noWrap w:val="0"/>
                  <w:vAlign w:val="center"/>
                </w:tcPr>
                <w:p w14:paraId="311D7015">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tcBorders>
                    <w:top w:val="single" w:color="auto" w:sz="4" w:space="0"/>
                    <w:left w:val="single" w:color="auto" w:sz="4" w:space="0"/>
                    <w:right w:val="single" w:color="auto" w:sz="4" w:space="0"/>
                  </w:tcBorders>
                  <w:noWrap w:val="0"/>
                  <w:vAlign w:val="center"/>
                </w:tcPr>
                <w:p w14:paraId="66D0903D">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900-041-49</w:t>
                  </w:r>
                </w:p>
              </w:tc>
              <w:tc>
                <w:tcPr>
                  <w:tcW w:w="327" w:type="pct"/>
                  <w:vMerge w:val="continue"/>
                  <w:tcBorders>
                    <w:left w:val="single" w:color="auto" w:sz="4" w:space="0"/>
                    <w:right w:val="single" w:color="auto" w:sz="4" w:space="0"/>
                  </w:tcBorders>
                  <w:noWrap w:val="0"/>
                  <w:vAlign w:val="center"/>
                </w:tcPr>
                <w:p w14:paraId="174BC5A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07A66BE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347AE0E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桶装</w:t>
                  </w:r>
                </w:p>
              </w:tc>
              <w:tc>
                <w:tcPr>
                  <w:tcW w:w="356" w:type="pct"/>
                  <w:tcBorders>
                    <w:left w:val="single" w:color="auto" w:sz="4" w:space="0"/>
                    <w:right w:val="single" w:color="auto" w:sz="4" w:space="0"/>
                  </w:tcBorders>
                  <w:noWrap w:val="0"/>
                  <w:vAlign w:val="center"/>
                </w:tcPr>
                <w:p w14:paraId="50DCE26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1t</w:t>
                  </w:r>
                </w:p>
              </w:tc>
              <w:tc>
                <w:tcPr>
                  <w:tcW w:w="587" w:type="pct"/>
                  <w:tcBorders>
                    <w:top w:val="single" w:color="auto" w:sz="4" w:space="0"/>
                    <w:left w:val="single" w:color="auto" w:sz="4" w:space="0"/>
                  </w:tcBorders>
                  <w:noWrap w:val="0"/>
                  <w:vAlign w:val="center"/>
                </w:tcPr>
                <w:p w14:paraId="5F351A9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ascii="Times New Roman" w:hAnsi="Times New Roman" w:eastAsia="宋体" w:cs="Times New Roman"/>
                      <w:color w:val="auto"/>
                      <w:kern w:val="2"/>
                      <w:sz w:val="21"/>
                      <w:szCs w:val="21"/>
                      <w:highlight w:val="none"/>
                      <w:lang w:val="en-US" w:eastAsia="zh-CN" w:bidi="ar-SA"/>
                    </w:rPr>
                  </w:pPr>
                  <w:r>
                    <w:rPr>
                      <w:color w:val="auto"/>
                      <w:sz w:val="21"/>
                      <w:szCs w:val="21"/>
                      <w:highlight w:val="none"/>
                    </w:rPr>
                    <w:t>3个月</w:t>
                  </w:r>
                </w:p>
              </w:tc>
            </w:tr>
            <w:tr w14:paraId="2A7AC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0" w:type="auto"/>
                  <w:noWrap w:val="0"/>
                  <w:vAlign w:val="center"/>
                </w:tcPr>
                <w:p w14:paraId="610A5D1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10</w:t>
                  </w:r>
                </w:p>
              </w:tc>
              <w:tc>
                <w:tcPr>
                  <w:tcW w:w="444" w:type="pct"/>
                  <w:vMerge w:val="continue"/>
                  <w:tcBorders>
                    <w:left w:val="single" w:color="auto" w:sz="4" w:space="0"/>
                    <w:right w:val="single" w:color="auto" w:sz="4" w:space="0"/>
                  </w:tcBorders>
                  <w:noWrap w:val="0"/>
                  <w:vAlign w:val="center"/>
                </w:tcPr>
                <w:p w14:paraId="0B3027B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noWrap w:val="0"/>
                  <w:vAlign w:val="center"/>
                </w:tcPr>
                <w:p w14:paraId="1E8B979E">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废切削液</w:t>
                  </w:r>
                </w:p>
              </w:tc>
              <w:tc>
                <w:tcPr>
                  <w:tcW w:w="514" w:type="pct"/>
                  <w:noWrap w:val="0"/>
                  <w:vAlign w:val="center"/>
                </w:tcPr>
                <w:p w14:paraId="2431D096">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HW09</w:t>
                  </w:r>
                </w:p>
              </w:tc>
              <w:tc>
                <w:tcPr>
                  <w:tcW w:w="696" w:type="pct"/>
                  <w:noWrap w:val="0"/>
                  <w:vAlign w:val="center"/>
                </w:tcPr>
                <w:p w14:paraId="361AF3B1">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900-006-09</w:t>
                  </w:r>
                </w:p>
              </w:tc>
              <w:tc>
                <w:tcPr>
                  <w:tcW w:w="327" w:type="pct"/>
                  <w:vMerge w:val="continue"/>
                  <w:tcBorders>
                    <w:left w:val="single" w:color="auto" w:sz="4" w:space="0"/>
                    <w:right w:val="single" w:color="auto" w:sz="4" w:space="0"/>
                  </w:tcBorders>
                  <w:noWrap w:val="0"/>
                  <w:vAlign w:val="center"/>
                </w:tcPr>
                <w:p w14:paraId="075F87FE">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1FA704D6">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79B0F46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桶装</w:t>
                  </w:r>
                </w:p>
              </w:tc>
              <w:tc>
                <w:tcPr>
                  <w:tcW w:w="356" w:type="pct"/>
                  <w:tcBorders>
                    <w:left w:val="single" w:color="auto" w:sz="4" w:space="0"/>
                    <w:right w:val="single" w:color="auto" w:sz="4" w:space="0"/>
                  </w:tcBorders>
                  <w:noWrap w:val="0"/>
                  <w:vAlign w:val="center"/>
                </w:tcPr>
                <w:p w14:paraId="4506797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1t</w:t>
                  </w:r>
                </w:p>
              </w:tc>
              <w:tc>
                <w:tcPr>
                  <w:tcW w:w="587" w:type="pct"/>
                  <w:noWrap w:val="0"/>
                  <w:vAlign w:val="center"/>
                </w:tcPr>
                <w:p w14:paraId="387B2F5A">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ascii="Times New Roman" w:hAnsi="Times New Roman" w:eastAsia="宋体" w:cs="Times New Roman"/>
                      <w:color w:val="auto"/>
                      <w:kern w:val="2"/>
                      <w:sz w:val="21"/>
                      <w:szCs w:val="21"/>
                      <w:highlight w:val="none"/>
                      <w:lang w:val="en-US" w:eastAsia="zh-CN" w:bidi="ar-SA"/>
                    </w:rPr>
                  </w:pPr>
                  <w:r>
                    <w:rPr>
                      <w:color w:val="auto"/>
                      <w:sz w:val="21"/>
                      <w:szCs w:val="21"/>
                      <w:highlight w:val="none"/>
                    </w:rPr>
                    <w:t>3个月</w:t>
                  </w:r>
                </w:p>
              </w:tc>
            </w:tr>
            <w:tr w14:paraId="4898D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0" w:type="auto"/>
                  <w:noWrap w:val="0"/>
                  <w:vAlign w:val="center"/>
                </w:tcPr>
                <w:p w14:paraId="463A6C5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default" w:eastAsia="宋体"/>
                      <w:color w:val="auto"/>
                      <w:sz w:val="21"/>
                      <w:szCs w:val="21"/>
                      <w:highlight w:val="none"/>
                      <w:lang w:val="en-US" w:eastAsia="zh-CN"/>
                    </w:rPr>
                  </w:pPr>
                  <w:r>
                    <w:rPr>
                      <w:rFonts w:hint="eastAsia" w:eastAsia="宋体"/>
                      <w:color w:val="auto"/>
                      <w:sz w:val="21"/>
                      <w:szCs w:val="21"/>
                      <w:highlight w:val="none"/>
                      <w:lang w:val="en-US" w:eastAsia="zh-CN"/>
                    </w:rPr>
                    <w:t>11</w:t>
                  </w:r>
                </w:p>
              </w:tc>
              <w:tc>
                <w:tcPr>
                  <w:tcW w:w="444" w:type="pct"/>
                  <w:vMerge w:val="continue"/>
                  <w:tcBorders>
                    <w:left w:val="single" w:color="auto" w:sz="4" w:space="0"/>
                    <w:right w:val="single" w:color="auto" w:sz="4" w:space="0"/>
                  </w:tcBorders>
                  <w:noWrap w:val="0"/>
                  <w:vAlign w:val="center"/>
                </w:tcPr>
                <w:p w14:paraId="49BF696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noWrap w:val="0"/>
                  <w:vAlign w:val="center"/>
                </w:tcPr>
                <w:p w14:paraId="437C9EF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纤维过滤棉</w:t>
                  </w:r>
                </w:p>
              </w:tc>
              <w:tc>
                <w:tcPr>
                  <w:tcW w:w="514" w:type="pct"/>
                  <w:noWrap w:val="0"/>
                  <w:vAlign w:val="center"/>
                </w:tcPr>
                <w:p w14:paraId="66730AA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noWrap w:val="0"/>
                  <w:vAlign w:val="center"/>
                </w:tcPr>
                <w:p w14:paraId="4816BA85">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900-039-49</w:t>
                  </w:r>
                </w:p>
              </w:tc>
              <w:tc>
                <w:tcPr>
                  <w:tcW w:w="327" w:type="pct"/>
                  <w:vMerge w:val="continue"/>
                  <w:tcBorders>
                    <w:left w:val="single" w:color="auto" w:sz="4" w:space="0"/>
                    <w:right w:val="single" w:color="auto" w:sz="4" w:space="0"/>
                  </w:tcBorders>
                  <w:noWrap w:val="0"/>
                  <w:vAlign w:val="center"/>
                </w:tcPr>
                <w:p w14:paraId="7330B315">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vMerge w:val="continue"/>
                  <w:tcBorders>
                    <w:left w:val="single" w:color="auto" w:sz="4" w:space="0"/>
                    <w:right w:val="single" w:color="auto" w:sz="4" w:space="0"/>
                  </w:tcBorders>
                  <w:noWrap w:val="0"/>
                  <w:vAlign w:val="center"/>
                </w:tcPr>
                <w:p w14:paraId="75BAA0C9">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61E791B8">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袋装</w:t>
                  </w:r>
                </w:p>
              </w:tc>
              <w:tc>
                <w:tcPr>
                  <w:tcW w:w="356" w:type="pct"/>
                  <w:tcBorders>
                    <w:left w:val="single" w:color="auto" w:sz="4" w:space="0"/>
                    <w:right w:val="single" w:color="auto" w:sz="4" w:space="0"/>
                  </w:tcBorders>
                  <w:noWrap w:val="0"/>
                  <w:vAlign w:val="center"/>
                </w:tcPr>
                <w:p w14:paraId="70296DEF">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1t</w:t>
                  </w:r>
                </w:p>
              </w:tc>
              <w:tc>
                <w:tcPr>
                  <w:tcW w:w="587" w:type="pct"/>
                  <w:noWrap w:val="0"/>
                  <w:vAlign w:val="center"/>
                </w:tcPr>
                <w:p w14:paraId="5B3ECA4B">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ascii="Times New Roman" w:hAnsi="Times New Roman" w:eastAsia="宋体" w:cs="Times New Roman"/>
                      <w:color w:val="auto"/>
                      <w:kern w:val="2"/>
                      <w:sz w:val="21"/>
                      <w:szCs w:val="21"/>
                      <w:highlight w:val="none"/>
                      <w:lang w:val="en-US" w:eastAsia="zh-CN" w:bidi="ar-SA"/>
                    </w:rPr>
                  </w:pPr>
                  <w:r>
                    <w:rPr>
                      <w:color w:val="auto"/>
                      <w:sz w:val="21"/>
                      <w:szCs w:val="21"/>
                      <w:highlight w:val="none"/>
                    </w:rPr>
                    <w:t>12个月</w:t>
                  </w:r>
                </w:p>
              </w:tc>
            </w:tr>
            <w:tr w14:paraId="2ED0C4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cantSplit/>
                <w:trHeight w:val="567" w:hRule="atLeast"/>
                <w:jc w:val="center"/>
              </w:trPr>
              <w:tc>
                <w:tcPr>
                  <w:tcW w:w="0" w:type="auto"/>
                  <w:noWrap w:val="0"/>
                  <w:vAlign w:val="center"/>
                </w:tcPr>
                <w:p w14:paraId="4D966D5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default" w:eastAsia="宋体"/>
                      <w:color w:val="auto"/>
                      <w:sz w:val="21"/>
                      <w:szCs w:val="21"/>
                      <w:highlight w:val="none"/>
                      <w:lang w:val="en-US" w:eastAsia="zh-CN"/>
                    </w:rPr>
                  </w:pPr>
                  <w:r>
                    <w:rPr>
                      <w:rFonts w:hint="eastAsia"/>
                      <w:color w:val="auto"/>
                      <w:sz w:val="21"/>
                      <w:szCs w:val="21"/>
                      <w:highlight w:val="none"/>
                      <w:lang w:val="en-US" w:eastAsia="zh-CN"/>
                    </w:rPr>
                    <w:t>12</w:t>
                  </w:r>
                </w:p>
              </w:tc>
              <w:tc>
                <w:tcPr>
                  <w:tcW w:w="444" w:type="pct"/>
                  <w:tcBorders>
                    <w:left w:val="single" w:color="auto" w:sz="4" w:space="0"/>
                    <w:right w:val="single" w:color="auto" w:sz="4" w:space="0"/>
                  </w:tcBorders>
                  <w:noWrap w:val="0"/>
                  <w:vAlign w:val="center"/>
                </w:tcPr>
                <w:p w14:paraId="1C0EBEEC">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1028" w:type="pct"/>
                  <w:noWrap w:val="0"/>
                  <w:vAlign w:val="center"/>
                </w:tcPr>
                <w:p w14:paraId="4AA708FD">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生产工艺脱色废活性炭</w:t>
                  </w:r>
                </w:p>
              </w:tc>
              <w:tc>
                <w:tcPr>
                  <w:tcW w:w="514" w:type="pct"/>
                  <w:noWrap w:val="0"/>
                  <w:vAlign w:val="center"/>
                </w:tcPr>
                <w:p w14:paraId="7520057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HW49</w:t>
                  </w:r>
                </w:p>
              </w:tc>
              <w:tc>
                <w:tcPr>
                  <w:tcW w:w="696" w:type="pct"/>
                  <w:noWrap w:val="0"/>
                  <w:vAlign w:val="center"/>
                </w:tcPr>
                <w:p w14:paraId="397A98D3">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900-039-49</w:t>
                  </w:r>
                </w:p>
              </w:tc>
              <w:tc>
                <w:tcPr>
                  <w:tcW w:w="327" w:type="pct"/>
                  <w:tcBorders>
                    <w:left w:val="single" w:color="auto" w:sz="4" w:space="0"/>
                    <w:right w:val="single" w:color="auto" w:sz="4" w:space="0"/>
                  </w:tcBorders>
                  <w:noWrap w:val="0"/>
                  <w:vAlign w:val="center"/>
                </w:tcPr>
                <w:p w14:paraId="2CB6C3E3">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58" w:type="pct"/>
                  <w:tcBorders>
                    <w:left w:val="single" w:color="auto" w:sz="4" w:space="0"/>
                    <w:right w:val="single" w:color="auto" w:sz="4" w:space="0"/>
                  </w:tcBorders>
                  <w:noWrap w:val="0"/>
                  <w:vAlign w:val="center"/>
                </w:tcPr>
                <w:p w14:paraId="77ABB781">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color w:val="auto"/>
                      <w:sz w:val="21"/>
                      <w:szCs w:val="21"/>
                      <w:highlight w:val="none"/>
                    </w:rPr>
                  </w:pPr>
                </w:p>
              </w:tc>
              <w:tc>
                <w:tcPr>
                  <w:tcW w:w="376" w:type="pct"/>
                  <w:tcBorders>
                    <w:left w:val="single" w:color="auto" w:sz="4" w:space="0"/>
                    <w:right w:val="single" w:color="auto" w:sz="4" w:space="0"/>
                  </w:tcBorders>
                  <w:noWrap w:val="0"/>
                  <w:vAlign w:val="center"/>
                </w:tcPr>
                <w:p w14:paraId="258B174D">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eastAsia="zh-CN"/>
                    </w:rPr>
                    <w:t>袋装</w:t>
                  </w:r>
                </w:p>
              </w:tc>
              <w:tc>
                <w:tcPr>
                  <w:tcW w:w="356" w:type="pct"/>
                  <w:tcBorders>
                    <w:left w:val="single" w:color="auto" w:sz="4" w:space="0"/>
                    <w:right w:val="single" w:color="auto" w:sz="4" w:space="0"/>
                  </w:tcBorders>
                  <w:noWrap w:val="0"/>
                  <w:vAlign w:val="center"/>
                </w:tcPr>
                <w:p w14:paraId="2C631907">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20t</w:t>
                  </w:r>
                </w:p>
              </w:tc>
              <w:tc>
                <w:tcPr>
                  <w:tcW w:w="587" w:type="pct"/>
                  <w:noWrap w:val="0"/>
                  <w:vAlign w:val="center"/>
                </w:tcPr>
                <w:p w14:paraId="47E0FF62">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jc w:val="center"/>
                    <w:textAlignment w:val="baseline"/>
                    <w:rPr>
                      <w:rFonts w:hint="eastAsia" w:ascii="Times New Roman" w:hAnsi="Times New Roman" w:eastAsia="宋体" w:cs="Times New Roman"/>
                      <w:color w:val="auto"/>
                      <w:kern w:val="2"/>
                      <w:sz w:val="21"/>
                      <w:szCs w:val="21"/>
                      <w:highlight w:val="none"/>
                      <w:lang w:val="en-US" w:eastAsia="zh-CN" w:bidi="ar-SA"/>
                    </w:rPr>
                  </w:pPr>
                  <w:r>
                    <w:rPr>
                      <w:rFonts w:hint="eastAsia"/>
                      <w:color w:val="auto"/>
                      <w:sz w:val="21"/>
                      <w:szCs w:val="21"/>
                      <w:highlight w:val="none"/>
                      <w:lang w:val="en-US" w:eastAsia="zh-CN"/>
                    </w:rPr>
                    <w:t>3</w:t>
                  </w:r>
                  <w:r>
                    <w:rPr>
                      <w:color w:val="auto"/>
                      <w:sz w:val="21"/>
                      <w:szCs w:val="21"/>
                      <w:highlight w:val="none"/>
                    </w:rPr>
                    <w:t>个月</w:t>
                  </w:r>
                </w:p>
              </w:tc>
            </w:tr>
          </w:tbl>
          <w:p w14:paraId="03CAB6DA">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本项目产生的危险废物采用密闭容器分类、分区储存于</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内，并严格台账记录，定期委托有资质单位进行处理。危险废物产生后及时由专用车辆运至处置单位处理，减少在厂区暂存的时间，满足危险废物处置执行《危险废物贮存污染控制标准》</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GB18597-2023</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的相关要求。</w:t>
            </w:r>
          </w:p>
          <w:p w14:paraId="118B4C9D">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综上所述，本项目所产固废按照不同性质进行了分类处置，处置措施有效可行，因此本项目所产固废在处置过程中不会对区域环境产生影响。</w:t>
            </w:r>
          </w:p>
          <w:p w14:paraId="304838C7">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（2）危废贮存场所</w:t>
            </w:r>
          </w:p>
          <w:p w14:paraId="44D76812">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石家庄东华金龙化工有限公司危废暂存间位于厂内中部，建筑面积为216</w:t>
            </w:r>
            <w:r>
              <w:rPr>
                <w:rFonts w:hint="eastAsia" w:cs="Times New Roman"/>
                <w:b w:val="0"/>
                <w:bCs/>
                <w:color w:val="auto"/>
                <w:sz w:val="21"/>
                <w:szCs w:val="21"/>
                <w:highlight w:val="none"/>
                <w:lang w:val="en-US" w:eastAsia="zh-CN"/>
              </w:rPr>
              <w:t>m</w:t>
            </w:r>
            <w:r>
              <w:rPr>
                <w:rFonts w:hint="eastAsia" w:cs="Times New Roman"/>
                <w:b w:val="0"/>
                <w:bCs/>
                <w:color w:val="auto"/>
                <w:sz w:val="21"/>
                <w:szCs w:val="21"/>
                <w:highlight w:val="none"/>
                <w:vertAlign w:val="superscript"/>
                <w:lang w:val="en-US" w:eastAsia="zh-CN"/>
              </w:rPr>
              <w:t>2</w:t>
            </w:r>
            <w:r>
              <w:rPr>
                <w:rFonts w:hint="eastAsia" w:eastAsia="宋体" w:cs="Times New Roman"/>
                <w:b w:val="0"/>
                <w:bCs/>
                <w:color w:val="auto"/>
                <w:sz w:val="21"/>
                <w:szCs w:val="21"/>
                <w:highlight w:val="none"/>
                <w:lang w:val="en-US" w:eastAsia="zh-CN"/>
              </w:rPr>
              <w:t>；危废间满足《危险废物贮存污染控制标准》（GB18597-2023）中要求，危废暂存间能够容纳所产危险废物。</w:t>
            </w:r>
          </w:p>
          <w:p w14:paraId="027E20CD">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危废间外墙±0.000m以下采用混凝土实心砖水泥砂浆砌筑，±0.0m-1.2m采用加气混凝土砌块混合水泥砂浆砌筑；1.2m以上采用玻纤镁质凝胶防火板墙体。坡屋面用玻纤镁质凝胶防火防腐板屋面，危废间内按照危废类别不同进行区域划分，采用内隔墙隔开。危废间设置双锁，由双人进行管理。门口张贴标准规范的危废标识和危废信息板。危废间内张贴《危险废物管理制度》，各危废分区张贴标准规范的危废信息板。此外危废间内设置围堰、收集池、事故倒排沟等环境风险应急设施。</w:t>
            </w:r>
          </w:p>
          <w:p w14:paraId="357D3769">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危废间底部高于地下水最高水位，基础已严格按照《危险废物贮存污染控制标准》（GB18597-2023）进行了防渗处理（自上而下）</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5mm环氧砂浆面层，下铺1.0mm环氧玻璃钢隔离层；0.15mm环氧打底料2道；150mmC30细石混凝土垫层，内配单层，φ8钢筋网；铺设HDPE</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GCL复合防渗系统（2</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2mm厚高密度聚氯乙烯膜上、下，土工织物膨润土垫）；150mm3:7灰土；素土夯实，防渗层渗透系数小于1×10</w:t>
            </w:r>
            <w:r>
              <w:rPr>
                <w:rFonts w:hint="eastAsia" w:eastAsia="宋体" w:cs="Times New Roman"/>
                <w:b w:val="0"/>
                <w:bCs/>
                <w:color w:val="auto"/>
                <w:sz w:val="21"/>
                <w:szCs w:val="21"/>
                <w:highlight w:val="none"/>
                <w:vertAlign w:val="superscript"/>
                <w:lang w:val="en-US" w:eastAsia="zh-CN"/>
              </w:rPr>
              <w:t>-10</w:t>
            </w:r>
            <w:r>
              <w:rPr>
                <w:rFonts w:hint="eastAsia" w:eastAsia="宋体" w:cs="Times New Roman"/>
                <w:b w:val="0"/>
                <w:bCs/>
                <w:color w:val="auto"/>
                <w:sz w:val="21"/>
                <w:szCs w:val="21"/>
                <w:highlight w:val="none"/>
                <w:lang w:val="en-US" w:eastAsia="zh-CN"/>
              </w:rPr>
              <w:t>cm/s。</w:t>
            </w:r>
          </w:p>
          <w:p w14:paraId="4AABC700">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③环境影响分析</w:t>
            </w:r>
          </w:p>
          <w:p w14:paraId="05EC9B5C">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本项目所产危废暂存于</w:t>
            </w:r>
            <w:r>
              <w:rPr>
                <w:rFonts w:hint="eastAsia" w:cs="Times New Roman"/>
                <w:b w:val="0"/>
                <w:bCs/>
                <w:color w:val="auto"/>
                <w:sz w:val="21"/>
                <w:szCs w:val="21"/>
                <w:highlight w:val="none"/>
                <w:lang w:val="en-US" w:eastAsia="zh-CN"/>
              </w:rPr>
              <w:t>产内现有危废暂存间</w:t>
            </w:r>
            <w:r>
              <w:rPr>
                <w:rFonts w:hint="eastAsia" w:eastAsia="宋体" w:cs="Times New Roman"/>
                <w:b w:val="0"/>
                <w:bCs/>
                <w:color w:val="auto"/>
                <w:sz w:val="21"/>
                <w:szCs w:val="21"/>
                <w:highlight w:val="none"/>
                <w:lang w:val="en-US" w:eastAsia="zh-CN"/>
              </w:rPr>
              <w:t>内。危废在</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内暂存采用专门密闭容器储存，</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设置有专人进行管理，危险废物产生、处置、转运建立台账记录；</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按照《危险废物贮存污染控制标准》</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GB18597-2023</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进行防渗处理，防渗层渗透系数小于1×10</w:t>
            </w:r>
            <w:r>
              <w:rPr>
                <w:rFonts w:hint="eastAsia" w:eastAsia="宋体" w:cs="Times New Roman"/>
                <w:b w:val="0"/>
                <w:bCs/>
                <w:color w:val="auto"/>
                <w:sz w:val="21"/>
                <w:szCs w:val="21"/>
                <w:highlight w:val="none"/>
                <w:vertAlign w:val="superscript"/>
                <w:lang w:val="en-US" w:eastAsia="zh-CN"/>
              </w:rPr>
              <w:t>-10</w:t>
            </w:r>
            <w:r>
              <w:rPr>
                <w:rFonts w:hint="eastAsia" w:eastAsia="宋体" w:cs="Times New Roman"/>
                <w:b w:val="0"/>
                <w:bCs/>
                <w:color w:val="auto"/>
                <w:sz w:val="21"/>
                <w:szCs w:val="21"/>
                <w:highlight w:val="none"/>
                <w:lang w:val="en-US" w:eastAsia="zh-CN"/>
              </w:rPr>
              <w:t>cm/s，危废暂存间做到四防（防雨、防风、防晒、防渗漏），避免污染物泄漏，污染环境。</w:t>
            </w:r>
          </w:p>
          <w:p w14:paraId="5AEE199C">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在全面落实上述措施后，项目危废可全部妥善得到暂存和无害化处置，因此不会对环境产生影响。</w:t>
            </w:r>
          </w:p>
          <w:p w14:paraId="38312A64">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（3）运输过程环境影响</w:t>
            </w:r>
          </w:p>
          <w:p w14:paraId="2756E769">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项目所产危险废物从产生危废的环节运输到</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的过程中采用密闭桶装收集运输，不得散装，转移过程避免危废散落、泄漏引起的环境影响。在项目危险废物运至有资质单位处置的运输过程中，优化运输路线，最大限度避开沿线环境敏感点，由专业具有资质的运输单位运输，以减少对环境敏感点环境影响。在全面落实上述措施后，项目所产危废运输过程不会对环境产生影响。</w:t>
            </w:r>
          </w:p>
          <w:p w14:paraId="38B0381E">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通过采取以上固体废物处置措施，可实现全部固废妥善处置，对区域环境不会产生明显不利影响。</w:t>
            </w:r>
          </w:p>
          <w:p w14:paraId="45791BE8">
            <w:pPr>
              <w:adjustRightInd/>
              <w:snapToGrid/>
              <w:spacing w:beforeLines="0" w:afterLines="0" w:line="360" w:lineRule="auto"/>
              <w:ind w:firstLine="422" w:firstLineChars="200"/>
              <w:rPr>
                <w:rFonts w:hint="eastAsia" w:eastAsia="宋体" w:cs="Times New Roman"/>
                <w:b/>
                <w:bCs w:val="0"/>
                <w:color w:val="auto"/>
                <w:sz w:val="21"/>
                <w:szCs w:val="21"/>
                <w:highlight w:val="none"/>
                <w:lang w:val="en-US" w:eastAsia="zh-CN"/>
              </w:rPr>
            </w:pPr>
            <w:r>
              <w:rPr>
                <w:rFonts w:hint="eastAsia" w:cs="Times New Roman"/>
                <w:b/>
                <w:bCs w:val="0"/>
                <w:color w:val="auto"/>
                <w:sz w:val="21"/>
                <w:szCs w:val="21"/>
                <w:highlight w:val="none"/>
                <w:lang w:val="en-US" w:eastAsia="zh-CN"/>
              </w:rPr>
              <w:t>（五）</w:t>
            </w:r>
            <w:r>
              <w:rPr>
                <w:rFonts w:hint="eastAsia" w:eastAsia="宋体" w:cs="Times New Roman"/>
                <w:b/>
                <w:bCs w:val="0"/>
                <w:color w:val="auto"/>
                <w:sz w:val="21"/>
                <w:szCs w:val="21"/>
                <w:highlight w:val="none"/>
                <w:lang w:val="en-US" w:eastAsia="zh-CN"/>
              </w:rPr>
              <w:t>地下水、土壤</w:t>
            </w:r>
          </w:p>
          <w:p w14:paraId="2679EDF3">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项目环境影响类型为</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污染影响型</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，项目废气主要为颗粒物</w:t>
            </w:r>
            <w:r>
              <w:rPr>
                <w:rFonts w:hint="eastAsia" w:cs="Times New Roman"/>
                <w:b w:val="0"/>
                <w:bCs/>
                <w:color w:val="auto"/>
                <w:sz w:val="21"/>
                <w:szCs w:val="21"/>
                <w:highlight w:val="none"/>
                <w:lang w:val="en-US" w:eastAsia="zh-CN"/>
              </w:rPr>
              <w:t>、氨、硫化氢</w:t>
            </w:r>
            <w:r>
              <w:rPr>
                <w:rFonts w:hint="eastAsia" w:eastAsia="宋体" w:cs="Times New Roman"/>
                <w:b w:val="0"/>
                <w:bCs/>
                <w:color w:val="auto"/>
                <w:sz w:val="21"/>
                <w:szCs w:val="21"/>
                <w:highlight w:val="none"/>
                <w:lang w:val="en-US" w:eastAsia="zh-CN"/>
              </w:rPr>
              <w:t>，无重金属，不涉及大气沉降影响。项目</w:t>
            </w:r>
            <w:r>
              <w:rPr>
                <w:rFonts w:hint="eastAsia" w:cs="Times New Roman"/>
                <w:b w:val="0"/>
                <w:bCs/>
                <w:color w:val="auto"/>
                <w:sz w:val="21"/>
                <w:szCs w:val="21"/>
                <w:highlight w:val="none"/>
                <w:lang w:val="en-US" w:eastAsia="zh-CN"/>
              </w:rPr>
              <w:t>生产废水</w:t>
            </w:r>
            <w:r>
              <w:rPr>
                <w:rFonts w:hint="eastAsia" w:eastAsia="宋体" w:cs="Times New Roman"/>
                <w:b w:val="0"/>
                <w:bCs/>
                <w:color w:val="auto"/>
                <w:sz w:val="21"/>
                <w:szCs w:val="21"/>
                <w:highlight w:val="none"/>
                <w:lang w:val="en-US" w:eastAsia="zh-CN"/>
              </w:rPr>
              <w:t>排入厂</w:t>
            </w:r>
            <w:r>
              <w:rPr>
                <w:rFonts w:hint="eastAsia" w:cs="Times New Roman"/>
                <w:b w:val="0"/>
                <w:bCs/>
                <w:color w:val="auto"/>
                <w:sz w:val="21"/>
                <w:szCs w:val="21"/>
                <w:highlight w:val="none"/>
                <w:lang w:val="en-US" w:eastAsia="zh-CN"/>
              </w:rPr>
              <w:t>综合</w:t>
            </w:r>
            <w:r>
              <w:rPr>
                <w:rFonts w:hint="eastAsia" w:eastAsia="宋体" w:cs="Times New Roman"/>
                <w:b w:val="0"/>
                <w:bCs/>
                <w:color w:val="auto"/>
                <w:sz w:val="21"/>
                <w:szCs w:val="21"/>
                <w:highlight w:val="none"/>
                <w:lang w:val="en-US" w:eastAsia="zh-CN"/>
              </w:rPr>
              <w:t>污水处理</w:t>
            </w:r>
            <w:r>
              <w:rPr>
                <w:rFonts w:hint="eastAsia" w:cs="Times New Roman"/>
                <w:b w:val="0"/>
                <w:bCs/>
                <w:color w:val="auto"/>
                <w:sz w:val="21"/>
                <w:szCs w:val="21"/>
                <w:highlight w:val="none"/>
                <w:lang w:val="en-US" w:eastAsia="zh-CN"/>
              </w:rPr>
              <w:t>站</w:t>
            </w:r>
            <w:r>
              <w:rPr>
                <w:rFonts w:hint="eastAsia" w:eastAsia="宋体" w:cs="Times New Roman"/>
                <w:b w:val="0"/>
                <w:bCs/>
                <w:color w:val="auto"/>
                <w:sz w:val="21"/>
                <w:szCs w:val="21"/>
                <w:highlight w:val="none"/>
                <w:lang w:val="en-US" w:eastAsia="zh-CN"/>
              </w:rPr>
              <w:t>处理，处理达标后经</w:t>
            </w:r>
            <w:r>
              <w:rPr>
                <w:rFonts w:hint="eastAsia" w:cs="Times New Roman"/>
                <w:b w:val="0"/>
                <w:bCs/>
                <w:color w:val="auto"/>
                <w:sz w:val="21"/>
                <w:szCs w:val="21"/>
                <w:highlight w:val="none"/>
                <w:lang w:val="en-US" w:eastAsia="zh-CN"/>
              </w:rPr>
              <w:t>园区</w:t>
            </w:r>
            <w:r>
              <w:rPr>
                <w:rFonts w:hint="eastAsia" w:eastAsia="宋体" w:cs="Times New Roman"/>
                <w:b w:val="0"/>
                <w:bCs/>
                <w:color w:val="auto"/>
                <w:sz w:val="21"/>
                <w:szCs w:val="21"/>
                <w:highlight w:val="none"/>
                <w:lang w:val="en-US" w:eastAsia="zh-CN"/>
              </w:rPr>
              <w:t>污水管网排入</w:t>
            </w:r>
            <w:r>
              <w:rPr>
                <w:rFonts w:hint="eastAsia" w:cs="Times New Roman"/>
                <w:b w:val="0"/>
                <w:bCs/>
                <w:color w:val="auto"/>
                <w:sz w:val="21"/>
                <w:szCs w:val="21"/>
                <w:highlight w:val="none"/>
                <w:lang w:val="en-US" w:eastAsia="zh-CN"/>
              </w:rPr>
              <w:t>石家庄高新区循化环境水务有限公司（良村南污水处理厂）</w:t>
            </w:r>
            <w:r>
              <w:rPr>
                <w:rFonts w:hint="eastAsia" w:eastAsia="宋体" w:cs="Times New Roman"/>
                <w:b w:val="0"/>
                <w:bCs/>
                <w:color w:val="auto"/>
                <w:sz w:val="21"/>
                <w:szCs w:val="21"/>
                <w:highlight w:val="none"/>
                <w:lang w:val="en-US" w:eastAsia="zh-CN"/>
              </w:rPr>
              <w:t>进一步处理，不外排，不涉及地面漫流影响；评价要求项目单位采取防渗措施，切断污染物进入地下水和土壤环境的途径。</w:t>
            </w:r>
          </w:p>
          <w:p w14:paraId="5C03BC72">
            <w:pPr>
              <w:adjustRightInd/>
              <w:snapToGrid/>
              <w:spacing w:beforeLines="0" w:afterLines="0" w:line="360" w:lineRule="auto"/>
              <w:ind w:firstLine="420" w:firstLineChars="200"/>
              <w:rPr>
                <w:rFonts w:hint="eastAsia" w:ascii="Times New Roman" w:hAnsi="Times New Roman"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为预防项目生产中污染物可能对地下水和土壤造成污染影响，</w:t>
            </w:r>
            <w:r>
              <w:rPr>
                <w:rFonts w:hint="eastAsia" w:cs="Times New Roman"/>
                <w:b w:val="0"/>
                <w:bCs/>
                <w:color w:val="auto"/>
                <w:sz w:val="21"/>
                <w:szCs w:val="21"/>
                <w:highlight w:val="none"/>
                <w:lang w:val="en-US" w:eastAsia="zh-CN"/>
              </w:rPr>
              <w:t>本项目所涉及的</w:t>
            </w:r>
            <w:r>
              <w:rPr>
                <w:rFonts w:hint="eastAsia" w:eastAsia="宋体" w:cs="Times New Roman"/>
                <w:b w:val="0"/>
                <w:bCs/>
                <w:color w:val="auto"/>
                <w:sz w:val="21"/>
                <w:szCs w:val="21"/>
                <w:highlight w:val="none"/>
                <w:lang w:val="en-US" w:eastAsia="zh-CN"/>
              </w:rPr>
              <w:t>生产区</w:t>
            </w:r>
            <w:r>
              <w:rPr>
                <w:rFonts w:hint="eastAsia" w:cs="Times New Roman"/>
                <w:b w:val="0"/>
                <w:bCs/>
                <w:color w:val="auto"/>
                <w:sz w:val="21"/>
                <w:szCs w:val="21"/>
                <w:highlight w:val="none"/>
                <w:lang w:val="en-US" w:eastAsia="zh-CN"/>
              </w:rPr>
              <w:t>防渗分区识别情况见下表</w:t>
            </w:r>
            <w:r>
              <w:rPr>
                <w:rFonts w:hint="eastAsia" w:ascii="Times New Roman" w:hAnsi="Times New Roman" w:eastAsia="宋体" w:cs="Times New Roman"/>
                <w:b w:val="0"/>
                <w:bCs/>
                <w:color w:val="auto"/>
                <w:sz w:val="21"/>
                <w:szCs w:val="21"/>
                <w:highlight w:val="none"/>
                <w:lang w:val="en-US" w:eastAsia="zh-CN"/>
              </w:rPr>
              <w:t>：</w:t>
            </w:r>
          </w:p>
          <w:p w14:paraId="43427072">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eastAsia" w:ascii="Times New Roman" w:hAnsi="Times New Roman" w:eastAsia="宋体" w:cs="Times New Roman"/>
                <w:b/>
                <w:bCs w:val="0"/>
                <w:color w:val="auto"/>
                <w:sz w:val="21"/>
                <w:szCs w:val="21"/>
                <w:highlight w:val="none"/>
                <w:lang w:val="en-US" w:eastAsia="zh-CN"/>
              </w:rPr>
              <w:t>表 4-1</w:t>
            </w:r>
            <w:r>
              <w:rPr>
                <w:rFonts w:hint="eastAsia" w:cs="Times New Roman"/>
                <w:b/>
                <w:bCs w:val="0"/>
                <w:color w:val="auto"/>
                <w:sz w:val="21"/>
                <w:szCs w:val="21"/>
                <w:highlight w:val="none"/>
                <w:lang w:val="en-US" w:eastAsia="zh-CN"/>
              </w:rPr>
              <w:t>8</w:t>
            </w:r>
            <w:r>
              <w:rPr>
                <w:rFonts w:hint="eastAsia" w:ascii="Times New Roman" w:hAnsi="Times New Roman" w:eastAsia="宋体" w:cs="Times New Roman"/>
                <w:b/>
                <w:bCs w:val="0"/>
                <w:color w:val="auto"/>
                <w:sz w:val="21"/>
                <w:szCs w:val="21"/>
                <w:highlight w:val="none"/>
                <w:lang w:val="en-US" w:eastAsia="zh-CN"/>
              </w:rPr>
              <w:t xml:space="preserve"> 防渗分区识别</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8"/>
              <w:gridCol w:w="878"/>
              <w:gridCol w:w="2169"/>
              <w:gridCol w:w="4045"/>
              <w:gridCol w:w="772"/>
            </w:tblGrid>
            <w:tr w14:paraId="6E88D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331" w:type="pct"/>
                  <w:tcBorders>
                    <w:top w:val="single" w:color="auto" w:sz="4" w:space="0"/>
                    <w:left w:val="single" w:color="auto" w:sz="4" w:space="0"/>
                    <w:bottom w:val="single" w:color="auto" w:sz="4" w:space="0"/>
                    <w:right w:val="single" w:color="auto" w:sz="4" w:space="0"/>
                  </w:tcBorders>
                  <w:vAlign w:val="center"/>
                </w:tcPr>
                <w:p w14:paraId="499A1F60">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序号</w:t>
                  </w:r>
                </w:p>
              </w:tc>
              <w:tc>
                <w:tcPr>
                  <w:tcW w:w="521" w:type="pct"/>
                  <w:tcBorders>
                    <w:top w:val="single" w:color="auto" w:sz="4" w:space="0"/>
                    <w:left w:val="single" w:color="auto" w:sz="4" w:space="0"/>
                    <w:bottom w:val="single" w:color="auto" w:sz="4" w:space="0"/>
                    <w:right w:val="single" w:color="auto" w:sz="4" w:space="0"/>
                  </w:tcBorders>
                  <w:vAlign w:val="center"/>
                </w:tcPr>
                <w:p w14:paraId="372BF1F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类别</w:t>
                  </w:r>
                </w:p>
              </w:tc>
              <w:tc>
                <w:tcPr>
                  <w:tcW w:w="1287" w:type="pct"/>
                  <w:tcBorders>
                    <w:top w:val="single" w:color="auto" w:sz="4" w:space="0"/>
                    <w:left w:val="single" w:color="auto" w:sz="4" w:space="0"/>
                    <w:bottom w:val="single" w:color="auto" w:sz="4" w:space="0"/>
                    <w:right w:val="single" w:color="auto" w:sz="4" w:space="0"/>
                  </w:tcBorders>
                  <w:vAlign w:val="center"/>
                </w:tcPr>
                <w:p w14:paraId="00B6F5A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区域</w:t>
                  </w:r>
                </w:p>
              </w:tc>
              <w:tc>
                <w:tcPr>
                  <w:tcW w:w="2400" w:type="pct"/>
                  <w:tcBorders>
                    <w:top w:val="single" w:color="auto" w:sz="4" w:space="0"/>
                    <w:left w:val="single" w:color="auto" w:sz="4" w:space="0"/>
                    <w:bottom w:val="single" w:color="auto" w:sz="4" w:space="0"/>
                    <w:right w:val="single" w:color="auto" w:sz="4" w:space="0"/>
                  </w:tcBorders>
                  <w:vAlign w:val="center"/>
                </w:tcPr>
                <w:p w14:paraId="500520D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防渗要求</w:t>
                  </w:r>
                </w:p>
              </w:tc>
              <w:tc>
                <w:tcPr>
                  <w:tcW w:w="458" w:type="pct"/>
                  <w:tcBorders>
                    <w:top w:val="single" w:color="auto" w:sz="4" w:space="0"/>
                    <w:left w:val="single" w:color="auto" w:sz="4" w:space="0"/>
                    <w:bottom w:val="single" w:color="auto" w:sz="4" w:space="0"/>
                    <w:right w:val="single" w:color="auto" w:sz="4" w:space="0"/>
                  </w:tcBorders>
                  <w:vAlign w:val="center"/>
                </w:tcPr>
                <w:p w14:paraId="024B33AA">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备注</w:t>
                  </w:r>
                </w:p>
              </w:tc>
            </w:tr>
            <w:tr w14:paraId="20870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1" w:type="pct"/>
                  <w:vMerge w:val="restart"/>
                  <w:tcBorders>
                    <w:top w:val="single" w:color="auto" w:sz="4" w:space="0"/>
                    <w:left w:val="single" w:color="auto" w:sz="4" w:space="0"/>
                    <w:right w:val="single" w:color="auto" w:sz="4" w:space="0"/>
                  </w:tcBorders>
                  <w:vAlign w:val="center"/>
                </w:tcPr>
                <w:p w14:paraId="3CE0092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1</w:t>
                  </w:r>
                </w:p>
              </w:tc>
              <w:tc>
                <w:tcPr>
                  <w:tcW w:w="521" w:type="pct"/>
                  <w:vMerge w:val="restart"/>
                  <w:tcBorders>
                    <w:top w:val="single" w:color="auto" w:sz="4" w:space="0"/>
                    <w:left w:val="single" w:color="auto" w:sz="4" w:space="0"/>
                    <w:right w:val="single" w:color="auto" w:sz="4" w:space="0"/>
                  </w:tcBorders>
                  <w:vAlign w:val="center"/>
                </w:tcPr>
                <w:p w14:paraId="67C87335">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重点防渗区</w:t>
                  </w:r>
                </w:p>
              </w:tc>
              <w:tc>
                <w:tcPr>
                  <w:tcW w:w="1287" w:type="pct"/>
                  <w:tcBorders>
                    <w:top w:val="single" w:color="auto" w:sz="4" w:space="0"/>
                    <w:left w:val="single" w:color="auto" w:sz="4" w:space="0"/>
                    <w:bottom w:val="single" w:color="auto" w:sz="4" w:space="0"/>
                    <w:right w:val="single" w:color="auto" w:sz="4" w:space="0"/>
                  </w:tcBorders>
                  <w:vAlign w:val="center"/>
                </w:tcPr>
                <w:p w14:paraId="520FB4A2">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危废暂存间</w:t>
                  </w:r>
                </w:p>
              </w:tc>
              <w:tc>
                <w:tcPr>
                  <w:tcW w:w="2400" w:type="pct"/>
                  <w:vMerge w:val="restart"/>
                  <w:tcBorders>
                    <w:top w:val="single" w:color="auto" w:sz="4" w:space="0"/>
                    <w:left w:val="single" w:color="auto" w:sz="4" w:space="0"/>
                    <w:right w:val="single" w:color="auto" w:sz="4" w:space="0"/>
                  </w:tcBorders>
                  <w:vAlign w:val="center"/>
                </w:tcPr>
                <w:p w14:paraId="38458E5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等效黏土防渗层Mb≥6.0m，K≤1×10</w:t>
                  </w:r>
                  <w:r>
                    <w:rPr>
                      <w:rFonts w:hint="default" w:ascii="Times New Roman" w:hAnsi="Times New Roman" w:eastAsia="宋体" w:cs="Times New Roman"/>
                      <w:color w:val="auto"/>
                      <w:kern w:val="0"/>
                      <w:sz w:val="21"/>
                      <w:szCs w:val="21"/>
                      <w:highlight w:val="none"/>
                      <w:vertAlign w:val="superscript"/>
                    </w:rPr>
                    <w:t>-7</w:t>
                  </w:r>
                  <w:r>
                    <w:rPr>
                      <w:rFonts w:hint="default" w:ascii="Times New Roman" w:hAnsi="Times New Roman" w:eastAsia="宋体" w:cs="Times New Roman"/>
                      <w:color w:val="auto"/>
                      <w:kern w:val="0"/>
                      <w:sz w:val="21"/>
                      <w:szCs w:val="21"/>
                      <w:highlight w:val="none"/>
                    </w:rPr>
                    <w:t>cm/s；或参照GB18598执行</w:t>
                  </w:r>
                </w:p>
              </w:tc>
              <w:tc>
                <w:tcPr>
                  <w:tcW w:w="458" w:type="pct"/>
                  <w:tcBorders>
                    <w:top w:val="single" w:color="auto" w:sz="4" w:space="0"/>
                    <w:left w:val="single" w:color="auto" w:sz="4" w:space="0"/>
                    <w:bottom w:val="single" w:color="auto" w:sz="4" w:space="0"/>
                    <w:right w:val="single" w:color="auto" w:sz="4" w:space="0"/>
                  </w:tcBorders>
                  <w:vAlign w:val="center"/>
                </w:tcPr>
                <w:p w14:paraId="5A0E0E3D">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依托现有</w:t>
                  </w:r>
                </w:p>
              </w:tc>
            </w:tr>
            <w:tr w14:paraId="15076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1" w:type="pct"/>
                  <w:vMerge w:val="continue"/>
                  <w:tcBorders>
                    <w:left w:val="single" w:color="auto" w:sz="4" w:space="0"/>
                    <w:bottom w:val="single" w:color="auto" w:sz="4" w:space="0"/>
                    <w:right w:val="single" w:color="auto" w:sz="4" w:space="0"/>
                  </w:tcBorders>
                  <w:vAlign w:val="center"/>
                </w:tcPr>
                <w:p w14:paraId="7F295609">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p>
              </w:tc>
              <w:tc>
                <w:tcPr>
                  <w:tcW w:w="521" w:type="pct"/>
                  <w:vMerge w:val="continue"/>
                  <w:tcBorders>
                    <w:left w:val="single" w:color="auto" w:sz="4" w:space="0"/>
                    <w:bottom w:val="single" w:color="auto" w:sz="4" w:space="0"/>
                    <w:right w:val="single" w:color="auto" w:sz="4" w:space="0"/>
                  </w:tcBorders>
                  <w:vAlign w:val="center"/>
                </w:tcPr>
                <w:p w14:paraId="0CFDB498">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p>
              </w:tc>
              <w:tc>
                <w:tcPr>
                  <w:tcW w:w="1287" w:type="pct"/>
                  <w:tcBorders>
                    <w:top w:val="single" w:color="auto" w:sz="4" w:space="0"/>
                    <w:left w:val="single" w:color="auto" w:sz="4" w:space="0"/>
                    <w:bottom w:val="single" w:color="auto" w:sz="4" w:space="0"/>
                    <w:right w:val="single" w:color="auto" w:sz="4" w:space="0"/>
                  </w:tcBorders>
                  <w:vAlign w:val="center"/>
                </w:tcPr>
                <w:p w14:paraId="625565CC">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0"/>
                      <w:sz w:val="21"/>
                      <w:szCs w:val="21"/>
                      <w:highlight w:val="none"/>
                      <w:lang w:eastAsia="zh-CN"/>
                    </w:rPr>
                  </w:pPr>
                  <w:r>
                    <w:rPr>
                      <w:rFonts w:hint="eastAsia" w:cs="Times New Roman"/>
                      <w:color w:val="auto"/>
                      <w:kern w:val="0"/>
                      <w:sz w:val="21"/>
                      <w:szCs w:val="21"/>
                      <w:highlight w:val="none"/>
                      <w:lang w:eastAsia="zh-CN"/>
                    </w:rPr>
                    <w:t>甘氨酸螯合物一车间地面</w:t>
                  </w:r>
                </w:p>
              </w:tc>
              <w:tc>
                <w:tcPr>
                  <w:tcW w:w="2400" w:type="pct"/>
                  <w:vMerge w:val="continue"/>
                  <w:tcBorders>
                    <w:left w:val="single" w:color="auto" w:sz="4" w:space="0"/>
                    <w:bottom w:val="single" w:color="auto" w:sz="4" w:space="0"/>
                    <w:right w:val="single" w:color="auto" w:sz="4" w:space="0"/>
                  </w:tcBorders>
                  <w:vAlign w:val="center"/>
                </w:tcPr>
                <w:p w14:paraId="11370704">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p>
              </w:tc>
              <w:tc>
                <w:tcPr>
                  <w:tcW w:w="458" w:type="pct"/>
                  <w:tcBorders>
                    <w:top w:val="single" w:color="auto" w:sz="4" w:space="0"/>
                    <w:left w:val="single" w:color="auto" w:sz="4" w:space="0"/>
                    <w:bottom w:val="single" w:color="auto" w:sz="4" w:space="0"/>
                    <w:right w:val="single" w:color="auto" w:sz="4" w:space="0"/>
                  </w:tcBorders>
                  <w:vAlign w:val="center"/>
                </w:tcPr>
                <w:p w14:paraId="50649A87">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rPr>
                    <w:t>依托现有</w:t>
                  </w:r>
                </w:p>
              </w:tc>
            </w:tr>
          </w:tbl>
          <w:p w14:paraId="245B5E1B">
            <w:pPr>
              <w:adjustRightInd/>
              <w:snapToGrid/>
              <w:spacing w:beforeLines="0" w:afterLines="0" w:line="360" w:lineRule="auto"/>
              <w:ind w:firstLine="420" w:firstLineChars="200"/>
              <w:rPr>
                <w:rFonts w:hint="eastAsia"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重点防渗区</w:t>
            </w:r>
            <w:r>
              <w:rPr>
                <w:rFonts w:hint="eastAsia" w:cs="Times New Roman"/>
                <w:b w:val="0"/>
                <w:bCs/>
                <w:color w:val="auto"/>
                <w:sz w:val="21"/>
                <w:szCs w:val="21"/>
                <w:highlight w:val="none"/>
                <w:lang w:val="en-US" w:eastAsia="zh-CN"/>
              </w:rPr>
              <w:t>：</w:t>
            </w:r>
            <w:r>
              <w:rPr>
                <w:rFonts w:hint="eastAsia" w:ascii="Times New Roman" w:hAnsi="Times New Roman" w:eastAsia="宋体" w:cs="Times New Roman"/>
                <w:b w:val="0"/>
                <w:bCs/>
                <w:color w:val="auto"/>
                <w:sz w:val="21"/>
                <w:szCs w:val="21"/>
                <w:highlight w:val="none"/>
                <w:lang w:val="en-US" w:eastAsia="zh-CN"/>
              </w:rPr>
              <w:t>根据《环境影响评价技术导则 地下水环境》（HJ610-2016）中重点防渗区防渗技术要求，重点防渗层的防渗性能应不低于6m厚渗透系数为1.0×10</w:t>
            </w:r>
            <w:r>
              <w:rPr>
                <w:rFonts w:hint="eastAsia" w:ascii="Times New Roman" w:hAnsi="Times New Roman" w:eastAsia="宋体" w:cs="Times New Roman"/>
                <w:b w:val="0"/>
                <w:bCs/>
                <w:color w:val="auto"/>
                <w:sz w:val="21"/>
                <w:szCs w:val="21"/>
                <w:highlight w:val="none"/>
                <w:vertAlign w:val="superscript"/>
                <w:lang w:val="en-US" w:eastAsia="zh-CN"/>
              </w:rPr>
              <w:t>-7</w:t>
            </w:r>
            <w:r>
              <w:rPr>
                <w:rFonts w:hint="eastAsia" w:ascii="Times New Roman" w:hAnsi="Times New Roman" w:eastAsia="宋体" w:cs="Times New Roman"/>
                <w:b w:val="0"/>
                <w:bCs/>
                <w:color w:val="auto"/>
                <w:sz w:val="21"/>
                <w:szCs w:val="21"/>
                <w:highlight w:val="none"/>
                <w:lang w:val="en-US" w:eastAsia="zh-CN"/>
              </w:rPr>
              <w:t>cm/s的等效黏土层的防渗性能。本评价要求项目危废暂存间，</w:t>
            </w:r>
            <w:r>
              <w:rPr>
                <w:rFonts w:hint="eastAsia" w:cs="Times New Roman"/>
                <w:b w:val="0"/>
                <w:bCs/>
                <w:color w:val="auto"/>
                <w:sz w:val="21"/>
                <w:szCs w:val="21"/>
                <w:highlight w:val="none"/>
                <w:lang w:val="en-US" w:eastAsia="zh-CN"/>
              </w:rPr>
              <w:t>甘氨酸螯合物一车间地面</w:t>
            </w:r>
            <w:r>
              <w:rPr>
                <w:rFonts w:hint="eastAsia" w:ascii="Times New Roman" w:hAnsi="Times New Roman" w:eastAsia="宋体" w:cs="Times New Roman"/>
                <w:b w:val="0"/>
                <w:bCs/>
                <w:color w:val="auto"/>
                <w:sz w:val="21"/>
                <w:szCs w:val="21"/>
                <w:highlight w:val="none"/>
                <w:lang w:val="en-US" w:eastAsia="zh-CN"/>
              </w:rPr>
              <w:t>采取重点防渗措施，</w:t>
            </w:r>
          </w:p>
          <w:p w14:paraId="02D2BBE0">
            <w:pPr>
              <w:adjustRightInd/>
              <w:snapToGrid/>
              <w:spacing w:beforeLines="0" w:afterLines="0" w:line="360" w:lineRule="auto"/>
              <w:ind w:firstLine="420" w:firstLineChars="200"/>
              <w:rPr>
                <w:rFonts w:hint="eastAsia" w:ascii="Times New Roman" w:hAnsi="Times New Roman" w:eastAsia="宋体" w:cs="Times New Roman"/>
                <w:b w:val="0"/>
                <w:bCs/>
                <w:color w:val="auto"/>
                <w:sz w:val="21"/>
                <w:szCs w:val="21"/>
                <w:highlight w:val="none"/>
                <w:lang w:val="en-US" w:eastAsia="zh-CN"/>
              </w:rPr>
            </w:pPr>
            <w:r>
              <w:rPr>
                <w:rFonts w:hint="eastAsia" w:ascii="Times New Roman" w:hAnsi="Times New Roman" w:eastAsia="宋体" w:cs="Times New Roman"/>
                <w:b w:val="0"/>
                <w:bCs/>
                <w:color w:val="auto"/>
                <w:sz w:val="21"/>
                <w:szCs w:val="21"/>
                <w:highlight w:val="none"/>
                <w:lang w:val="en-US" w:eastAsia="zh-CN"/>
              </w:rPr>
              <w:t>综上，本项目对可能产生的土壤、地下水污染途径进行有效预防，在确保各项防渗措施得到落实，并加强维护和管理的前提下，可有效防止土壤、地下水污染情况的发生，因此项目不会对区域土壤及地下水环境产生明显影响。</w:t>
            </w:r>
          </w:p>
          <w:p w14:paraId="1D6262A4">
            <w:pPr>
              <w:adjustRightInd/>
              <w:snapToGrid/>
              <w:spacing w:beforeLines="0" w:afterLines="0" w:line="360" w:lineRule="auto"/>
              <w:ind w:firstLine="422" w:firstLineChars="200"/>
              <w:rPr>
                <w:rFonts w:hint="eastAsia" w:eastAsia="宋体" w:cs="Times New Roman"/>
                <w:b/>
                <w:bCs w:val="0"/>
                <w:color w:val="auto"/>
                <w:sz w:val="21"/>
                <w:szCs w:val="21"/>
                <w:highlight w:val="none"/>
                <w:lang w:val="en-US" w:eastAsia="zh-CN"/>
              </w:rPr>
            </w:pPr>
            <w:r>
              <w:rPr>
                <w:rFonts w:hint="eastAsia" w:cs="Times New Roman"/>
                <w:b/>
                <w:bCs w:val="0"/>
                <w:color w:val="auto"/>
                <w:sz w:val="21"/>
                <w:szCs w:val="21"/>
                <w:highlight w:val="none"/>
                <w:lang w:val="en-US" w:eastAsia="zh-CN"/>
              </w:rPr>
              <w:t>（六）</w:t>
            </w:r>
            <w:r>
              <w:rPr>
                <w:rFonts w:hint="eastAsia" w:eastAsia="宋体" w:cs="Times New Roman"/>
                <w:b/>
                <w:bCs w:val="0"/>
                <w:color w:val="auto"/>
                <w:sz w:val="21"/>
                <w:szCs w:val="21"/>
                <w:highlight w:val="none"/>
                <w:lang w:val="en-US" w:eastAsia="zh-CN"/>
              </w:rPr>
              <w:t>生态环境影响分析</w:t>
            </w:r>
          </w:p>
          <w:p w14:paraId="0BC0889E">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项目用地范围内无自然保护区、世界文化遗产、自然遗产等特殊生态敏感区和风景名胜区、森林公园、地质公园、重要湿地、原始天然林、珍稀濒危野生动植物天然集中分布区等重要生态敏感区等生态环境保护目标。因此本项目不会对周边生态环境产生影响。</w:t>
            </w:r>
          </w:p>
          <w:p w14:paraId="1FA75873">
            <w:pPr>
              <w:adjustRightInd/>
              <w:snapToGrid/>
              <w:spacing w:beforeLines="0" w:afterLines="0" w:line="360" w:lineRule="auto"/>
              <w:ind w:firstLine="422" w:firstLineChars="200"/>
              <w:rPr>
                <w:rFonts w:hint="eastAsia" w:eastAsia="宋体" w:cs="Times New Roman"/>
                <w:b/>
                <w:bCs w:val="0"/>
                <w:color w:val="auto"/>
                <w:sz w:val="21"/>
                <w:szCs w:val="21"/>
                <w:highlight w:val="none"/>
                <w:lang w:val="en-US" w:eastAsia="zh-CN"/>
              </w:rPr>
            </w:pPr>
            <w:r>
              <w:rPr>
                <w:rFonts w:hint="eastAsia" w:cs="Times New Roman"/>
                <w:b/>
                <w:bCs w:val="0"/>
                <w:color w:val="auto"/>
                <w:sz w:val="21"/>
                <w:szCs w:val="21"/>
                <w:highlight w:val="none"/>
                <w:lang w:val="en-US" w:eastAsia="zh-CN"/>
              </w:rPr>
              <w:t>（七）</w:t>
            </w:r>
            <w:r>
              <w:rPr>
                <w:rFonts w:hint="eastAsia" w:eastAsia="宋体" w:cs="Times New Roman"/>
                <w:b/>
                <w:bCs w:val="0"/>
                <w:color w:val="auto"/>
                <w:sz w:val="21"/>
                <w:szCs w:val="21"/>
                <w:highlight w:val="none"/>
                <w:lang w:val="en-US" w:eastAsia="zh-CN"/>
              </w:rPr>
              <w:t>环境风险</w:t>
            </w:r>
          </w:p>
          <w:p w14:paraId="6AF5C30C">
            <w:pPr>
              <w:keepNext w:val="0"/>
              <w:keepLines w:val="0"/>
              <w:pageBreakBefore w:val="0"/>
              <w:widowControl w:val="0"/>
              <w:kinsoku/>
              <w:wordWrap/>
              <w:overflowPunct/>
              <w:topLinePunct w:val="0"/>
              <w:autoSpaceDE/>
              <w:autoSpaceDN/>
              <w:bidi w:val="0"/>
              <w:adjustRightInd/>
              <w:snapToGrid/>
              <w:spacing w:beforeLines="0" w:afterLines="0" w:line="360" w:lineRule="auto"/>
              <w:ind w:firstLine="420" w:firstLineChars="200"/>
              <w:textAlignment w:val="auto"/>
              <w:rPr>
                <w:rFonts w:hint="default" w:ascii="Times New Roman" w:hAnsi="Times New Roman" w:eastAsia="宋体" w:cs="Times New Roman"/>
                <w:b w:val="0"/>
                <w:bCs/>
                <w:color w:val="auto"/>
                <w:sz w:val="21"/>
                <w:szCs w:val="21"/>
                <w:highlight w:val="none"/>
                <w:lang w:val="en-US" w:eastAsia="zh-CN"/>
              </w:rPr>
            </w:pPr>
            <w:r>
              <w:rPr>
                <w:rFonts w:hint="default" w:ascii="Times New Roman" w:hAnsi="Times New Roman" w:eastAsia="宋体" w:cs="Times New Roman"/>
                <w:b w:val="0"/>
                <w:bCs/>
                <w:color w:val="auto"/>
                <w:sz w:val="21"/>
                <w:szCs w:val="21"/>
                <w:highlight w:val="none"/>
                <w:lang w:val="en-US" w:eastAsia="zh-CN"/>
              </w:rPr>
              <w:t>项目主要物料风险识别范围包括：主要为原辅材料、燃料、中间产品、副产品、最终产品、污染物、火灾和爆炸伴生/次生物等。根据项目工程分析可知，本项目20%硫酸依托厂区</w:t>
            </w:r>
            <w:r>
              <w:rPr>
                <w:rFonts w:hint="eastAsia" w:ascii="Times New Roman" w:hAnsi="Times New Roman" w:cs="Times New Roman"/>
                <w:b w:val="0"/>
                <w:bCs/>
                <w:color w:val="auto"/>
                <w:sz w:val="21"/>
                <w:szCs w:val="21"/>
                <w:highlight w:val="none"/>
                <w:lang w:val="en-US" w:eastAsia="zh-CN"/>
              </w:rPr>
              <w:t>螯合物一车间</w:t>
            </w:r>
            <w:r>
              <w:rPr>
                <w:rFonts w:hint="default" w:ascii="Times New Roman" w:hAnsi="Times New Roman" w:eastAsia="宋体" w:cs="Times New Roman"/>
                <w:b w:val="0"/>
                <w:bCs/>
                <w:color w:val="auto"/>
                <w:sz w:val="21"/>
                <w:szCs w:val="21"/>
                <w:highlight w:val="none"/>
                <w:lang w:val="en-US" w:eastAsia="zh-CN"/>
              </w:rPr>
              <w:t>现有储罐，不新增储存量</w:t>
            </w:r>
            <w:r>
              <w:rPr>
                <w:rFonts w:hint="eastAsia" w:ascii="Times New Roman" w:hAnsi="Times New Roman" w:cs="Times New Roman"/>
                <w:b w:val="0"/>
                <w:bCs/>
                <w:color w:val="auto"/>
                <w:sz w:val="21"/>
                <w:szCs w:val="21"/>
                <w:highlight w:val="none"/>
                <w:lang w:val="en-US" w:eastAsia="zh-CN"/>
              </w:rPr>
              <w:t>，所以</w:t>
            </w:r>
            <w:r>
              <w:rPr>
                <w:rFonts w:hint="default" w:ascii="Times New Roman" w:hAnsi="Times New Roman" w:eastAsia="宋体" w:cs="Times New Roman"/>
                <w:b w:val="0"/>
                <w:bCs/>
                <w:color w:val="auto"/>
                <w:sz w:val="21"/>
                <w:szCs w:val="21"/>
                <w:highlight w:val="none"/>
                <w:lang w:val="en-US" w:eastAsia="zh-CN"/>
              </w:rPr>
              <w:t>本项目涉及的危险物质为</w:t>
            </w:r>
            <w:r>
              <w:rPr>
                <w:rFonts w:hint="eastAsia" w:cs="Times New Roman"/>
                <w:color w:val="auto"/>
                <w:spacing w:val="-10"/>
                <w:kern w:val="2"/>
                <w:sz w:val="21"/>
                <w:szCs w:val="21"/>
                <w:highlight w:val="none"/>
                <w:lang w:val="en-US" w:eastAsia="zh-CN" w:bidi="ar"/>
              </w:rPr>
              <w:t>废润滑油</w:t>
            </w:r>
            <w:r>
              <w:rPr>
                <w:rFonts w:hint="default" w:ascii="Times New Roman" w:hAnsi="Times New Roman" w:eastAsia="宋体" w:cs="Times New Roman"/>
                <w:b w:val="0"/>
                <w:bCs/>
                <w:color w:val="auto"/>
                <w:sz w:val="21"/>
                <w:szCs w:val="21"/>
                <w:highlight w:val="none"/>
                <w:lang w:val="en-US" w:eastAsia="zh-CN"/>
              </w:rPr>
              <w:t>。本项目物料的年用量、危废暂存量均小于临界量，由</w:t>
            </w:r>
            <w:r>
              <w:rPr>
                <w:rFonts w:hint="eastAsia" w:cs="Times New Roman"/>
                <w:b w:val="0"/>
                <w:bCs/>
                <w:color w:val="auto"/>
                <w:sz w:val="21"/>
                <w:szCs w:val="21"/>
                <w:highlight w:val="none"/>
                <w:lang w:val="en-US" w:eastAsia="zh-CN"/>
              </w:rPr>
              <w:t>下</w:t>
            </w:r>
            <w:r>
              <w:rPr>
                <w:rFonts w:hint="default" w:ascii="Times New Roman" w:hAnsi="Times New Roman" w:eastAsia="宋体" w:cs="Times New Roman"/>
                <w:b w:val="0"/>
                <w:bCs/>
                <w:color w:val="auto"/>
                <w:sz w:val="21"/>
                <w:szCs w:val="21"/>
                <w:highlight w:val="none"/>
                <w:lang w:val="en-US" w:eastAsia="zh-CN"/>
              </w:rPr>
              <w:t>表可知，Q值均远小于1，本项目风险潜势为Ⅰ，开展简单分析。</w:t>
            </w:r>
          </w:p>
          <w:p w14:paraId="0309D3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bCs/>
                <w:color w:val="auto"/>
                <w:sz w:val="21"/>
                <w:szCs w:val="21"/>
                <w:highlight w:val="none"/>
              </w:rPr>
            </w:pPr>
            <w:r>
              <w:rPr>
                <w:bCs/>
                <w:color w:val="auto"/>
                <w:sz w:val="21"/>
                <w:szCs w:val="21"/>
                <w:highlight w:val="none"/>
              </w:rPr>
              <w:t>本项目所涉及的突发环境事件风险物质临界量及最大储存量见下表。</w:t>
            </w:r>
          </w:p>
          <w:p w14:paraId="4794A276">
            <w:pPr>
              <w:adjustRightInd/>
              <w:snapToGrid/>
              <w:spacing w:beforeLines="0" w:afterLines="0" w:line="360" w:lineRule="auto"/>
              <w:ind w:firstLine="0" w:firstLineChars="0"/>
              <w:jc w:val="center"/>
              <w:rPr>
                <w:rFonts w:hint="default"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 xml:space="preserve"> 4-</w:t>
            </w:r>
            <w:r>
              <w:rPr>
                <w:rFonts w:hint="eastAsia" w:cs="Times New Roman"/>
                <w:b/>
                <w:bCs w:val="0"/>
                <w:color w:val="auto"/>
                <w:sz w:val="21"/>
                <w:szCs w:val="21"/>
                <w:highlight w:val="none"/>
                <w:lang w:val="en-US" w:eastAsia="zh-CN"/>
              </w:rPr>
              <w:t>19</w:t>
            </w:r>
            <w:r>
              <w:rPr>
                <w:rFonts w:hint="eastAsia" w:ascii="Times New Roman" w:hAnsi="Times New Roman" w:eastAsia="宋体" w:cs="Times New Roman"/>
                <w:b/>
                <w:bCs w:val="0"/>
                <w:color w:val="auto"/>
                <w:sz w:val="21"/>
                <w:szCs w:val="21"/>
                <w:highlight w:val="none"/>
                <w:lang w:val="en-US" w:eastAsia="zh-CN"/>
              </w:rPr>
              <w:t>本项目危险源一览表</w:t>
            </w:r>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5"/>
              <w:gridCol w:w="1862"/>
              <w:gridCol w:w="1403"/>
              <w:gridCol w:w="1411"/>
              <w:gridCol w:w="1403"/>
              <w:gridCol w:w="1403"/>
            </w:tblGrid>
            <w:tr w14:paraId="067A3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6" w:type="pct"/>
                  <w:noWrap w:val="0"/>
                  <w:vAlign w:val="center"/>
                </w:tcPr>
                <w:p w14:paraId="2D33B3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bCs/>
                      <w:color w:val="auto"/>
                      <w:sz w:val="21"/>
                      <w:szCs w:val="21"/>
                      <w:highlight w:val="none"/>
                    </w:rPr>
                    <w:t>序号</w:t>
                  </w:r>
                </w:p>
              </w:tc>
              <w:tc>
                <w:tcPr>
                  <w:tcW w:w="1106" w:type="pct"/>
                  <w:noWrap w:val="0"/>
                  <w:vAlign w:val="center"/>
                </w:tcPr>
                <w:p w14:paraId="3868E64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color w:val="auto"/>
                      <w:sz w:val="21"/>
                      <w:szCs w:val="21"/>
                      <w:highlight w:val="none"/>
                    </w:rPr>
                    <w:t>危险物质</w:t>
                  </w:r>
                </w:p>
              </w:tc>
              <w:tc>
                <w:tcPr>
                  <w:tcW w:w="833" w:type="pct"/>
                  <w:noWrap w:val="0"/>
                  <w:vAlign w:val="center"/>
                </w:tcPr>
                <w:p w14:paraId="32EB865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color w:val="auto"/>
                      <w:sz w:val="21"/>
                      <w:szCs w:val="21"/>
                      <w:highlight w:val="none"/>
                    </w:rPr>
                    <w:t>最大储量（t）</w:t>
                  </w:r>
                </w:p>
              </w:tc>
              <w:tc>
                <w:tcPr>
                  <w:tcW w:w="836" w:type="pct"/>
                  <w:noWrap w:val="0"/>
                  <w:vAlign w:val="center"/>
                </w:tcPr>
                <w:p w14:paraId="3A69822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color w:val="auto"/>
                      <w:sz w:val="21"/>
                      <w:szCs w:val="21"/>
                      <w:highlight w:val="none"/>
                    </w:rPr>
                    <w:t>临界量（t）</w:t>
                  </w:r>
                </w:p>
              </w:tc>
              <w:tc>
                <w:tcPr>
                  <w:tcW w:w="833" w:type="pct"/>
                  <w:noWrap w:val="0"/>
                  <w:vAlign w:val="center"/>
                </w:tcPr>
                <w:p w14:paraId="5C48FCD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color w:val="auto"/>
                      <w:sz w:val="21"/>
                      <w:szCs w:val="21"/>
                      <w:highlight w:val="none"/>
                    </w:rPr>
                    <w:t>Q值</w:t>
                  </w:r>
                </w:p>
              </w:tc>
              <w:tc>
                <w:tcPr>
                  <w:tcW w:w="833" w:type="pct"/>
                  <w:noWrap w:val="0"/>
                  <w:vAlign w:val="center"/>
                </w:tcPr>
                <w:p w14:paraId="7A82ED4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color w:val="auto"/>
                      <w:sz w:val="21"/>
                      <w:szCs w:val="21"/>
                      <w:highlight w:val="none"/>
                    </w:rPr>
                    <w:t>分布位置</w:t>
                  </w:r>
                </w:p>
              </w:tc>
            </w:tr>
            <w:tr w14:paraId="5C846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6" w:type="pct"/>
                  <w:noWrap w:val="0"/>
                  <w:vAlign w:val="center"/>
                </w:tcPr>
                <w:p w14:paraId="22366E2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bCs/>
                      <w:color w:val="auto"/>
                      <w:kern w:val="2"/>
                      <w:sz w:val="21"/>
                      <w:szCs w:val="21"/>
                      <w:highlight w:val="none"/>
                      <w:lang w:val="en-US" w:eastAsia="zh-CN" w:bidi="ar-SA"/>
                    </w:rPr>
                  </w:pPr>
                  <w:r>
                    <w:rPr>
                      <w:rFonts w:hint="eastAsia"/>
                      <w:bCs/>
                      <w:color w:val="auto"/>
                      <w:sz w:val="21"/>
                      <w:szCs w:val="21"/>
                      <w:highlight w:val="none"/>
                      <w:lang w:val="en-US" w:eastAsia="zh-CN"/>
                    </w:rPr>
                    <w:t>1</w:t>
                  </w:r>
                </w:p>
              </w:tc>
              <w:tc>
                <w:tcPr>
                  <w:tcW w:w="1106" w:type="pct"/>
                  <w:noWrap w:val="0"/>
                  <w:vAlign w:val="center"/>
                </w:tcPr>
                <w:p w14:paraId="384F591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bCs/>
                      <w:color w:val="auto"/>
                      <w:kern w:val="2"/>
                      <w:sz w:val="21"/>
                      <w:szCs w:val="21"/>
                      <w:highlight w:val="none"/>
                      <w:lang w:val="en-US" w:eastAsia="zh-CN" w:bidi="ar-SA"/>
                    </w:rPr>
                  </w:pPr>
                  <w:bookmarkStart w:id="42" w:name="OLE_LINK20"/>
                  <w:r>
                    <w:rPr>
                      <w:rFonts w:hint="eastAsia"/>
                      <w:bCs/>
                      <w:color w:val="auto"/>
                      <w:sz w:val="21"/>
                      <w:szCs w:val="21"/>
                      <w:highlight w:val="none"/>
                      <w:lang w:eastAsia="zh-CN"/>
                    </w:rPr>
                    <w:t>废润滑油</w:t>
                  </w:r>
                  <w:bookmarkEnd w:id="42"/>
                </w:p>
              </w:tc>
              <w:tc>
                <w:tcPr>
                  <w:tcW w:w="833" w:type="pct"/>
                  <w:noWrap w:val="0"/>
                  <w:vAlign w:val="center"/>
                </w:tcPr>
                <w:p w14:paraId="1CC62ED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bCs/>
                      <w:color w:val="auto"/>
                      <w:kern w:val="2"/>
                      <w:sz w:val="21"/>
                      <w:szCs w:val="21"/>
                      <w:highlight w:val="none"/>
                      <w:lang w:val="en-US" w:eastAsia="zh-CN" w:bidi="ar-SA"/>
                    </w:rPr>
                  </w:pPr>
                  <w:r>
                    <w:rPr>
                      <w:rFonts w:hint="eastAsia"/>
                      <w:bCs/>
                      <w:color w:val="auto"/>
                      <w:kern w:val="2"/>
                      <w:sz w:val="21"/>
                      <w:szCs w:val="21"/>
                      <w:highlight w:val="none"/>
                      <w:lang w:val="en-US" w:eastAsia="zh-CN" w:bidi="ar-SA"/>
                    </w:rPr>
                    <w:t>1</w:t>
                  </w:r>
                </w:p>
              </w:tc>
              <w:tc>
                <w:tcPr>
                  <w:tcW w:w="836" w:type="pct"/>
                  <w:noWrap w:val="0"/>
                  <w:vAlign w:val="center"/>
                </w:tcPr>
                <w:p w14:paraId="1B2C342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eastAsia="宋体"/>
                      <w:bCs/>
                      <w:color w:val="auto"/>
                      <w:kern w:val="2"/>
                      <w:sz w:val="21"/>
                      <w:szCs w:val="21"/>
                      <w:highlight w:val="none"/>
                      <w:lang w:val="en-US" w:eastAsia="zh-CN" w:bidi="ar-SA"/>
                    </w:rPr>
                  </w:pPr>
                  <w:r>
                    <w:rPr>
                      <w:rFonts w:hint="eastAsia"/>
                      <w:bCs/>
                      <w:color w:val="auto"/>
                      <w:sz w:val="21"/>
                      <w:szCs w:val="21"/>
                      <w:highlight w:val="none"/>
                      <w:lang w:val="en-US" w:eastAsia="zh-CN"/>
                    </w:rPr>
                    <w:t>2500</w:t>
                  </w:r>
                </w:p>
              </w:tc>
              <w:tc>
                <w:tcPr>
                  <w:tcW w:w="833" w:type="pct"/>
                  <w:noWrap w:val="0"/>
                  <w:vAlign w:val="center"/>
                </w:tcPr>
                <w:p w14:paraId="25372B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0.0004</w:t>
                  </w:r>
                </w:p>
              </w:tc>
              <w:tc>
                <w:tcPr>
                  <w:tcW w:w="833" w:type="pct"/>
                  <w:noWrap w:val="0"/>
                  <w:vAlign w:val="center"/>
                </w:tcPr>
                <w:p w14:paraId="205E3D4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bCs/>
                      <w:color w:val="auto"/>
                      <w:sz w:val="21"/>
                      <w:szCs w:val="21"/>
                      <w:highlight w:val="none"/>
                      <w:lang w:eastAsia="zh-CN"/>
                    </w:rPr>
                  </w:pPr>
                  <w:r>
                    <w:rPr>
                      <w:rFonts w:hint="eastAsia" w:eastAsia="宋体"/>
                      <w:bCs/>
                      <w:color w:val="auto"/>
                      <w:sz w:val="21"/>
                      <w:szCs w:val="21"/>
                      <w:highlight w:val="none"/>
                      <w:lang w:eastAsia="zh-CN"/>
                    </w:rPr>
                    <w:t>危废暂存间</w:t>
                  </w:r>
                </w:p>
              </w:tc>
            </w:tr>
            <w:tr w14:paraId="5DC73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56" w:type="pct"/>
                  <w:noWrap w:val="0"/>
                  <w:vAlign w:val="center"/>
                </w:tcPr>
                <w:p w14:paraId="741F6DB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Cs/>
                      <w:color w:val="auto"/>
                      <w:sz w:val="21"/>
                      <w:szCs w:val="21"/>
                      <w:highlight w:val="none"/>
                      <w:lang w:val="en-US" w:eastAsia="zh-CN"/>
                    </w:rPr>
                  </w:pPr>
                  <w:r>
                    <w:rPr>
                      <w:rFonts w:hint="eastAsia"/>
                      <w:bCs/>
                      <w:color w:val="auto"/>
                      <w:sz w:val="21"/>
                      <w:szCs w:val="21"/>
                      <w:highlight w:val="none"/>
                      <w:lang w:val="en-US" w:eastAsia="zh-CN"/>
                    </w:rPr>
                    <w:t>2</w:t>
                  </w:r>
                </w:p>
              </w:tc>
              <w:tc>
                <w:tcPr>
                  <w:tcW w:w="1106" w:type="pct"/>
                  <w:noWrap w:val="0"/>
                  <w:vAlign w:val="center"/>
                </w:tcPr>
                <w:p w14:paraId="6EC637F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Cs/>
                      <w:color w:val="auto"/>
                      <w:sz w:val="21"/>
                      <w:szCs w:val="21"/>
                      <w:highlight w:val="none"/>
                      <w:lang w:val="en-US" w:eastAsia="zh-CN"/>
                    </w:rPr>
                  </w:pPr>
                  <w:r>
                    <w:rPr>
                      <w:rFonts w:hint="eastAsia"/>
                      <w:bCs/>
                      <w:color w:val="auto"/>
                      <w:sz w:val="21"/>
                      <w:szCs w:val="21"/>
                      <w:highlight w:val="none"/>
                      <w:lang w:eastAsia="zh-CN"/>
                    </w:rPr>
                    <w:t>废润滑油</w:t>
                  </w:r>
                  <w:r>
                    <w:rPr>
                      <w:rFonts w:hint="eastAsia"/>
                      <w:bCs/>
                      <w:color w:val="auto"/>
                      <w:sz w:val="21"/>
                      <w:szCs w:val="21"/>
                      <w:highlight w:val="none"/>
                      <w:lang w:val="en-US" w:eastAsia="zh-CN"/>
                    </w:rPr>
                    <w:t>桶</w:t>
                  </w:r>
                </w:p>
              </w:tc>
              <w:tc>
                <w:tcPr>
                  <w:tcW w:w="833" w:type="pct"/>
                  <w:noWrap w:val="0"/>
                  <w:vAlign w:val="center"/>
                </w:tcPr>
                <w:p w14:paraId="3CBD3C1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Cs/>
                      <w:color w:val="auto"/>
                      <w:kern w:val="2"/>
                      <w:sz w:val="21"/>
                      <w:szCs w:val="21"/>
                      <w:highlight w:val="none"/>
                      <w:lang w:val="en-US" w:eastAsia="zh-CN" w:bidi="ar-SA"/>
                    </w:rPr>
                  </w:pPr>
                  <w:r>
                    <w:rPr>
                      <w:rFonts w:hint="eastAsia"/>
                      <w:bCs/>
                      <w:color w:val="auto"/>
                      <w:kern w:val="2"/>
                      <w:sz w:val="21"/>
                      <w:szCs w:val="21"/>
                      <w:highlight w:val="none"/>
                      <w:lang w:val="en-US" w:eastAsia="zh-CN" w:bidi="ar-SA"/>
                    </w:rPr>
                    <w:t>1</w:t>
                  </w:r>
                </w:p>
              </w:tc>
              <w:tc>
                <w:tcPr>
                  <w:tcW w:w="836" w:type="pct"/>
                  <w:noWrap w:val="0"/>
                  <w:vAlign w:val="center"/>
                </w:tcPr>
                <w:p w14:paraId="2456920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bCs/>
                      <w:color w:val="auto"/>
                      <w:sz w:val="21"/>
                      <w:szCs w:val="21"/>
                      <w:highlight w:val="none"/>
                      <w:lang w:val="en-US" w:eastAsia="zh-CN"/>
                    </w:rPr>
                  </w:pPr>
                  <w:r>
                    <w:rPr>
                      <w:rFonts w:hint="eastAsia"/>
                      <w:bCs/>
                      <w:color w:val="auto"/>
                      <w:sz w:val="21"/>
                      <w:szCs w:val="21"/>
                      <w:highlight w:val="none"/>
                      <w:lang w:val="en-US" w:eastAsia="zh-CN"/>
                    </w:rPr>
                    <w:t>50</w:t>
                  </w:r>
                </w:p>
              </w:tc>
              <w:tc>
                <w:tcPr>
                  <w:tcW w:w="833" w:type="pct"/>
                  <w:noWrap w:val="0"/>
                  <w:vAlign w:val="center"/>
                </w:tcPr>
                <w:p w14:paraId="1295820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bCs/>
                      <w:color w:val="auto"/>
                      <w:sz w:val="21"/>
                      <w:szCs w:val="21"/>
                      <w:highlight w:val="none"/>
                      <w:lang w:val="en-US" w:eastAsia="zh-CN"/>
                    </w:rPr>
                  </w:pPr>
                  <w:r>
                    <w:rPr>
                      <w:rFonts w:hint="eastAsia" w:cs="Times New Roman"/>
                      <w:bCs/>
                      <w:color w:val="auto"/>
                      <w:sz w:val="21"/>
                      <w:szCs w:val="21"/>
                      <w:highlight w:val="none"/>
                      <w:lang w:val="en-US" w:eastAsia="zh-CN"/>
                    </w:rPr>
                    <w:t>0.02</w:t>
                  </w:r>
                </w:p>
              </w:tc>
              <w:tc>
                <w:tcPr>
                  <w:tcW w:w="833" w:type="pct"/>
                  <w:noWrap w:val="0"/>
                  <w:vAlign w:val="center"/>
                </w:tcPr>
                <w:p w14:paraId="1E00AB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宋体"/>
                      <w:bCs/>
                      <w:color w:val="auto"/>
                      <w:sz w:val="21"/>
                      <w:szCs w:val="21"/>
                      <w:highlight w:val="none"/>
                      <w:lang w:eastAsia="zh-CN"/>
                    </w:rPr>
                  </w:pPr>
                  <w:r>
                    <w:rPr>
                      <w:rFonts w:hint="eastAsia" w:eastAsia="宋体"/>
                      <w:bCs/>
                      <w:color w:val="auto"/>
                      <w:sz w:val="21"/>
                      <w:szCs w:val="21"/>
                      <w:highlight w:val="none"/>
                      <w:lang w:eastAsia="zh-CN"/>
                    </w:rPr>
                    <w:t>危废暂存间</w:t>
                  </w:r>
                </w:p>
              </w:tc>
            </w:tr>
            <w:tr w14:paraId="792FCE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333" w:type="pct"/>
                  <w:gridSpan w:val="4"/>
                  <w:noWrap w:val="0"/>
                  <w:vAlign w:val="center"/>
                </w:tcPr>
                <w:p w14:paraId="0579085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Cs/>
                      <w:color w:val="auto"/>
                      <w:sz w:val="21"/>
                      <w:szCs w:val="21"/>
                      <w:highlight w:val="none"/>
                    </w:rPr>
                  </w:pPr>
                  <w:r>
                    <w:rPr>
                      <w:bCs/>
                      <w:color w:val="auto"/>
                      <w:sz w:val="21"/>
                      <w:szCs w:val="21"/>
                      <w:highlight w:val="none"/>
                    </w:rPr>
                    <w:t>合计</w:t>
                  </w:r>
                </w:p>
              </w:tc>
              <w:tc>
                <w:tcPr>
                  <w:tcW w:w="833" w:type="pct"/>
                  <w:noWrap w:val="0"/>
                  <w:vAlign w:val="center"/>
                </w:tcPr>
                <w:p w14:paraId="78FA15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auto"/>
                      <w:sz w:val="21"/>
                      <w:szCs w:val="21"/>
                      <w:highlight w:val="none"/>
                      <w:lang w:val="en-US" w:eastAsia="zh-CN"/>
                    </w:rPr>
                  </w:pPr>
                  <w:r>
                    <w:rPr>
                      <w:rFonts w:hint="eastAsia" w:cs="Times New Roman"/>
                      <w:bCs/>
                      <w:color w:val="auto"/>
                      <w:sz w:val="21"/>
                      <w:szCs w:val="21"/>
                      <w:highlight w:val="none"/>
                      <w:lang w:val="en-US" w:eastAsia="zh-CN"/>
                    </w:rPr>
                    <w:t>0.0204</w:t>
                  </w:r>
                </w:p>
              </w:tc>
              <w:tc>
                <w:tcPr>
                  <w:tcW w:w="833" w:type="pct"/>
                  <w:noWrap w:val="0"/>
                  <w:vAlign w:val="center"/>
                </w:tcPr>
                <w:p w14:paraId="32BDCB2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Cs/>
                      <w:color w:val="auto"/>
                      <w:sz w:val="21"/>
                      <w:szCs w:val="21"/>
                      <w:highlight w:val="none"/>
                      <w:lang w:val="en-US" w:eastAsia="zh-CN"/>
                    </w:rPr>
                  </w:pPr>
                  <w:r>
                    <w:rPr>
                      <w:rFonts w:hint="eastAsia" w:ascii="Times New Roman" w:hAnsi="Times New Roman" w:eastAsia="宋体" w:cs="Times New Roman"/>
                      <w:bCs/>
                      <w:color w:val="auto"/>
                      <w:sz w:val="21"/>
                      <w:szCs w:val="21"/>
                      <w:highlight w:val="none"/>
                      <w:lang w:val="en-US" w:eastAsia="zh-CN"/>
                    </w:rPr>
                    <w:t>-</w:t>
                  </w:r>
                  <w:r>
                    <w:rPr>
                      <w:rFonts w:hint="default" w:ascii="Times New Roman" w:hAnsi="Times New Roman" w:eastAsia="宋体" w:cs="Times New Roman"/>
                      <w:bCs/>
                      <w:color w:val="auto"/>
                      <w:sz w:val="21"/>
                      <w:szCs w:val="21"/>
                      <w:highlight w:val="none"/>
                      <w:lang w:val="en-US" w:eastAsia="zh-CN"/>
                    </w:rPr>
                    <w:t>-</w:t>
                  </w:r>
                </w:p>
              </w:tc>
            </w:tr>
          </w:tbl>
          <w:p w14:paraId="41A31664">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由上表可知，Q&lt;1，则项目环境风险潜势为</w:t>
            </w:r>
            <w:r>
              <w:rPr>
                <w:rFonts w:hint="default" w:ascii="Times New Roman" w:hAnsi="Times New Roman" w:eastAsia="宋体" w:cs="Times New Roman"/>
                <w:b w:val="0"/>
                <w:bCs/>
                <w:color w:val="auto"/>
                <w:sz w:val="21"/>
                <w:szCs w:val="21"/>
                <w:highlight w:val="none"/>
                <w:lang w:val="en-US" w:eastAsia="zh-CN"/>
              </w:rPr>
              <w:t>Ⅰ</w:t>
            </w:r>
            <w:r>
              <w:rPr>
                <w:rFonts w:hint="eastAsia" w:eastAsia="宋体" w:cs="Times New Roman"/>
                <w:b w:val="0"/>
                <w:bCs/>
                <w:color w:val="auto"/>
                <w:sz w:val="21"/>
                <w:szCs w:val="21"/>
                <w:highlight w:val="none"/>
                <w:lang w:val="en-US" w:eastAsia="zh-CN"/>
              </w:rPr>
              <w:t>。</w:t>
            </w:r>
          </w:p>
          <w:p w14:paraId="3CAD3C96">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w:t>
            </w:r>
            <w:r>
              <w:rPr>
                <w:rFonts w:hint="eastAsia" w:cs="Times New Roman"/>
                <w:b w:val="0"/>
                <w:bCs/>
                <w:color w:val="auto"/>
                <w:sz w:val="21"/>
                <w:szCs w:val="21"/>
                <w:highlight w:val="none"/>
                <w:lang w:val="en-US" w:eastAsia="zh-CN"/>
              </w:rPr>
              <w:t>废润滑油</w:t>
            </w:r>
            <w:r>
              <w:rPr>
                <w:rFonts w:hint="eastAsia" w:eastAsia="宋体" w:cs="Times New Roman"/>
                <w:b w:val="0"/>
                <w:bCs/>
                <w:color w:val="auto"/>
                <w:sz w:val="21"/>
                <w:szCs w:val="21"/>
                <w:highlight w:val="none"/>
                <w:lang w:val="en-US" w:eastAsia="zh-CN"/>
              </w:rPr>
              <w:t>暂存于</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内</w:t>
            </w:r>
            <w:r>
              <w:rPr>
                <w:rFonts w:hint="eastAsia" w:cs="Times New Roman"/>
                <w:b w:val="0"/>
                <w:bCs/>
                <w:color w:val="auto"/>
                <w:sz w:val="21"/>
                <w:szCs w:val="21"/>
                <w:highlight w:val="none"/>
                <w:lang w:val="en-US" w:eastAsia="zh-CN"/>
              </w:rPr>
              <w:t>，定期委托有资质单位处置</w:t>
            </w:r>
            <w:r>
              <w:rPr>
                <w:rFonts w:hint="eastAsia" w:eastAsia="宋体" w:cs="Times New Roman"/>
                <w:b w:val="0"/>
                <w:bCs/>
                <w:color w:val="auto"/>
                <w:sz w:val="21"/>
                <w:szCs w:val="21"/>
                <w:highlight w:val="none"/>
                <w:lang w:val="en-US" w:eastAsia="zh-CN"/>
              </w:rPr>
              <w:t>。</w:t>
            </w:r>
          </w:p>
          <w:p w14:paraId="7B711B93">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2、</w:t>
            </w:r>
            <w:r>
              <w:rPr>
                <w:rFonts w:hint="eastAsia" w:eastAsia="宋体" w:cs="Times New Roman"/>
                <w:b w:val="0"/>
                <w:bCs/>
                <w:color w:val="auto"/>
                <w:sz w:val="21"/>
                <w:szCs w:val="21"/>
                <w:highlight w:val="none"/>
                <w:lang w:val="en-US" w:eastAsia="zh-CN"/>
              </w:rPr>
              <w:t>影响途径</w:t>
            </w:r>
          </w:p>
          <w:p w14:paraId="70045DDD">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危险物质存在的主要事故类型为：储存包装破损或使用过程中渗漏，对大气环境、水环境、土壤环境产生影响；以及物料泄漏或遇明火发生火灾</w:t>
            </w:r>
            <w:r>
              <w:rPr>
                <w:rFonts w:hint="eastAsia" w:cs="Times New Roman"/>
                <w:b w:val="0"/>
                <w:bCs/>
                <w:color w:val="auto"/>
                <w:sz w:val="21"/>
                <w:szCs w:val="21"/>
                <w:highlight w:val="none"/>
                <w:lang w:val="en-US" w:eastAsia="zh-CN"/>
              </w:rPr>
              <w:t>引发的</w:t>
            </w:r>
            <w:r>
              <w:rPr>
                <w:rFonts w:hint="eastAsia" w:ascii="Times New Roman" w:hAnsi="Times New Roman" w:eastAsia="宋体" w:cs="Times New Roman"/>
                <w:b w:val="0"/>
                <w:bCs/>
                <w:color w:val="auto"/>
                <w:sz w:val="21"/>
                <w:szCs w:val="21"/>
                <w:highlight w:val="none"/>
                <w:vertAlign w:val="baseline"/>
                <w:lang w:val="en-US" w:eastAsia="zh-CN"/>
              </w:rPr>
              <w:t>伴生/次生</w:t>
            </w:r>
            <w:r>
              <w:rPr>
                <w:rFonts w:hint="eastAsia" w:eastAsia="宋体" w:cs="Times New Roman"/>
                <w:b w:val="0"/>
                <w:bCs/>
                <w:color w:val="auto"/>
                <w:sz w:val="21"/>
                <w:szCs w:val="21"/>
                <w:highlight w:val="none"/>
                <w:lang w:val="en-US" w:eastAsia="zh-CN"/>
              </w:rPr>
              <w:t>污染物对大气环境、水环境、土壤环境产生影响。</w:t>
            </w:r>
          </w:p>
          <w:p w14:paraId="1D65D026">
            <w:pPr>
              <w:adjustRightInd/>
              <w:snapToGrid/>
              <w:spacing w:beforeLines="0" w:afterLines="0" w:line="360" w:lineRule="auto"/>
              <w:ind w:firstLine="422" w:firstLineChars="200"/>
              <w:jc w:val="center"/>
              <w:rPr>
                <w:rFonts w:hint="eastAsia" w:ascii="Times New Roman" w:hAnsi="Times New Roman" w:eastAsia="宋体" w:cs="Times New Roman"/>
                <w:b/>
                <w:bCs w:val="0"/>
                <w:color w:val="auto"/>
                <w:sz w:val="21"/>
                <w:szCs w:val="21"/>
                <w:highlight w:val="none"/>
                <w:lang w:val="en-US" w:eastAsia="zh-CN"/>
              </w:rPr>
            </w:pPr>
            <w:r>
              <w:rPr>
                <w:rFonts w:hint="default" w:ascii="Times New Roman" w:hAnsi="Times New Roman" w:eastAsia="宋体" w:cs="Times New Roman"/>
                <w:b/>
                <w:bCs w:val="0"/>
                <w:color w:val="auto"/>
                <w:sz w:val="21"/>
                <w:szCs w:val="21"/>
                <w:highlight w:val="none"/>
                <w:lang w:val="en-US" w:eastAsia="zh-CN"/>
              </w:rPr>
              <w:t>表</w:t>
            </w:r>
            <w:r>
              <w:rPr>
                <w:rFonts w:hint="eastAsia" w:ascii="Times New Roman" w:hAnsi="Times New Roman" w:eastAsia="宋体" w:cs="Times New Roman"/>
                <w:b/>
                <w:bCs w:val="0"/>
                <w:color w:val="auto"/>
                <w:sz w:val="21"/>
                <w:szCs w:val="21"/>
                <w:highlight w:val="none"/>
                <w:lang w:val="en-US" w:eastAsia="zh-CN"/>
              </w:rPr>
              <w:t xml:space="preserve"> 4-</w:t>
            </w:r>
            <w:r>
              <w:rPr>
                <w:rFonts w:hint="eastAsia" w:cs="Times New Roman"/>
                <w:b/>
                <w:bCs w:val="0"/>
                <w:color w:val="auto"/>
                <w:sz w:val="21"/>
                <w:szCs w:val="21"/>
                <w:highlight w:val="none"/>
                <w:lang w:val="en-US" w:eastAsia="zh-CN"/>
              </w:rPr>
              <w:t>20</w:t>
            </w:r>
            <w:r>
              <w:rPr>
                <w:rFonts w:hint="eastAsia" w:ascii="Times New Roman" w:hAnsi="Times New Roman" w:eastAsia="宋体" w:cs="Times New Roman"/>
                <w:b/>
                <w:bCs w:val="0"/>
                <w:color w:val="auto"/>
                <w:sz w:val="21"/>
                <w:szCs w:val="21"/>
                <w:highlight w:val="none"/>
                <w:lang w:val="en-US" w:eastAsia="zh-CN"/>
              </w:rPr>
              <w:t>本项目环境风向及环境影响途径识别表</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9"/>
              <w:gridCol w:w="1320"/>
              <w:gridCol w:w="1500"/>
              <w:gridCol w:w="3390"/>
              <w:gridCol w:w="1423"/>
            </w:tblGrid>
            <w:tr w14:paraId="6F83D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9" w:type="dxa"/>
                  <w:vAlign w:val="center"/>
                </w:tcPr>
                <w:p w14:paraId="16F5AD0F">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序号</w:t>
                  </w:r>
                </w:p>
              </w:tc>
              <w:tc>
                <w:tcPr>
                  <w:tcW w:w="1320" w:type="dxa"/>
                  <w:vAlign w:val="center"/>
                </w:tcPr>
                <w:p w14:paraId="3AACCEA9">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危险单元</w:t>
                  </w:r>
                </w:p>
              </w:tc>
              <w:tc>
                <w:tcPr>
                  <w:tcW w:w="1500" w:type="dxa"/>
                  <w:vAlign w:val="center"/>
                </w:tcPr>
                <w:p w14:paraId="4546BA0F">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主要危险物质</w:t>
                  </w:r>
                </w:p>
              </w:tc>
              <w:tc>
                <w:tcPr>
                  <w:tcW w:w="3390" w:type="dxa"/>
                  <w:vAlign w:val="center"/>
                </w:tcPr>
                <w:p w14:paraId="094B689F">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环境风险类型</w:t>
                  </w:r>
                </w:p>
              </w:tc>
              <w:tc>
                <w:tcPr>
                  <w:tcW w:w="0" w:type="auto"/>
                  <w:vAlign w:val="center"/>
                </w:tcPr>
                <w:p w14:paraId="66499FBE">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环境影响途径</w:t>
                  </w:r>
                </w:p>
              </w:tc>
            </w:tr>
            <w:tr w14:paraId="4FB98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9" w:type="dxa"/>
                  <w:vAlign w:val="center"/>
                </w:tcPr>
                <w:p w14:paraId="3844FF28">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1</w:t>
                  </w:r>
                </w:p>
              </w:tc>
              <w:tc>
                <w:tcPr>
                  <w:tcW w:w="1320" w:type="dxa"/>
                  <w:vAlign w:val="center"/>
                </w:tcPr>
                <w:p w14:paraId="46CA449A">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危废暂存间</w:t>
                  </w:r>
                </w:p>
              </w:tc>
              <w:tc>
                <w:tcPr>
                  <w:tcW w:w="1500" w:type="dxa"/>
                  <w:vAlign w:val="center"/>
                </w:tcPr>
                <w:p w14:paraId="4C159863">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lang w:eastAsia="zh-CN"/>
                    </w:rPr>
                    <w:t>废润滑油</w:t>
                  </w:r>
                </w:p>
              </w:tc>
              <w:tc>
                <w:tcPr>
                  <w:tcW w:w="3390" w:type="dxa"/>
                  <w:vAlign w:val="center"/>
                </w:tcPr>
                <w:p w14:paraId="2580A2D2">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泄漏</w:t>
                  </w:r>
                </w:p>
              </w:tc>
              <w:tc>
                <w:tcPr>
                  <w:tcW w:w="0" w:type="auto"/>
                  <w:vAlign w:val="center"/>
                </w:tcPr>
                <w:p w14:paraId="0D4430E2">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lang w:val="en-US" w:eastAsia="zh-CN"/>
                    </w:rPr>
                    <w:t>大气环境、水环境、土壤环境</w:t>
                  </w:r>
                </w:p>
              </w:tc>
            </w:tr>
            <w:tr w14:paraId="4B4F0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9" w:type="dxa"/>
                  <w:vAlign w:val="center"/>
                </w:tcPr>
                <w:p w14:paraId="58C0C774">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2</w:t>
                  </w:r>
                </w:p>
              </w:tc>
              <w:tc>
                <w:tcPr>
                  <w:tcW w:w="1320" w:type="dxa"/>
                  <w:vAlign w:val="center"/>
                </w:tcPr>
                <w:p w14:paraId="025EFD6E">
                  <w:pPr>
                    <w:pStyle w:val="1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ascii="宋体" w:hAnsi="宋体" w:eastAsia="宋体" w:cs="宋体"/>
                      <w:b w:val="0"/>
                      <w:bCs/>
                      <w:snapToGrid w:val="0"/>
                      <w:color w:val="auto"/>
                      <w:kern w:val="21"/>
                      <w:sz w:val="21"/>
                      <w:szCs w:val="21"/>
                      <w:highlight w:val="none"/>
                      <w:vertAlign w:val="baseline"/>
                      <w:lang w:val="en-US" w:eastAsia="zh-CN" w:bidi="ar-SA"/>
                    </w:rPr>
                  </w:pPr>
                  <w:r>
                    <w:rPr>
                      <w:rFonts w:hint="eastAsia" w:ascii="宋体" w:hAnsi="宋体" w:eastAsia="宋体" w:cs="宋体"/>
                      <w:b w:val="0"/>
                      <w:bCs/>
                      <w:color w:val="auto"/>
                      <w:sz w:val="21"/>
                      <w:szCs w:val="21"/>
                      <w:highlight w:val="none"/>
                      <w:vertAlign w:val="baseline"/>
                      <w:lang w:val="en-US" w:eastAsia="zh-CN"/>
                    </w:rPr>
                    <w:t>危废暂存间</w:t>
                  </w:r>
                </w:p>
              </w:tc>
              <w:tc>
                <w:tcPr>
                  <w:tcW w:w="1500" w:type="dxa"/>
                  <w:vAlign w:val="center"/>
                </w:tcPr>
                <w:p w14:paraId="3F2AE130">
                  <w:pPr>
                    <w:pStyle w:val="10"/>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center"/>
                    <w:textAlignment w:val="baseline"/>
                    <w:rPr>
                      <w:rFonts w:hint="eastAsia" w:ascii="宋体" w:hAnsi="宋体" w:eastAsia="宋体" w:cs="宋体"/>
                      <w:b w:val="0"/>
                      <w:bCs/>
                      <w:snapToGrid w:val="0"/>
                      <w:color w:val="auto"/>
                      <w:kern w:val="21"/>
                      <w:sz w:val="21"/>
                      <w:szCs w:val="21"/>
                      <w:highlight w:val="none"/>
                      <w:vertAlign w:val="baseline"/>
                      <w:lang w:val="en-US" w:eastAsia="zh-CN" w:bidi="ar-SA"/>
                    </w:rPr>
                  </w:pPr>
                  <w:r>
                    <w:rPr>
                      <w:rFonts w:hint="eastAsia" w:ascii="宋体" w:hAnsi="宋体" w:eastAsia="宋体" w:cs="宋体"/>
                      <w:b w:val="0"/>
                      <w:bCs/>
                      <w:color w:val="auto"/>
                      <w:sz w:val="21"/>
                      <w:szCs w:val="21"/>
                      <w:highlight w:val="none"/>
                      <w:lang w:eastAsia="zh-CN"/>
                    </w:rPr>
                    <w:t>废润滑油</w:t>
                  </w:r>
                </w:p>
              </w:tc>
              <w:tc>
                <w:tcPr>
                  <w:tcW w:w="3390" w:type="dxa"/>
                  <w:vAlign w:val="center"/>
                </w:tcPr>
                <w:p w14:paraId="20596EFF">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vertAlign w:val="baseline"/>
                      <w:lang w:val="en-US" w:eastAsia="zh-CN"/>
                    </w:rPr>
                    <w:t>火灾引发的伴生/次生污染物排放</w:t>
                  </w:r>
                </w:p>
              </w:tc>
              <w:tc>
                <w:tcPr>
                  <w:tcW w:w="0" w:type="auto"/>
                  <w:vAlign w:val="center"/>
                </w:tcPr>
                <w:p w14:paraId="0FC45319">
                  <w:pPr>
                    <w:pStyle w:val="10"/>
                    <w:keepNext w:val="0"/>
                    <w:keepLines w:val="0"/>
                    <w:pageBreakBefore w:val="0"/>
                    <w:widowControl w:val="0"/>
                    <w:kinsoku/>
                    <w:wordWrap/>
                    <w:overflowPunct/>
                    <w:topLinePunct w:val="0"/>
                    <w:autoSpaceDE/>
                    <w:autoSpaceDN/>
                    <w:bidi w:val="0"/>
                    <w:adjustRightInd w:val="0"/>
                    <w:snapToGrid w:val="0"/>
                    <w:spacing w:line="240" w:lineRule="auto"/>
                    <w:ind w:firstLine="0"/>
                    <w:jc w:val="center"/>
                    <w:textAlignment w:val="baseline"/>
                    <w:rPr>
                      <w:rFonts w:hint="eastAsia" w:ascii="宋体" w:hAnsi="宋体" w:eastAsia="宋体" w:cs="宋体"/>
                      <w:b w:val="0"/>
                      <w:bCs/>
                      <w:color w:val="auto"/>
                      <w:sz w:val="21"/>
                      <w:szCs w:val="21"/>
                      <w:highlight w:val="none"/>
                      <w:vertAlign w:val="baseline"/>
                      <w:lang w:val="en-US" w:eastAsia="zh-CN"/>
                    </w:rPr>
                  </w:pPr>
                  <w:r>
                    <w:rPr>
                      <w:rFonts w:hint="eastAsia" w:ascii="宋体" w:hAnsi="宋体" w:eastAsia="宋体" w:cs="宋体"/>
                      <w:b w:val="0"/>
                      <w:bCs/>
                      <w:color w:val="auto"/>
                      <w:sz w:val="21"/>
                      <w:szCs w:val="21"/>
                      <w:highlight w:val="none"/>
                      <w:lang w:val="en-US" w:eastAsia="zh-CN"/>
                    </w:rPr>
                    <w:t>大气环境、水环境、土壤环境</w:t>
                  </w:r>
                </w:p>
              </w:tc>
            </w:tr>
          </w:tbl>
          <w:p w14:paraId="1D069FDC">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3、</w:t>
            </w:r>
            <w:r>
              <w:rPr>
                <w:rFonts w:hint="eastAsia" w:eastAsia="宋体" w:cs="Times New Roman"/>
                <w:b w:val="0"/>
                <w:bCs/>
                <w:color w:val="auto"/>
                <w:sz w:val="21"/>
                <w:szCs w:val="21"/>
                <w:highlight w:val="none"/>
                <w:lang w:val="en-US" w:eastAsia="zh-CN"/>
              </w:rPr>
              <w:t>环境风险防范措施</w:t>
            </w:r>
          </w:p>
          <w:p w14:paraId="0DFE2207">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（1）</w:t>
            </w:r>
            <w:r>
              <w:rPr>
                <w:rFonts w:hint="eastAsia" w:eastAsia="宋体" w:cs="Times New Roman"/>
                <w:b w:val="0"/>
                <w:bCs/>
                <w:color w:val="auto"/>
                <w:sz w:val="21"/>
                <w:szCs w:val="21"/>
                <w:highlight w:val="none"/>
                <w:lang w:val="en-US" w:eastAsia="zh-CN"/>
              </w:rPr>
              <w:t>防范措施</w:t>
            </w:r>
          </w:p>
          <w:p w14:paraId="1BFE6C6A">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①桶装物料存放在专用位置处，并设置围堰或托盘，容积不小于单个容器最大储存量；储存区地面采用耐腐蚀硬化处理，贮存必要的沙土等堵漏物资，以防物料泄漏时的应急处理之需。</w:t>
            </w:r>
          </w:p>
          <w:p w14:paraId="10055CCD">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②物料贮存场所设置安全标准。按照规范对凡需要迅速发现并引起注意以防发生事故的场所、部位均按要求涂安全色。</w:t>
            </w:r>
          </w:p>
          <w:p w14:paraId="0CACD568">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③建立健全并严格执行物料的安全贮存、使用的各项规章制度和规程，加强日常的安全检查。</w:t>
            </w:r>
          </w:p>
          <w:p w14:paraId="7DC79FB5">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④专人定期对储存情况进行巡查，一旦发现泄漏隐患立即向上级负责人汇报。</w:t>
            </w:r>
          </w:p>
          <w:p w14:paraId="68559980">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⑤</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液态危废存在泄漏风险，建设单位应根据标准要求，建设堵截泄漏的裙脚，地面与裙脚所围建的容积不低于液态危废贮存桶的最大储量，并需设置危险废物泄漏液及渗滤液导排管网及收集池（或收集槽）。</w:t>
            </w:r>
          </w:p>
          <w:p w14:paraId="077C1EEA">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⑥危险废物运输过程中应采取密闭、捆扎等措施，严防</w:t>
            </w:r>
            <w:r>
              <w:rPr>
                <w:rFonts w:hint="eastAsia" w:cs="Times New Roman"/>
                <w:b w:val="0"/>
                <w:bCs/>
                <w:color w:val="auto"/>
                <w:sz w:val="21"/>
                <w:szCs w:val="21"/>
                <w:highlight w:val="none"/>
                <w:lang w:val="en-US" w:eastAsia="zh-CN"/>
              </w:rPr>
              <w:t>振动</w:t>
            </w:r>
            <w:r>
              <w:rPr>
                <w:rFonts w:hint="eastAsia" w:eastAsia="宋体" w:cs="Times New Roman"/>
                <w:b w:val="0"/>
                <w:bCs/>
                <w:color w:val="auto"/>
                <w:sz w:val="21"/>
                <w:szCs w:val="21"/>
                <w:highlight w:val="none"/>
                <w:lang w:val="en-US" w:eastAsia="zh-CN"/>
              </w:rPr>
              <w:t>、撞击、摩擦和倾倒。</w:t>
            </w:r>
          </w:p>
          <w:p w14:paraId="1574D0D5">
            <w:pPr>
              <w:pStyle w:val="10"/>
              <w:jc w:val="both"/>
              <w:rPr>
                <w:rFonts w:hint="eastAsia" w:ascii="Times New Roman" w:hAnsi="Times New Roman" w:eastAsia="宋体" w:cs="Times New Roman"/>
                <w:b w:val="0"/>
                <w:bCs/>
                <w:color w:val="auto"/>
                <w:kern w:val="2"/>
                <w:sz w:val="21"/>
                <w:szCs w:val="21"/>
                <w:highlight w:val="none"/>
                <w:lang w:val="en-US" w:eastAsia="zh-CN" w:bidi="ar-SA"/>
              </w:rPr>
            </w:pPr>
            <w:r>
              <w:rPr>
                <w:rFonts w:hint="eastAsia" w:ascii="Times New Roman" w:hAnsi="Times New Roman" w:eastAsia="宋体" w:cs="Times New Roman"/>
                <w:b w:val="0"/>
                <w:bCs/>
                <w:color w:val="auto"/>
                <w:kern w:val="2"/>
                <w:sz w:val="21"/>
                <w:szCs w:val="21"/>
                <w:highlight w:val="none"/>
                <w:lang w:val="en-US" w:eastAsia="zh-CN" w:bidi="ar-SA"/>
              </w:rPr>
              <w:t>⑦厂区严禁违规动火，按规范配备灭火器、消防沙等消防器材；划分禁烟禁火区域，加强员工安全操作培训。</w:t>
            </w:r>
          </w:p>
          <w:p w14:paraId="41818983">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（2）泄漏</w:t>
            </w:r>
            <w:r>
              <w:rPr>
                <w:rFonts w:hint="eastAsia" w:eastAsia="宋体" w:cs="Times New Roman"/>
                <w:b w:val="0"/>
                <w:bCs/>
                <w:color w:val="auto"/>
                <w:sz w:val="21"/>
                <w:szCs w:val="21"/>
                <w:highlight w:val="none"/>
                <w:lang w:val="en-US" w:eastAsia="zh-CN"/>
              </w:rPr>
              <w:t>事故处理应急要求</w:t>
            </w:r>
          </w:p>
          <w:p w14:paraId="44C7BC50">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为了在重大事故发生后能够及时予以控制，防止事故蔓延扩大，有效</w:t>
            </w:r>
            <w:r>
              <w:rPr>
                <w:rFonts w:hint="eastAsia" w:cs="Times New Roman"/>
                <w:b w:val="0"/>
                <w:bCs/>
                <w:color w:val="auto"/>
                <w:sz w:val="21"/>
                <w:szCs w:val="21"/>
                <w:highlight w:val="none"/>
                <w:lang w:val="en-US" w:eastAsia="zh-CN"/>
              </w:rPr>
              <w:t>地</w:t>
            </w:r>
            <w:r>
              <w:rPr>
                <w:rFonts w:hint="eastAsia" w:eastAsia="宋体" w:cs="Times New Roman"/>
                <w:b w:val="0"/>
                <w:bCs/>
                <w:color w:val="auto"/>
                <w:sz w:val="21"/>
                <w:szCs w:val="21"/>
                <w:highlight w:val="none"/>
                <w:lang w:val="en-US" w:eastAsia="zh-CN"/>
              </w:rPr>
              <w:t>组织抢险和救助，单位应对已初步确认的危险场所和部位进行重大事故危险源的评估，对所有被认定的重大危险源，事先进行重大事故后果的定量预测。估计在重大事故发生后的状态，人员伤亡情况，建筑物破坏，设备损坏程度，以及物料泄漏可能引起的有毒、有害物质扩散对本单位及周边地区可能造成的危害程度的预测。根据预测，制定事故应急救援预案，组织训练抢险队伍和准备必要的救助物资和器材，以便在事故发生后，迅速有效</w:t>
            </w:r>
            <w:r>
              <w:rPr>
                <w:rFonts w:hint="eastAsia" w:cs="Times New Roman"/>
                <w:b w:val="0"/>
                <w:bCs/>
                <w:color w:val="auto"/>
                <w:sz w:val="21"/>
                <w:szCs w:val="21"/>
                <w:highlight w:val="none"/>
                <w:lang w:val="en-US" w:eastAsia="zh-CN"/>
              </w:rPr>
              <w:t>地</w:t>
            </w:r>
            <w:r>
              <w:rPr>
                <w:rFonts w:hint="eastAsia" w:eastAsia="宋体" w:cs="Times New Roman"/>
                <w:b w:val="0"/>
                <w:bCs/>
                <w:color w:val="auto"/>
                <w:sz w:val="21"/>
                <w:szCs w:val="21"/>
                <w:highlight w:val="none"/>
                <w:lang w:val="en-US" w:eastAsia="zh-CN"/>
              </w:rPr>
              <w:t>采取应急措施，在短时间内使事故得到有效控制。项目应急预案重点如下：</w:t>
            </w:r>
          </w:p>
          <w:p w14:paraId="6624A61E">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①液体试剂泄漏事故处理应急处置措施</w:t>
            </w:r>
          </w:p>
          <w:p w14:paraId="7E5CF838">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a</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安全防护措施：避免一切接触。</w:t>
            </w:r>
          </w:p>
          <w:p w14:paraId="4310CC82">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b</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现场控制：隔离泄漏污染区，周围设标志，防止扩散，疏散人员撤离危险区域。切断泄漏源，防止进入下水道。</w:t>
            </w:r>
          </w:p>
          <w:p w14:paraId="0939641E">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c</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泄漏处置：迅速撤离泄漏污染区人员至安全区，应急处理人员用砂土等物质进行混合，收集后运至废物处置场所安全处置。</w:t>
            </w:r>
          </w:p>
          <w:p w14:paraId="62B9C8EB">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②危废</w:t>
            </w:r>
            <w:r>
              <w:rPr>
                <w:rFonts w:hint="eastAsia" w:cs="Times New Roman"/>
                <w:b w:val="0"/>
                <w:bCs/>
                <w:color w:val="auto"/>
                <w:sz w:val="21"/>
                <w:szCs w:val="21"/>
                <w:highlight w:val="none"/>
                <w:lang w:val="en-US" w:eastAsia="zh-CN"/>
              </w:rPr>
              <w:t>暂存</w:t>
            </w:r>
            <w:r>
              <w:rPr>
                <w:rFonts w:hint="eastAsia" w:eastAsia="宋体" w:cs="Times New Roman"/>
                <w:b w:val="0"/>
                <w:bCs/>
                <w:color w:val="auto"/>
                <w:sz w:val="21"/>
                <w:szCs w:val="21"/>
                <w:highlight w:val="none"/>
                <w:lang w:val="en-US" w:eastAsia="zh-CN"/>
              </w:rPr>
              <w:t>间泄漏应急处置措施</w:t>
            </w:r>
          </w:p>
          <w:p w14:paraId="5C22D673">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a</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安全防护措施：避免一切直接接触。</w:t>
            </w:r>
          </w:p>
          <w:p w14:paraId="2229C0F4">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b</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现场控制：隔离泄漏污染区，周围设标志，防止扩散，疏散人员撤离危险区域。应急处理人员用砂土混合泄漏的液态危险废物，防止进入下水道。</w:t>
            </w:r>
          </w:p>
          <w:p w14:paraId="13908644">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c</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泄漏处置：发生容器破裂或泄漏情况，马上更换破损容器，将</w:t>
            </w:r>
            <w:r>
              <w:rPr>
                <w:rFonts w:hint="eastAsia" w:cs="Times New Roman"/>
                <w:b w:val="0"/>
                <w:bCs/>
                <w:color w:val="auto"/>
                <w:sz w:val="21"/>
                <w:szCs w:val="21"/>
                <w:highlight w:val="none"/>
                <w:lang w:val="en-US" w:eastAsia="zh-CN"/>
              </w:rPr>
              <w:t>泄漏</w:t>
            </w:r>
            <w:r>
              <w:rPr>
                <w:rFonts w:hint="eastAsia" w:eastAsia="宋体" w:cs="Times New Roman"/>
                <w:b w:val="0"/>
                <w:bCs/>
                <w:color w:val="auto"/>
                <w:sz w:val="21"/>
                <w:szCs w:val="21"/>
                <w:highlight w:val="none"/>
                <w:lang w:val="en-US" w:eastAsia="zh-CN"/>
              </w:rPr>
              <w:t>的物料收集到密闭容器内，暂存于</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，并委托有资质单位处置。</w:t>
            </w:r>
          </w:p>
          <w:p w14:paraId="1859C2A8">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（3）火灾引发伴生/次生污染物排放</w:t>
            </w:r>
            <w:r>
              <w:rPr>
                <w:rFonts w:hint="eastAsia" w:eastAsia="宋体" w:cs="Times New Roman"/>
                <w:b w:val="0"/>
                <w:bCs/>
                <w:color w:val="auto"/>
                <w:sz w:val="21"/>
                <w:szCs w:val="21"/>
                <w:highlight w:val="none"/>
                <w:lang w:val="en-US" w:eastAsia="zh-CN"/>
              </w:rPr>
              <w:t>事故处理应急要求</w:t>
            </w:r>
          </w:p>
          <w:p w14:paraId="378B432C">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color w:val="auto"/>
                <w:sz w:val="21"/>
                <w:szCs w:val="21"/>
              </w:rPr>
            </w:pPr>
            <w:r>
              <w:rPr>
                <w:rFonts w:ascii="宋体" w:hAnsi="宋体" w:eastAsia="宋体" w:cs="宋体"/>
                <w:color w:val="auto"/>
                <w:kern w:val="0"/>
                <w:sz w:val="21"/>
                <w:szCs w:val="21"/>
                <w:lang w:val="en-US" w:eastAsia="zh-CN" w:bidi="ar"/>
              </w:rPr>
              <w:t>火灾事故发生后，燃烧会产生一氧化碳、二氧化硫、氮氧化物、烟尘、VOCs等伴生</w:t>
            </w:r>
            <w:r>
              <w:rPr>
                <w:rFonts w:hint="eastAsia" w:ascii="宋体" w:hAnsi="宋体" w:eastAsia="宋体" w:cs="宋体"/>
                <w:color w:val="auto"/>
                <w:kern w:val="0"/>
                <w:sz w:val="21"/>
                <w:szCs w:val="21"/>
                <w:lang w:val="en-US" w:eastAsia="zh-CN" w:bidi="ar"/>
              </w:rPr>
              <w:t>/</w:t>
            </w:r>
            <w:r>
              <w:rPr>
                <w:rFonts w:ascii="宋体" w:hAnsi="宋体" w:eastAsia="宋体" w:cs="宋体"/>
                <w:color w:val="auto"/>
                <w:kern w:val="0"/>
                <w:sz w:val="21"/>
                <w:szCs w:val="21"/>
                <w:lang w:val="en-US" w:eastAsia="zh-CN" w:bidi="ar"/>
              </w:rPr>
              <w:t>次生污染物；同时产生大量含油等污染物的消防废水，若处置不当，将对大气、地表水、土壤及地下水造成严重污染。为有效控制火灾事故及其次生环境影响，应急要求如下：</w:t>
            </w:r>
          </w:p>
          <w:p w14:paraId="6B6F76AF">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color w:val="auto"/>
                <w:sz w:val="21"/>
                <w:szCs w:val="21"/>
              </w:rPr>
            </w:pPr>
            <w:r>
              <w:rPr>
                <w:rFonts w:ascii="宋体" w:hAnsi="宋体" w:eastAsia="宋体" w:cs="宋体"/>
                <w:color w:val="auto"/>
                <w:kern w:val="0"/>
                <w:sz w:val="21"/>
                <w:szCs w:val="21"/>
                <w:lang w:val="en-US" w:eastAsia="zh-CN" w:bidi="ar"/>
              </w:rPr>
              <w:t xml:space="preserve">① </w:t>
            </w:r>
            <w:r>
              <w:rPr>
                <w:rStyle w:val="28"/>
                <w:rFonts w:ascii="宋体" w:hAnsi="宋体" w:eastAsia="宋体" w:cs="宋体"/>
                <w:color w:val="auto"/>
                <w:kern w:val="0"/>
                <w:sz w:val="21"/>
                <w:szCs w:val="21"/>
                <w:lang w:val="en-US" w:eastAsia="zh-CN" w:bidi="ar"/>
              </w:rPr>
              <w:t>火灾事故现场应急处置措施</w:t>
            </w:r>
            <w:r>
              <w:rPr>
                <w:rFonts w:ascii="宋体" w:hAnsi="宋体" w:eastAsia="宋体" w:cs="宋体"/>
                <w:color w:val="auto"/>
                <w:kern w:val="0"/>
                <w:sz w:val="21"/>
                <w:szCs w:val="21"/>
                <w:lang w:val="en-US" w:eastAsia="zh-CN" w:bidi="ar"/>
              </w:rPr>
              <w:t xml:space="preserve"> a. </w:t>
            </w:r>
            <w:r>
              <w:rPr>
                <w:rStyle w:val="28"/>
                <w:rFonts w:ascii="宋体" w:hAnsi="宋体" w:eastAsia="宋体" w:cs="宋体"/>
                <w:color w:val="auto"/>
                <w:kern w:val="0"/>
                <w:sz w:val="21"/>
                <w:szCs w:val="21"/>
                <w:lang w:val="en-US" w:eastAsia="zh-CN" w:bidi="ar"/>
              </w:rPr>
              <w:t>安全防护措施</w:t>
            </w:r>
            <w:r>
              <w:rPr>
                <w:rFonts w:ascii="宋体" w:hAnsi="宋体" w:eastAsia="宋体" w:cs="宋体"/>
                <w:color w:val="auto"/>
                <w:kern w:val="0"/>
                <w:sz w:val="21"/>
                <w:szCs w:val="21"/>
                <w:lang w:val="en-US" w:eastAsia="zh-CN" w:bidi="ar"/>
              </w:rPr>
              <w:t xml:space="preserve">：灭火人员必须佩戴防毒面具、防护手套、防护靴等个人防护装备，避免吸入有毒烟气、接触高温及腐蚀性物质。 b. </w:t>
            </w:r>
            <w:r>
              <w:rPr>
                <w:rStyle w:val="28"/>
                <w:rFonts w:ascii="宋体" w:hAnsi="宋体" w:eastAsia="宋体" w:cs="宋体"/>
                <w:color w:val="auto"/>
                <w:kern w:val="0"/>
                <w:sz w:val="21"/>
                <w:szCs w:val="21"/>
                <w:lang w:val="en-US" w:eastAsia="zh-CN" w:bidi="ar"/>
              </w:rPr>
              <w:t>现场控制与灭火</w:t>
            </w:r>
            <w:r>
              <w:rPr>
                <w:rFonts w:ascii="宋体" w:hAnsi="宋体" w:eastAsia="宋体" w:cs="宋体"/>
                <w:color w:val="auto"/>
                <w:kern w:val="0"/>
                <w:sz w:val="21"/>
                <w:szCs w:val="21"/>
                <w:lang w:val="en-US" w:eastAsia="zh-CN" w:bidi="ar"/>
              </w:rPr>
              <w:t>：立即切断火源、电源，划定警戒区域，疏散无关人员至上风向安全地带；使用干粉灭火器、消防沙等合适灭火剂灭火，避免使用直流水冲击导致火势扩散或油品飞溅。</w:t>
            </w:r>
          </w:p>
          <w:p w14:paraId="47B476AE">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color w:val="auto"/>
                <w:sz w:val="21"/>
                <w:szCs w:val="21"/>
              </w:rPr>
            </w:pPr>
            <w:r>
              <w:rPr>
                <w:rFonts w:ascii="宋体" w:hAnsi="宋体" w:eastAsia="宋体" w:cs="宋体"/>
                <w:color w:val="auto"/>
                <w:kern w:val="0"/>
                <w:sz w:val="21"/>
                <w:szCs w:val="21"/>
                <w:lang w:val="en-US" w:eastAsia="zh-CN" w:bidi="ar"/>
              </w:rPr>
              <w:t xml:space="preserve">② </w:t>
            </w:r>
            <w:r>
              <w:rPr>
                <w:rStyle w:val="28"/>
                <w:rFonts w:ascii="宋体" w:hAnsi="宋体" w:eastAsia="宋体" w:cs="宋体"/>
                <w:color w:val="auto"/>
                <w:kern w:val="0"/>
                <w:sz w:val="21"/>
                <w:szCs w:val="21"/>
                <w:lang w:val="en-US" w:eastAsia="zh-CN" w:bidi="ar"/>
              </w:rPr>
              <w:t>消防废水（次生污染）应急处置措施</w:t>
            </w:r>
            <w:r>
              <w:rPr>
                <w:rFonts w:ascii="宋体" w:hAnsi="宋体" w:eastAsia="宋体" w:cs="宋体"/>
                <w:color w:val="auto"/>
                <w:kern w:val="0"/>
                <w:sz w:val="21"/>
                <w:szCs w:val="21"/>
                <w:lang w:val="en-US" w:eastAsia="zh-CN" w:bidi="ar"/>
              </w:rPr>
              <w:t xml:space="preserve"> a. </w:t>
            </w:r>
            <w:r>
              <w:rPr>
                <w:rStyle w:val="28"/>
                <w:rFonts w:ascii="宋体" w:hAnsi="宋体" w:eastAsia="宋体" w:cs="宋体"/>
                <w:color w:val="auto"/>
                <w:kern w:val="0"/>
                <w:sz w:val="21"/>
                <w:szCs w:val="21"/>
                <w:lang w:val="en-US" w:eastAsia="zh-CN" w:bidi="ar"/>
              </w:rPr>
              <w:t>截流收集</w:t>
            </w:r>
            <w:r>
              <w:rPr>
                <w:rFonts w:ascii="宋体" w:hAnsi="宋体" w:eastAsia="宋体" w:cs="宋体"/>
                <w:color w:val="auto"/>
                <w:kern w:val="0"/>
                <w:sz w:val="21"/>
                <w:szCs w:val="21"/>
                <w:lang w:val="en-US" w:eastAsia="zh-CN" w:bidi="ar"/>
              </w:rPr>
              <w:t xml:space="preserve">：迅速关闭雨水排口阀门，启动应急切换系统，将消防废水全部导入事故应急池，严禁未经处理外排。 b. </w:t>
            </w:r>
            <w:r>
              <w:rPr>
                <w:rStyle w:val="28"/>
                <w:rFonts w:ascii="宋体" w:hAnsi="宋体" w:eastAsia="宋体" w:cs="宋体"/>
                <w:color w:val="auto"/>
                <w:kern w:val="0"/>
                <w:sz w:val="21"/>
                <w:szCs w:val="21"/>
                <w:lang w:val="en-US" w:eastAsia="zh-CN" w:bidi="ar"/>
              </w:rPr>
              <w:t>防渗与拦截</w:t>
            </w:r>
            <w:r>
              <w:rPr>
                <w:rFonts w:ascii="宋体" w:hAnsi="宋体" w:eastAsia="宋体" w:cs="宋体"/>
                <w:color w:val="auto"/>
                <w:kern w:val="0"/>
                <w:sz w:val="21"/>
                <w:szCs w:val="21"/>
                <w:lang w:val="en-US" w:eastAsia="zh-CN" w:bidi="ar"/>
              </w:rPr>
              <w:t xml:space="preserve">：在事故区域周边设置围挡、防渗沟，防止消防废水漫流渗入土壤及地下水；对泄漏至地面的污染物用砂土吸附收集。 c. </w:t>
            </w:r>
            <w:r>
              <w:rPr>
                <w:rStyle w:val="28"/>
                <w:rFonts w:ascii="宋体" w:hAnsi="宋体" w:eastAsia="宋体" w:cs="宋体"/>
                <w:color w:val="auto"/>
                <w:kern w:val="0"/>
                <w:sz w:val="21"/>
                <w:szCs w:val="21"/>
                <w:lang w:val="en-US" w:eastAsia="zh-CN" w:bidi="ar"/>
              </w:rPr>
              <w:t>后续处置</w:t>
            </w:r>
            <w:r>
              <w:rPr>
                <w:rFonts w:ascii="宋体" w:hAnsi="宋体" w:eastAsia="宋体" w:cs="宋体"/>
                <w:color w:val="auto"/>
                <w:kern w:val="0"/>
                <w:sz w:val="21"/>
                <w:szCs w:val="21"/>
                <w:lang w:val="en-US" w:eastAsia="zh-CN" w:bidi="ar"/>
              </w:rPr>
              <w:t>：应急池内的消防废水，</w:t>
            </w:r>
            <w:r>
              <w:rPr>
                <w:rFonts w:hint="eastAsia" w:ascii="宋体" w:hAnsi="宋体" w:eastAsia="宋体" w:cs="宋体"/>
                <w:color w:val="auto"/>
                <w:kern w:val="0"/>
                <w:sz w:val="21"/>
                <w:szCs w:val="21"/>
                <w:lang w:val="en-US" w:eastAsia="zh-CN" w:bidi="ar"/>
              </w:rPr>
              <w:t>排入厂区污水处理站进行处理，</w:t>
            </w:r>
            <w:r>
              <w:rPr>
                <w:rFonts w:ascii="宋体" w:hAnsi="宋体" w:eastAsia="宋体" w:cs="宋体"/>
                <w:color w:val="auto"/>
                <w:kern w:val="0"/>
                <w:sz w:val="21"/>
                <w:szCs w:val="21"/>
                <w:lang w:val="en-US" w:eastAsia="zh-CN" w:bidi="ar"/>
              </w:rPr>
              <w:t>达标后排放。</w:t>
            </w:r>
          </w:p>
          <w:p w14:paraId="73740EF1">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4</w:t>
            </w:r>
            <w:r>
              <w:rPr>
                <w:rFonts w:hint="eastAsia" w:eastAsia="宋体" w:cs="Times New Roman"/>
                <w:b w:val="0"/>
                <w:bCs/>
                <w:color w:val="auto"/>
                <w:sz w:val="21"/>
                <w:szCs w:val="21"/>
                <w:highlight w:val="none"/>
                <w:lang w:val="en-US" w:eastAsia="zh-CN"/>
              </w:rPr>
              <w:t>、突发环境事件应急预案</w:t>
            </w:r>
          </w:p>
          <w:p w14:paraId="75C4C868">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本项目针对环境风险事故拟采取多种防范措施，可将风险事故的概率降至较低的水平，但概率不会降为零，一旦发生事故仍需采取应急措施，控制和减少事故危害。公司应根据《企业突发环境事件风险评估指南</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试行</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》（环办</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2014</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34号）、《突发环境事件应急管理办法》（环境保护部令34号）和《企业事业单位突发环境事件应急预案备案管理办法</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试行</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》（环发</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2015</w:t>
            </w:r>
            <w:r>
              <w:rPr>
                <w:rFonts w:hint="eastAsia" w:cs="Times New Roman"/>
                <w:b w:val="0"/>
                <w:bCs/>
                <w:color w:val="auto"/>
                <w:sz w:val="21"/>
                <w:szCs w:val="21"/>
                <w:highlight w:val="none"/>
                <w:lang w:val="en-US" w:eastAsia="zh-CN"/>
              </w:rPr>
              <w:t>〕</w:t>
            </w:r>
            <w:r>
              <w:rPr>
                <w:rFonts w:hint="eastAsia" w:eastAsia="宋体" w:cs="Times New Roman"/>
                <w:b w:val="0"/>
                <w:bCs/>
                <w:color w:val="auto"/>
                <w:sz w:val="21"/>
                <w:szCs w:val="21"/>
                <w:highlight w:val="none"/>
                <w:lang w:val="en-US" w:eastAsia="zh-CN"/>
              </w:rPr>
              <w:t>4号）要求，结合</w:t>
            </w:r>
            <w:r>
              <w:rPr>
                <w:rFonts w:hint="eastAsia" w:cs="Times New Roman"/>
                <w:b w:val="0"/>
                <w:bCs/>
                <w:color w:val="auto"/>
                <w:sz w:val="21"/>
                <w:szCs w:val="21"/>
                <w:highlight w:val="none"/>
                <w:lang w:val="en-US" w:eastAsia="zh-CN"/>
              </w:rPr>
              <w:t>本</w:t>
            </w:r>
            <w:r>
              <w:rPr>
                <w:rFonts w:hint="eastAsia" w:eastAsia="宋体" w:cs="Times New Roman"/>
                <w:b w:val="0"/>
                <w:bCs/>
                <w:color w:val="auto"/>
                <w:sz w:val="21"/>
                <w:szCs w:val="21"/>
                <w:highlight w:val="none"/>
                <w:lang w:val="en-US" w:eastAsia="zh-CN"/>
              </w:rPr>
              <w:t>项目生产过程存在的风险事故类型，制定适用于本项目的突发环境事件应急预案，预案应包括预案适用范围、环境事件分类与分级、组织机构与职责、监控和预警、应急响应、应急保障、善后处理、预案管理与演练等内容，并应体现分级响应、区域联动的原则，与地方政府突发环境事件应急预案相衔接，明确分级响应程序。以便在事故发生后，迅速有效地采取应急措施，在短时间内使事故得到有效控制。</w:t>
            </w:r>
          </w:p>
          <w:p w14:paraId="7593242C">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cs="Times New Roman"/>
                <w:b w:val="0"/>
                <w:bCs/>
                <w:color w:val="auto"/>
                <w:sz w:val="21"/>
                <w:szCs w:val="21"/>
                <w:highlight w:val="none"/>
                <w:lang w:val="en-US" w:eastAsia="zh-CN"/>
              </w:rPr>
              <w:t>5</w:t>
            </w:r>
            <w:r>
              <w:rPr>
                <w:rFonts w:hint="eastAsia" w:eastAsia="宋体" w:cs="Times New Roman"/>
                <w:b w:val="0"/>
                <w:bCs/>
                <w:color w:val="auto"/>
                <w:sz w:val="21"/>
                <w:szCs w:val="21"/>
                <w:highlight w:val="none"/>
                <w:lang w:val="en-US" w:eastAsia="zh-CN"/>
              </w:rPr>
              <w:t>、环境风险评价结论</w:t>
            </w:r>
          </w:p>
          <w:p w14:paraId="19DDA0B7">
            <w:pPr>
              <w:adjustRightInd/>
              <w:snapToGrid/>
              <w:spacing w:beforeLines="0" w:afterLines="0" w:line="360" w:lineRule="auto"/>
              <w:ind w:firstLine="420" w:firstLineChars="200"/>
              <w:rPr>
                <w:rFonts w:hint="eastAsia" w:eastAsia="宋体" w:cs="Times New Roman"/>
                <w:b w:val="0"/>
                <w:bCs/>
                <w:color w:val="auto"/>
                <w:sz w:val="21"/>
                <w:szCs w:val="21"/>
                <w:highlight w:val="none"/>
                <w:lang w:val="en-US" w:eastAsia="zh-CN"/>
              </w:rPr>
            </w:pPr>
            <w:r>
              <w:rPr>
                <w:rFonts w:hint="eastAsia" w:eastAsia="宋体" w:cs="Times New Roman"/>
                <w:b w:val="0"/>
                <w:bCs/>
                <w:color w:val="auto"/>
                <w:sz w:val="21"/>
                <w:szCs w:val="21"/>
                <w:highlight w:val="none"/>
                <w:lang w:val="en-US" w:eastAsia="zh-CN"/>
              </w:rPr>
              <w:t>本项目涉及的危险废物暂存于</w:t>
            </w:r>
            <w:r>
              <w:rPr>
                <w:rFonts w:hint="eastAsia" w:cs="Times New Roman"/>
                <w:b w:val="0"/>
                <w:bCs/>
                <w:color w:val="auto"/>
                <w:sz w:val="21"/>
                <w:szCs w:val="21"/>
                <w:highlight w:val="none"/>
                <w:lang w:val="en-US" w:eastAsia="zh-CN"/>
              </w:rPr>
              <w:t>危废暂存间</w:t>
            </w:r>
            <w:r>
              <w:rPr>
                <w:rFonts w:hint="eastAsia" w:eastAsia="宋体" w:cs="Times New Roman"/>
                <w:b w:val="0"/>
                <w:bCs/>
                <w:color w:val="auto"/>
                <w:sz w:val="21"/>
                <w:szCs w:val="21"/>
                <w:highlight w:val="none"/>
                <w:lang w:val="en-US" w:eastAsia="zh-CN"/>
              </w:rPr>
              <w:t>内。上述风险源存在发生泄漏等事故的风险。项目应严格按照相关规范进行危险物质的储存和转运，加强风险防范管理，建立风险事故应急对策及预案，将风险发生概率及其产生的破坏降到最低程度。企业在采取完善的应急措施的前提下，可有效降低环境风险。综上所述，本项目环境风险是可接受的。</w:t>
            </w:r>
          </w:p>
          <w:p w14:paraId="217CCA55">
            <w:pPr>
              <w:keepNext w:val="0"/>
              <w:keepLines w:val="0"/>
              <w:suppressLineNumbers w:val="0"/>
              <w:autoSpaceDE/>
              <w:adjustRightInd/>
              <w:snapToGrid/>
              <w:spacing w:before="0" w:beforeAutospacing="0" w:after="0" w:afterAutospacing="0" w:line="360" w:lineRule="auto"/>
              <w:ind w:left="0" w:right="0" w:firstLine="422" w:firstLineChars="200"/>
              <w:rPr>
                <w:rFonts w:hint="default" w:ascii="Times New Roman" w:hAnsi="Times New Roman" w:eastAsia="宋体" w:cs="Times New Roman"/>
                <w:b/>
                <w:bCs/>
                <w:color w:val="auto"/>
                <w:sz w:val="21"/>
                <w:szCs w:val="21"/>
                <w:highlight w:val="none"/>
              </w:rPr>
            </w:pPr>
            <w:r>
              <w:rPr>
                <w:rFonts w:hint="eastAsia" w:cs="Times New Roman"/>
                <w:b/>
                <w:bCs/>
                <w:color w:val="auto"/>
                <w:sz w:val="21"/>
                <w:szCs w:val="21"/>
                <w:highlight w:val="none"/>
                <w:lang w:eastAsia="zh-CN"/>
              </w:rPr>
              <w:t>（</w:t>
            </w:r>
            <w:r>
              <w:rPr>
                <w:rFonts w:hint="eastAsia" w:cs="Times New Roman"/>
                <w:b/>
                <w:bCs/>
                <w:color w:val="auto"/>
                <w:sz w:val="21"/>
                <w:szCs w:val="21"/>
                <w:highlight w:val="none"/>
                <w:lang w:val="en-US" w:eastAsia="zh-CN"/>
              </w:rPr>
              <w:t>八</w:t>
            </w:r>
            <w:r>
              <w:rPr>
                <w:rFonts w:hint="eastAsia"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电磁辐射</w:t>
            </w:r>
          </w:p>
          <w:p w14:paraId="1983D434">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本项目不涉及电磁辐射内容。</w:t>
            </w:r>
          </w:p>
          <w:p w14:paraId="25FDB166">
            <w:pPr>
              <w:keepNext w:val="0"/>
              <w:keepLines w:val="0"/>
              <w:suppressLineNumbers w:val="0"/>
              <w:autoSpaceDE/>
              <w:adjustRightInd/>
              <w:snapToGrid/>
              <w:spacing w:before="0" w:beforeAutospacing="0" w:after="0" w:afterAutospacing="0" w:line="360" w:lineRule="auto"/>
              <w:ind w:left="0" w:right="0" w:firstLine="422" w:firstLineChars="200"/>
              <w:rPr>
                <w:rFonts w:hint="default" w:ascii="Times New Roman" w:hAnsi="Times New Roman" w:eastAsia="宋体" w:cs="Times New Roman"/>
                <w:b/>
                <w:bCs/>
                <w:color w:val="auto"/>
                <w:sz w:val="21"/>
                <w:szCs w:val="21"/>
                <w:highlight w:val="none"/>
              </w:rPr>
            </w:pPr>
            <w:r>
              <w:rPr>
                <w:rFonts w:hint="eastAsia" w:cs="Times New Roman"/>
                <w:b/>
                <w:bCs/>
                <w:color w:val="auto"/>
                <w:sz w:val="21"/>
                <w:szCs w:val="21"/>
                <w:highlight w:val="none"/>
                <w:lang w:eastAsia="zh-CN"/>
              </w:rPr>
              <w:t>（</w:t>
            </w:r>
            <w:r>
              <w:rPr>
                <w:rFonts w:hint="eastAsia" w:cs="Times New Roman"/>
                <w:b/>
                <w:bCs/>
                <w:color w:val="auto"/>
                <w:sz w:val="21"/>
                <w:szCs w:val="21"/>
                <w:highlight w:val="none"/>
                <w:lang w:val="en-US" w:eastAsia="zh-CN"/>
              </w:rPr>
              <w:t>九</w:t>
            </w:r>
            <w:r>
              <w:rPr>
                <w:rFonts w:hint="eastAsia" w:cs="Times New Roman"/>
                <w:b/>
                <w:bCs/>
                <w:color w:val="auto"/>
                <w:sz w:val="21"/>
                <w:szCs w:val="21"/>
                <w:highlight w:val="none"/>
                <w:lang w:eastAsia="zh-CN"/>
              </w:rPr>
              <w:t>）环境管理要求</w:t>
            </w:r>
          </w:p>
          <w:p w14:paraId="26A4431E">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为了贯彻执行有关环境保护法规，及时了解项目及其周围环境质量变化情况，掌握环境保护措施实施的效果，保证该区域良好的环境质量，建设单位进行相应的环境管理。</w:t>
            </w:r>
          </w:p>
          <w:p w14:paraId="6A5C6EBE">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1、</w:t>
            </w:r>
            <w:r>
              <w:rPr>
                <w:rFonts w:hint="default" w:ascii="Times New Roman" w:hAnsi="Times New Roman" w:eastAsia="宋体" w:cs="Times New Roman"/>
                <w:color w:val="auto"/>
                <w:sz w:val="21"/>
                <w:szCs w:val="21"/>
                <w:highlight w:val="none"/>
                <w:lang w:eastAsia="zh-CN"/>
              </w:rPr>
              <w:t>环境管理要求</w:t>
            </w:r>
          </w:p>
          <w:p w14:paraId="1CBCDC8A">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①贯彻落实国家相关法律法规及政策，以国家相关法律法规为依据，落实防治环境污染和生态破坏的措施以及环境保护设施投资概算，及</w:t>
            </w:r>
            <w:r>
              <w:rPr>
                <w:rFonts w:hint="eastAsia" w:cs="Times New Roman"/>
                <w:color w:val="auto"/>
                <w:sz w:val="21"/>
                <w:szCs w:val="21"/>
                <w:highlight w:val="none"/>
                <w:lang w:eastAsia="zh-CN"/>
              </w:rPr>
              <w:t>时向</w:t>
            </w:r>
            <w:r>
              <w:rPr>
                <w:rFonts w:hint="default" w:ascii="Times New Roman" w:hAnsi="Times New Roman" w:eastAsia="宋体" w:cs="Times New Roman"/>
                <w:color w:val="auto"/>
                <w:sz w:val="21"/>
                <w:szCs w:val="21"/>
                <w:highlight w:val="none"/>
                <w:lang w:eastAsia="zh-CN"/>
              </w:rPr>
              <w:t>当地环境保护部门汇报各阶段的情况。</w:t>
            </w:r>
          </w:p>
          <w:p w14:paraId="29C423AD">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②项目的建设遵循</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none"/>
                <w:lang w:eastAsia="zh-CN"/>
              </w:rPr>
              <w:t>三同时</w:t>
            </w:r>
            <w:r>
              <w:rPr>
                <w:rFonts w:hint="eastAsia" w:ascii="宋体" w:hAnsi="宋体" w:cs="宋体"/>
                <w:color w:val="auto"/>
                <w:sz w:val="21"/>
                <w:szCs w:val="21"/>
                <w:highlight w:val="none"/>
                <w:lang w:eastAsia="zh-CN"/>
              </w:rPr>
              <w:t>”</w:t>
            </w:r>
            <w:r>
              <w:rPr>
                <w:rFonts w:hint="default" w:ascii="Times New Roman" w:hAnsi="Times New Roman" w:eastAsia="宋体" w:cs="Times New Roman"/>
                <w:color w:val="auto"/>
                <w:sz w:val="21"/>
                <w:szCs w:val="21"/>
                <w:highlight w:val="none"/>
                <w:lang w:eastAsia="zh-CN"/>
              </w:rPr>
              <w:t>制度，即项目环保措施与主体工程同时设计、同时施工、同时投产使用。</w:t>
            </w:r>
          </w:p>
          <w:p w14:paraId="4AE4FC4C">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③排污许可制度衔接。建设单位应按照《排污许可管理条例》、《</w:t>
            </w:r>
            <w:r>
              <w:rPr>
                <w:rFonts w:hint="eastAsia" w:cs="Times New Roman"/>
                <w:color w:val="auto"/>
                <w:sz w:val="21"/>
                <w:szCs w:val="21"/>
                <w:highlight w:val="none"/>
                <w:lang w:eastAsia="zh-CN"/>
              </w:rPr>
              <w:t>固定污染源排污许可分类管理名录</w:t>
            </w:r>
            <w:r>
              <w:rPr>
                <w:rFonts w:hint="default" w:ascii="Times New Roman" w:hAnsi="Times New Roman" w:eastAsia="宋体" w:cs="Times New Roman"/>
                <w:color w:val="auto"/>
                <w:sz w:val="21"/>
                <w:szCs w:val="21"/>
                <w:highlight w:val="none"/>
                <w:lang w:eastAsia="zh-CN"/>
              </w:rPr>
              <w:t>》等排污许可证相关管理要求，在规定时限内进行排污申报。</w:t>
            </w:r>
          </w:p>
          <w:p w14:paraId="62611404">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④建设项目竣工后，建设单位或者其委托的技术机构应当依照国家有关法律法规。建设</w:t>
            </w:r>
            <w:r>
              <w:rPr>
                <w:rFonts w:hint="eastAsia" w:cs="Times New Roman"/>
                <w:color w:val="auto"/>
                <w:sz w:val="21"/>
                <w:szCs w:val="21"/>
                <w:highlight w:val="none"/>
                <w:lang w:eastAsia="zh-CN"/>
              </w:rPr>
              <w:t>项目</w:t>
            </w:r>
            <w:r>
              <w:rPr>
                <w:rFonts w:hint="default" w:ascii="Times New Roman" w:hAnsi="Times New Roman" w:eastAsia="宋体" w:cs="Times New Roman"/>
                <w:color w:val="auto"/>
                <w:sz w:val="21"/>
                <w:szCs w:val="21"/>
                <w:highlight w:val="none"/>
                <w:lang w:eastAsia="zh-CN"/>
              </w:rPr>
              <w:t>竣工环境保护验收技术规范。建设项目环境影响报告表和审批决定等要求，如实查验、监测、记载建设项目环境保护设施的建设和调试情况，同时还应如实记载其他环境保护对策措施</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none"/>
                <w:lang w:eastAsia="zh-CN"/>
              </w:rPr>
              <w:t>三同时</w:t>
            </w:r>
            <w:r>
              <w:rPr>
                <w:rFonts w:hint="eastAsia" w:ascii="宋体" w:hAnsi="宋体" w:cs="宋体"/>
                <w:color w:val="auto"/>
                <w:sz w:val="21"/>
                <w:szCs w:val="21"/>
                <w:highlight w:val="none"/>
                <w:lang w:eastAsia="zh-CN"/>
              </w:rPr>
              <w:t>”</w:t>
            </w:r>
            <w:r>
              <w:rPr>
                <w:rFonts w:hint="default" w:ascii="Times New Roman" w:hAnsi="Times New Roman" w:eastAsia="宋体" w:cs="Times New Roman"/>
                <w:color w:val="auto"/>
                <w:sz w:val="21"/>
                <w:szCs w:val="21"/>
                <w:highlight w:val="none"/>
                <w:lang w:eastAsia="zh-CN"/>
              </w:rPr>
              <w:t>落实情况，编制竣工环境保护验收报告。</w:t>
            </w:r>
          </w:p>
          <w:p w14:paraId="48B3DAA0">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⑤验收报告编制完成后，建设单位应组织成立验收工作组。验收工作组由建设单位、设计单位、施工单位、环境影响报告表编制机构、验收报告编制机构等单位代表和专业技术专家组成。建设单位应当对验收工作组提出的问题进行整改，合格后方可出具验收合格的意见。建设项目配套建设的环境保护设施经验收合格后，其主体工程才可以投入运营或者使用，并纳入环境保护管理部门的管理，对项目各阶段工作进行监督、检查。建设单位按照《环境保护信息公开办法》进行相关信息的公开。</w:t>
            </w:r>
          </w:p>
          <w:p w14:paraId="5EACC90A">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val="en-US" w:eastAsia="zh-CN"/>
              </w:rPr>
              <w:t>2、</w:t>
            </w:r>
            <w:r>
              <w:rPr>
                <w:rFonts w:hint="default" w:ascii="Times New Roman" w:hAnsi="Times New Roman" w:eastAsia="宋体" w:cs="Times New Roman"/>
                <w:color w:val="auto"/>
                <w:sz w:val="21"/>
                <w:szCs w:val="21"/>
                <w:highlight w:val="none"/>
                <w:lang w:eastAsia="zh-CN"/>
              </w:rPr>
              <w:t>排污口规范化管理</w:t>
            </w:r>
          </w:p>
          <w:p w14:paraId="09281F70">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对排放口规范化整治的统一要求做到：</w:t>
            </w:r>
          </w:p>
          <w:p w14:paraId="79FC6448">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a</w:t>
            </w:r>
            <w:r>
              <w:rPr>
                <w:rFonts w:hint="eastAsia"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eastAsia="zh-CN"/>
              </w:rPr>
              <w:t>建设规范化排污口建设完善规范化排污口，同时建设的规范化排污口要充分考虑便于采集样品、便于监测计量、便于日常环境监督管理的要求。</w:t>
            </w:r>
          </w:p>
          <w:p w14:paraId="6062E585">
            <w:pPr>
              <w:keepNext w:val="0"/>
              <w:keepLines w:val="0"/>
              <w:suppressLineNumbers w:val="0"/>
              <w:autoSpaceDE/>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lang w:eastAsia="zh-CN"/>
              </w:rPr>
            </w:pPr>
            <w:r>
              <w:rPr>
                <w:rFonts w:hint="default" w:ascii="Times New Roman" w:hAnsi="Times New Roman" w:eastAsia="宋体" w:cs="Times New Roman"/>
                <w:color w:val="auto"/>
                <w:sz w:val="21"/>
                <w:szCs w:val="21"/>
                <w:highlight w:val="none"/>
                <w:lang w:eastAsia="zh-CN"/>
              </w:rPr>
              <w:t>b</w:t>
            </w:r>
            <w:r>
              <w:rPr>
                <w:rFonts w:hint="eastAsia"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lang w:eastAsia="zh-CN"/>
              </w:rPr>
              <w:t>设立标志牌</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5"/>
              <w:gridCol w:w="2105"/>
              <w:gridCol w:w="2106"/>
              <w:gridCol w:w="2106"/>
            </w:tblGrid>
            <w:tr w14:paraId="4BF23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pct"/>
                  <w:noWrap w:val="0"/>
                  <w:vAlign w:val="top"/>
                </w:tcPr>
                <w:p w14:paraId="226968B3">
                  <w:pPr>
                    <w:keepNext w:val="0"/>
                    <w:keepLines w:val="0"/>
                    <w:suppressLineNumbers w:val="0"/>
                    <w:spacing w:before="0" w:beforeAutospacing="0" w:after="0" w:afterAutospacing="0" w:line="240" w:lineRule="auto"/>
                    <w:ind w:left="0" w:right="0"/>
                    <w:rPr>
                      <w:rFonts w:hint="default"/>
                      <w:color w:val="auto"/>
                      <w:sz w:val="21"/>
                      <w:szCs w:val="21"/>
                      <w:highlight w:val="none"/>
                    </w:rPr>
                  </w:pPr>
                  <w:r>
                    <w:rPr>
                      <w:rFonts w:hint="eastAsia"/>
                      <w:color w:val="auto"/>
                      <w:sz w:val="21"/>
                      <w:szCs w:val="21"/>
                      <w:highlight w:val="none"/>
                    </w:rPr>
                    <w:drawing>
                      <wp:inline distT="0" distB="0" distL="114300" distR="114300">
                        <wp:extent cx="1287145" cy="1233805"/>
                        <wp:effectExtent l="0" t="0" r="0" b="0"/>
                        <wp:docPr id="204" name="图片 63" descr="6792f55dfa2e015f1350bbe5e50d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63" descr="6792f55dfa2e015f1350bbe5e50dfd2"/>
                                <pic:cNvPicPr>
                                  <a:picLocks noChangeAspect="1"/>
                                </pic:cNvPicPr>
                              </pic:nvPicPr>
                              <pic:blipFill>
                                <a:blip r:embed="rId23"/>
                                <a:srcRect l="-9590" t="-7121" r="-9590" b="-7121"/>
                                <a:stretch>
                                  <a:fillRect/>
                                </a:stretch>
                              </pic:blipFill>
                              <pic:spPr>
                                <a:xfrm>
                                  <a:off x="0" y="0"/>
                                  <a:ext cx="1287145" cy="1233805"/>
                                </a:xfrm>
                                <a:prstGeom prst="rect">
                                  <a:avLst/>
                                </a:prstGeom>
                                <a:noFill/>
                                <a:ln>
                                  <a:noFill/>
                                </a:ln>
                              </pic:spPr>
                            </pic:pic>
                          </a:graphicData>
                        </a:graphic>
                      </wp:inline>
                    </w:drawing>
                  </w:r>
                </w:p>
              </w:tc>
              <w:tc>
                <w:tcPr>
                  <w:tcW w:w="1249" w:type="pct"/>
                  <w:noWrap w:val="0"/>
                  <w:vAlign w:val="top"/>
                </w:tcPr>
                <w:p w14:paraId="52A753E9">
                  <w:pPr>
                    <w:keepNext w:val="0"/>
                    <w:keepLines w:val="0"/>
                    <w:suppressLineNumbers w:val="0"/>
                    <w:spacing w:before="0" w:beforeAutospacing="0" w:after="0" w:afterAutospacing="0" w:line="240" w:lineRule="auto"/>
                    <w:ind w:left="0" w:right="0"/>
                    <w:rPr>
                      <w:rFonts w:hint="default"/>
                      <w:color w:val="auto"/>
                      <w:sz w:val="21"/>
                      <w:szCs w:val="21"/>
                      <w:highlight w:val="none"/>
                    </w:rPr>
                  </w:pPr>
                  <w:r>
                    <w:rPr>
                      <w:rFonts w:hint="eastAsia"/>
                      <w:color w:val="auto"/>
                      <w:sz w:val="21"/>
                      <w:szCs w:val="21"/>
                      <w:highlight w:val="none"/>
                    </w:rPr>
                    <w:drawing>
                      <wp:inline distT="0" distB="0" distL="114300" distR="114300">
                        <wp:extent cx="1287145" cy="1195070"/>
                        <wp:effectExtent l="0" t="0" r="0" b="0"/>
                        <wp:docPr id="203" name="图片 64" descr="798df06ad2f7a9945526af83971cc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64" descr="798df06ad2f7a9945526af83971cce3"/>
                                <pic:cNvPicPr>
                                  <a:picLocks noChangeAspect="1"/>
                                </pic:cNvPicPr>
                              </pic:nvPicPr>
                              <pic:blipFill>
                                <a:blip r:embed="rId24"/>
                                <a:srcRect l="-9590" t="-5327" r="-9590" b="-5327"/>
                                <a:stretch>
                                  <a:fillRect/>
                                </a:stretch>
                              </pic:blipFill>
                              <pic:spPr>
                                <a:xfrm>
                                  <a:off x="0" y="0"/>
                                  <a:ext cx="1287145" cy="1195070"/>
                                </a:xfrm>
                                <a:prstGeom prst="rect">
                                  <a:avLst/>
                                </a:prstGeom>
                                <a:noFill/>
                                <a:ln>
                                  <a:noFill/>
                                </a:ln>
                              </pic:spPr>
                            </pic:pic>
                          </a:graphicData>
                        </a:graphic>
                      </wp:inline>
                    </w:drawing>
                  </w:r>
                </w:p>
              </w:tc>
              <w:tc>
                <w:tcPr>
                  <w:tcW w:w="1249" w:type="pct"/>
                  <w:noWrap w:val="0"/>
                  <w:vAlign w:val="top"/>
                </w:tcPr>
                <w:p w14:paraId="66C29E99">
                  <w:pPr>
                    <w:keepNext w:val="0"/>
                    <w:keepLines w:val="0"/>
                    <w:suppressLineNumbers w:val="0"/>
                    <w:spacing w:before="0" w:beforeAutospacing="0" w:after="0" w:afterAutospacing="0" w:line="240" w:lineRule="auto"/>
                    <w:ind w:left="0" w:right="0"/>
                    <w:rPr>
                      <w:rFonts w:hint="default"/>
                      <w:color w:val="auto"/>
                      <w:sz w:val="21"/>
                      <w:szCs w:val="21"/>
                      <w:highlight w:val="none"/>
                    </w:rPr>
                  </w:pPr>
                  <w:r>
                    <w:rPr>
                      <w:rFonts w:hint="eastAsia"/>
                      <w:color w:val="auto"/>
                      <w:sz w:val="21"/>
                      <w:szCs w:val="21"/>
                      <w:highlight w:val="none"/>
                    </w:rPr>
                    <w:drawing>
                      <wp:inline distT="0" distB="0" distL="114300" distR="114300">
                        <wp:extent cx="1287780" cy="1257300"/>
                        <wp:effectExtent l="0" t="0" r="0" b="0"/>
                        <wp:docPr id="202" name="图片 65" descr="1d043ed1d98813e48e98caba891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65" descr="1d043ed1d98813e48e98caba8919764"/>
                                <pic:cNvPicPr>
                                  <a:picLocks noChangeAspect="1"/>
                                </pic:cNvPicPr>
                              </pic:nvPicPr>
                              <pic:blipFill>
                                <a:blip r:embed="rId25"/>
                                <a:srcRect l="-9619" t="-8208" r="-9619" b="-8208"/>
                                <a:stretch>
                                  <a:fillRect/>
                                </a:stretch>
                              </pic:blipFill>
                              <pic:spPr>
                                <a:xfrm>
                                  <a:off x="0" y="0"/>
                                  <a:ext cx="1287780" cy="1257300"/>
                                </a:xfrm>
                                <a:prstGeom prst="rect">
                                  <a:avLst/>
                                </a:prstGeom>
                                <a:noFill/>
                                <a:ln>
                                  <a:noFill/>
                                </a:ln>
                              </pic:spPr>
                            </pic:pic>
                          </a:graphicData>
                        </a:graphic>
                      </wp:inline>
                    </w:drawing>
                  </w:r>
                </w:p>
              </w:tc>
              <w:tc>
                <w:tcPr>
                  <w:tcW w:w="1250" w:type="pct"/>
                  <w:noWrap w:val="0"/>
                  <w:vAlign w:val="top"/>
                </w:tcPr>
                <w:p w14:paraId="4F9F4128">
                  <w:pPr>
                    <w:keepNext w:val="0"/>
                    <w:keepLines w:val="0"/>
                    <w:suppressLineNumbers w:val="0"/>
                    <w:spacing w:before="0" w:beforeAutospacing="0" w:after="0" w:afterAutospacing="0" w:line="240" w:lineRule="auto"/>
                    <w:ind w:left="0" w:right="0"/>
                    <w:rPr>
                      <w:rFonts w:hint="default"/>
                      <w:color w:val="auto"/>
                      <w:sz w:val="21"/>
                      <w:szCs w:val="21"/>
                      <w:highlight w:val="none"/>
                    </w:rPr>
                  </w:pPr>
                  <w:r>
                    <w:rPr>
                      <w:rFonts w:hint="eastAsia"/>
                      <w:color w:val="auto"/>
                      <w:sz w:val="21"/>
                      <w:szCs w:val="21"/>
                      <w:highlight w:val="none"/>
                    </w:rPr>
                    <w:drawing>
                      <wp:inline distT="0" distB="0" distL="114300" distR="114300">
                        <wp:extent cx="1287780" cy="1209040"/>
                        <wp:effectExtent l="0" t="0" r="0" b="0"/>
                        <wp:docPr id="201" name="图片 66" descr="af3c8ece8687d2d07d57749739a4e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66" descr="af3c8ece8687d2d07d57749739a4e6c"/>
                                <pic:cNvPicPr>
                                  <a:picLocks noChangeAspect="1"/>
                                </pic:cNvPicPr>
                              </pic:nvPicPr>
                              <pic:blipFill>
                                <a:blip r:embed="rId26"/>
                                <a:srcRect l="-9619" t="-5974" r="-9619" b="-5974"/>
                                <a:stretch>
                                  <a:fillRect/>
                                </a:stretch>
                              </pic:blipFill>
                              <pic:spPr>
                                <a:xfrm>
                                  <a:off x="0" y="0"/>
                                  <a:ext cx="1287780" cy="1209040"/>
                                </a:xfrm>
                                <a:prstGeom prst="rect">
                                  <a:avLst/>
                                </a:prstGeom>
                                <a:noFill/>
                                <a:ln>
                                  <a:noFill/>
                                </a:ln>
                              </pic:spPr>
                            </pic:pic>
                          </a:graphicData>
                        </a:graphic>
                      </wp:inline>
                    </w:drawing>
                  </w:r>
                </w:p>
              </w:tc>
            </w:tr>
            <w:tr w14:paraId="13BC4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9" w:type="pct"/>
                  <w:noWrap w:val="0"/>
                  <w:vAlign w:val="center"/>
                </w:tcPr>
                <w:p w14:paraId="357EEF48">
                  <w:pPr>
                    <w:keepNext w:val="0"/>
                    <w:keepLines w:val="0"/>
                    <w:suppressLineNumbers w:val="0"/>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废气排放口</w:t>
                  </w:r>
                </w:p>
              </w:tc>
              <w:tc>
                <w:tcPr>
                  <w:tcW w:w="1249" w:type="pct"/>
                  <w:noWrap w:val="0"/>
                  <w:vAlign w:val="center"/>
                </w:tcPr>
                <w:p w14:paraId="0075DAE6">
                  <w:pPr>
                    <w:keepNext w:val="0"/>
                    <w:keepLines w:val="0"/>
                    <w:suppressLineNumbers w:val="0"/>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噪声排放源</w:t>
                  </w:r>
                </w:p>
              </w:tc>
              <w:tc>
                <w:tcPr>
                  <w:tcW w:w="1249" w:type="pct"/>
                  <w:noWrap w:val="0"/>
                  <w:vAlign w:val="center"/>
                </w:tcPr>
                <w:p w14:paraId="1DC2408C">
                  <w:pPr>
                    <w:keepNext w:val="0"/>
                    <w:keepLines w:val="0"/>
                    <w:suppressLineNumbers w:val="0"/>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废水排放口</w:t>
                  </w:r>
                </w:p>
              </w:tc>
              <w:tc>
                <w:tcPr>
                  <w:tcW w:w="1250" w:type="pct"/>
                  <w:noWrap w:val="0"/>
                  <w:vAlign w:val="center"/>
                </w:tcPr>
                <w:p w14:paraId="10B179E6">
                  <w:pPr>
                    <w:keepNext w:val="0"/>
                    <w:keepLines w:val="0"/>
                    <w:suppressLineNumbers w:val="0"/>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一般固体废物</w:t>
                  </w:r>
                </w:p>
              </w:tc>
            </w:tr>
          </w:tbl>
          <w:p w14:paraId="6CF7916C">
            <w:pPr>
              <w:keepNext w:val="0"/>
              <w:keepLines w:val="0"/>
              <w:suppressLineNumbers w:val="0"/>
              <w:adjustRightInd/>
              <w:snapToGrid/>
              <w:spacing w:before="0" w:beforeAutospacing="0" w:after="0" w:afterAutospacing="0" w:line="360" w:lineRule="auto"/>
              <w:ind w:left="0" w:right="0" w:firstLine="422" w:firstLineChars="200"/>
              <w:jc w:val="center"/>
              <w:rPr>
                <w:rFonts w:hint="default"/>
                <w:b/>
                <w:bCs/>
                <w:color w:val="auto"/>
                <w:sz w:val="21"/>
                <w:szCs w:val="21"/>
                <w:highlight w:val="none"/>
              </w:rPr>
            </w:pPr>
            <w:r>
              <w:rPr>
                <w:rFonts w:hint="eastAsia"/>
                <w:b/>
                <w:bCs/>
                <w:color w:val="auto"/>
                <w:sz w:val="21"/>
                <w:szCs w:val="21"/>
                <w:highlight w:val="none"/>
              </w:rPr>
              <w:t>图</w:t>
            </w:r>
            <w:r>
              <w:rPr>
                <w:rFonts w:hint="eastAsia" w:ascii="Times New Roman" w:eastAsia="宋体"/>
                <w:b/>
                <w:bCs/>
                <w:color w:val="auto"/>
                <w:sz w:val="21"/>
                <w:szCs w:val="21"/>
                <w:highlight w:val="none"/>
                <w:lang w:val="en-US" w:eastAsia="zh-CN"/>
              </w:rPr>
              <w:t xml:space="preserve"> </w:t>
            </w:r>
            <w:r>
              <w:rPr>
                <w:rFonts w:hint="eastAsia"/>
                <w:b/>
                <w:bCs/>
                <w:color w:val="auto"/>
                <w:sz w:val="21"/>
                <w:szCs w:val="21"/>
                <w:highlight w:val="none"/>
              </w:rPr>
              <w:t>4-</w:t>
            </w:r>
            <w:r>
              <w:rPr>
                <w:rFonts w:hint="eastAsia"/>
                <w:b/>
                <w:bCs/>
                <w:color w:val="auto"/>
                <w:sz w:val="21"/>
                <w:szCs w:val="21"/>
                <w:highlight w:val="none"/>
                <w:lang w:val="en-US" w:eastAsia="zh-CN"/>
              </w:rPr>
              <w:t>4</w:t>
            </w:r>
            <w:r>
              <w:rPr>
                <w:rFonts w:hint="eastAsia" w:eastAsia="宋体"/>
                <w:b/>
                <w:bCs/>
                <w:color w:val="auto"/>
                <w:sz w:val="21"/>
                <w:szCs w:val="21"/>
                <w:highlight w:val="none"/>
                <w:lang w:eastAsia="zh-CN"/>
              </w:rPr>
              <w:t xml:space="preserve"> </w:t>
            </w:r>
            <w:r>
              <w:rPr>
                <w:rFonts w:hint="eastAsia"/>
                <w:b/>
                <w:bCs/>
                <w:color w:val="auto"/>
                <w:sz w:val="21"/>
                <w:szCs w:val="21"/>
                <w:highlight w:val="none"/>
              </w:rPr>
              <w:t>环境保护图形标志—排放口（源）</w:t>
            </w:r>
          </w:p>
          <w:p w14:paraId="7E9132D5">
            <w:pPr>
              <w:keepNext w:val="0"/>
              <w:keepLines w:val="0"/>
              <w:suppressLineNumbers w:val="0"/>
              <w:autoSpaceDE/>
              <w:adjustRightInd/>
              <w:snapToGrid/>
              <w:spacing w:before="0" w:beforeAutospacing="0" w:after="0" w:afterAutospacing="0" w:line="360" w:lineRule="auto"/>
              <w:ind w:left="0" w:right="0"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环境保护图形标志</w:t>
            </w:r>
            <w:r>
              <w:rPr>
                <w:rFonts w:hint="default" w:ascii="Times New Roman" w:hAnsi="Times New Roman" w:eastAsia="宋体" w:cs="Times New Roman"/>
                <w:color w:val="auto"/>
                <w:sz w:val="21"/>
                <w:szCs w:val="21"/>
                <w:highlight w:val="none"/>
              </w:rPr>
              <w:t>—</w:t>
            </w:r>
            <w:r>
              <w:rPr>
                <w:rFonts w:hint="eastAsia" w:ascii="宋体" w:hAnsi="宋体" w:eastAsia="宋体" w:cs="宋体"/>
                <w:color w:val="auto"/>
                <w:sz w:val="21"/>
                <w:szCs w:val="21"/>
                <w:highlight w:val="none"/>
              </w:rPr>
              <w:t>排放口</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none"/>
              </w:rPr>
              <w:t>源</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none"/>
              </w:rPr>
              <w:t>的形状及颜色见下表</w:t>
            </w:r>
            <w:r>
              <w:rPr>
                <w:rFonts w:hint="eastAsia" w:ascii="宋体" w:hAnsi="宋体" w:eastAsia="宋体" w:cs="宋体"/>
                <w:color w:val="auto"/>
                <w:sz w:val="21"/>
                <w:szCs w:val="21"/>
                <w:highlight w:val="none"/>
                <w:lang w:eastAsia="zh-CN"/>
              </w:rPr>
              <w:t>。</w:t>
            </w:r>
          </w:p>
          <w:p w14:paraId="49D613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4-</w:t>
            </w:r>
            <w:r>
              <w:rPr>
                <w:rFonts w:hint="eastAsia" w:cs="Times New Roman"/>
                <w:b/>
                <w:bCs/>
                <w:color w:val="auto"/>
                <w:kern w:val="0"/>
                <w:sz w:val="21"/>
                <w:szCs w:val="21"/>
                <w:highlight w:val="none"/>
                <w:lang w:val="en-US" w:eastAsia="zh-CN" w:bidi="ar-SA"/>
              </w:rPr>
              <w:t>20</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标志的形状及颜色说明</w:t>
            </w:r>
          </w:p>
          <w:tbl>
            <w:tblPr>
              <w:tblStyle w:val="2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04"/>
              <w:gridCol w:w="2105"/>
              <w:gridCol w:w="2105"/>
              <w:gridCol w:w="2106"/>
            </w:tblGrid>
            <w:tr w14:paraId="5709E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noWrap w:val="0"/>
                  <w:vAlign w:val="center"/>
                </w:tcPr>
                <w:p w14:paraId="0D34FBBC">
                  <w:pPr>
                    <w:keepNext w:val="0"/>
                    <w:keepLines w:val="0"/>
                    <w:suppressLineNumbers w:val="0"/>
                    <w:autoSpaceDE/>
                    <w:adjustRightInd/>
                    <w:snapToGrid/>
                    <w:spacing w:before="0" w:beforeAutospacing="0" w:after="0" w:afterAutospacing="0" w:line="240" w:lineRule="auto"/>
                    <w:ind w:left="0" w:right="0"/>
                    <w:jc w:val="center"/>
                    <w:rPr>
                      <w:rFonts w:hint="eastAsia" w:eastAsia="宋体"/>
                      <w:color w:val="auto"/>
                      <w:sz w:val="21"/>
                      <w:szCs w:val="21"/>
                      <w:highlight w:val="none"/>
                      <w:lang w:eastAsia="zh-CN"/>
                    </w:rPr>
                  </w:pPr>
                  <w:r>
                    <w:rPr>
                      <w:rFonts w:hint="eastAsia" w:ascii="Times New Roman" w:eastAsia="宋体"/>
                      <w:color w:val="auto"/>
                      <w:sz w:val="21"/>
                      <w:szCs w:val="21"/>
                      <w:highlight w:val="none"/>
                      <w:lang w:val="en-US" w:eastAsia="zh-CN"/>
                    </w:rPr>
                    <w:t>名称</w:t>
                  </w:r>
                </w:p>
              </w:tc>
              <w:tc>
                <w:tcPr>
                  <w:tcW w:w="1249" w:type="pct"/>
                  <w:noWrap w:val="0"/>
                  <w:vAlign w:val="center"/>
                </w:tcPr>
                <w:p w14:paraId="29D42830">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形状</w:t>
                  </w:r>
                </w:p>
              </w:tc>
              <w:tc>
                <w:tcPr>
                  <w:tcW w:w="1249" w:type="pct"/>
                  <w:noWrap w:val="0"/>
                  <w:vAlign w:val="center"/>
                </w:tcPr>
                <w:p w14:paraId="7F4527C1">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背景颜色</w:t>
                  </w:r>
                </w:p>
              </w:tc>
              <w:tc>
                <w:tcPr>
                  <w:tcW w:w="1250" w:type="pct"/>
                  <w:noWrap w:val="0"/>
                  <w:vAlign w:val="center"/>
                </w:tcPr>
                <w:p w14:paraId="3BC2F2C7">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图形颜色</w:t>
                  </w:r>
                </w:p>
              </w:tc>
            </w:tr>
            <w:tr w14:paraId="3C1D7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noWrap w:val="0"/>
                  <w:vAlign w:val="center"/>
                </w:tcPr>
                <w:p w14:paraId="7D4ABBAB">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警告标志</w:t>
                  </w:r>
                </w:p>
              </w:tc>
              <w:tc>
                <w:tcPr>
                  <w:tcW w:w="1249" w:type="pct"/>
                  <w:noWrap w:val="0"/>
                  <w:vAlign w:val="center"/>
                </w:tcPr>
                <w:p w14:paraId="62E7BEB9">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三角形边框</w:t>
                  </w:r>
                </w:p>
              </w:tc>
              <w:tc>
                <w:tcPr>
                  <w:tcW w:w="1249" w:type="pct"/>
                  <w:noWrap w:val="0"/>
                  <w:vAlign w:val="center"/>
                </w:tcPr>
                <w:p w14:paraId="281ED022">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黄色</w:t>
                  </w:r>
                </w:p>
              </w:tc>
              <w:tc>
                <w:tcPr>
                  <w:tcW w:w="1250" w:type="pct"/>
                  <w:noWrap w:val="0"/>
                  <w:vAlign w:val="center"/>
                </w:tcPr>
                <w:p w14:paraId="0FE29A2A">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黑色</w:t>
                  </w:r>
                </w:p>
              </w:tc>
            </w:tr>
            <w:tr w14:paraId="2C935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49" w:type="pct"/>
                  <w:noWrap w:val="0"/>
                  <w:vAlign w:val="center"/>
                </w:tcPr>
                <w:p w14:paraId="4B044099">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提示标志</w:t>
                  </w:r>
                </w:p>
              </w:tc>
              <w:tc>
                <w:tcPr>
                  <w:tcW w:w="1249" w:type="pct"/>
                  <w:noWrap w:val="0"/>
                  <w:vAlign w:val="center"/>
                </w:tcPr>
                <w:p w14:paraId="3BE33CB5">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正方形边框</w:t>
                  </w:r>
                </w:p>
              </w:tc>
              <w:tc>
                <w:tcPr>
                  <w:tcW w:w="1249" w:type="pct"/>
                  <w:noWrap w:val="0"/>
                  <w:vAlign w:val="center"/>
                </w:tcPr>
                <w:p w14:paraId="46B67ACE">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绿色</w:t>
                  </w:r>
                </w:p>
              </w:tc>
              <w:tc>
                <w:tcPr>
                  <w:tcW w:w="1250" w:type="pct"/>
                  <w:noWrap w:val="0"/>
                  <w:vAlign w:val="center"/>
                </w:tcPr>
                <w:p w14:paraId="0BFB1EAD">
                  <w:pPr>
                    <w:keepNext w:val="0"/>
                    <w:keepLines w:val="0"/>
                    <w:suppressLineNumbers w:val="0"/>
                    <w:autoSpaceDE/>
                    <w:adjustRightInd/>
                    <w:snapToGrid/>
                    <w:spacing w:before="0" w:beforeAutospacing="0" w:after="0" w:afterAutospacing="0" w:line="240" w:lineRule="auto"/>
                    <w:ind w:left="0" w:right="0"/>
                    <w:jc w:val="center"/>
                    <w:rPr>
                      <w:rFonts w:hint="default"/>
                      <w:color w:val="auto"/>
                      <w:sz w:val="21"/>
                      <w:szCs w:val="21"/>
                      <w:highlight w:val="none"/>
                    </w:rPr>
                  </w:pPr>
                  <w:r>
                    <w:rPr>
                      <w:rFonts w:hint="eastAsia"/>
                      <w:color w:val="auto"/>
                      <w:sz w:val="21"/>
                      <w:szCs w:val="21"/>
                      <w:highlight w:val="none"/>
                    </w:rPr>
                    <w:t>白色</w:t>
                  </w:r>
                </w:p>
              </w:tc>
            </w:tr>
          </w:tbl>
          <w:p w14:paraId="08CE390B">
            <w:pPr>
              <w:keepNext w:val="0"/>
              <w:keepLines w:val="0"/>
              <w:suppressLineNumbers w:val="0"/>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rPr>
            </w:pPr>
            <w:r>
              <w:rPr>
                <w:rFonts w:hint="eastAsia" w:cs="Times New Roman"/>
                <w:color w:val="auto"/>
                <w:sz w:val="21"/>
                <w:szCs w:val="21"/>
                <w:highlight w:val="none"/>
                <w:lang w:val="en-US" w:eastAsia="zh-CN"/>
              </w:rPr>
              <w:t>c.</w:t>
            </w:r>
            <w:r>
              <w:rPr>
                <w:rFonts w:hint="eastAsia" w:cs="Times New Roman"/>
                <w:color w:val="auto"/>
                <w:sz w:val="21"/>
                <w:szCs w:val="21"/>
                <w:highlight w:val="none"/>
                <w:lang w:eastAsia="zh-CN"/>
              </w:rPr>
              <w:t>危废暂存间</w:t>
            </w:r>
            <w:r>
              <w:rPr>
                <w:rFonts w:hint="default" w:ascii="Times New Roman" w:hAnsi="Times New Roman" w:eastAsia="宋体" w:cs="Times New Roman"/>
                <w:color w:val="auto"/>
                <w:sz w:val="21"/>
                <w:szCs w:val="21"/>
                <w:highlight w:val="none"/>
              </w:rPr>
              <w:t>标识要求</w:t>
            </w:r>
          </w:p>
          <w:p w14:paraId="53267AE6">
            <w:pPr>
              <w:keepNext w:val="0"/>
              <w:keepLines w:val="0"/>
              <w:suppressLineNumbers w:val="0"/>
              <w:adjustRightInd/>
              <w:snapToGrid/>
              <w:spacing w:before="0" w:beforeAutospacing="0" w:after="0" w:afterAutospacing="0" w:line="360" w:lineRule="auto"/>
              <w:ind w:left="0" w:right="0" w:firstLine="420" w:firstLineChars="20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由于本项目生产过程中会产生危险废物，按照《危险废物识别标志设置技术规范》（HJ</w:t>
            </w:r>
            <w:r>
              <w:rPr>
                <w:rFonts w:hint="eastAsia" w:cs="Times New Roman"/>
                <w:color w:val="auto"/>
                <w:sz w:val="21"/>
                <w:szCs w:val="21"/>
                <w:highlight w:val="none"/>
                <w:lang w:val="en-US" w:eastAsia="zh-CN"/>
              </w:rPr>
              <w:t xml:space="preserve"> </w:t>
            </w:r>
            <w:r>
              <w:rPr>
                <w:rFonts w:hint="default" w:ascii="Times New Roman" w:hAnsi="Times New Roman" w:eastAsia="宋体" w:cs="Times New Roman"/>
                <w:color w:val="auto"/>
                <w:sz w:val="21"/>
                <w:szCs w:val="21"/>
                <w:highlight w:val="none"/>
              </w:rPr>
              <w:t>1276-2022）规定要求，</w:t>
            </w:r>
            <w:r>
              <w:rPr>
                <w:rFonts w:hint="eastAsia" w:cs="Times New Roman"/>
                <w:color w:val="auto"/>
                <w:sz w:val="21"/>
                <w:szCs w:val="21"/>
                <w:highlight w:val="none"/>
                <w:lang w:eastAsia="zh-CN"/>
              </w:rPr>
              <w:t>危废暂存间</w:t>
            </w:r>
            <w:r>
              <w:rPr>
                <w:rFonts w:hint="default" w:ascii="Times New Roman" w:hAnsi="Times New Roman" w:eastAsia="宋体" w:cs="Times New Roman"/>
                <w:color w:val="auto"/>
                <w:sz w:val="21"/>
                <w:szCs w:val="21"/>
                <w:highlight w:val="none"/>
              </w:rPr>
              <w:t>及危险废物储存容器上需要张贴标签，具体要求如下：</w:t>
            </w:r>
          </w:p>
          <w:p w14:paraId="76FA6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4-</w:t>
            </w:r>
            <w:r>
              <w:rPr>
                <w:rFonts w:hint="eastAsia" w:cs="Times New Roman"/>
                <w:b/>
                <w:bCs/>
                <w:color w:val="auto"/>
                <w:kern w:val="0"/>
                <w:sz w:val="21"/>
                <w:szCs w:val="21"/>
                <w:highlight w:val="none"/>
                <w:lang w:val="en-US" w:eastAsia="zh-CN" w:bidi="ar-SA"/>
              </w:rPr>
              <w:t>21</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危险废物标识要求</w:t>
            </w:r>
          </w:p>
          <w:tbl>
            <w:tblPr>
              <w:tblStyle w:val="25"/>
              <w:tblW w:w="5000" w:type="pct"/>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autofit"/>
              <w:tblCellMar>
                <w:top w:w="0" w:type="dxa"/>
                <w:left w:w="108" w:type="dxa"/>
                <w:bottom w:w="0" w:type="dxa"/>
                <w:right w:w="108" w:type="dxa"/>
              </w:tblCellMar>
            </w:tblPr>
            <w:tblGrid>
              <w:gridCol w:w="751"/>
              <w:gridCol w:w="1819"/>
              <w:gridCol w:w="2566"/>
              <w:gridCol w:w="3276"/>
            </w:tblGrid>
            <w:tr w14:paraId="7C9EA5B7">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63" w:hRule="atLeast"/>
                <w:jc w:val="center"/>
              </w:trPr>
              <w:tc>
                <w:tcPr>
                  <w:tcW w:w="446" w:type="pct"/>
                  <w:noWrap w:val="0"/>
                  <w:vAlign w:val="center"/>
                </w:tcPr>
                <w:p w14:paraId="3F1F69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宋体" w:hAnsi="宋体" w:eastAsia="宋体" w:cs="Times New Roman"/>
                      <w:color w:val="auto"/>
                      <w:kern w:val="0"/>
                      <w:sz w:val="21"/>
                      <w:szCs w:val="21"/>
                      <w:highlight w:val="none"/>
                      <w:lang w:val="en-US" w:eastAsia="zh-CN" w:bidi="ar-SA"/>
                    </w:rPr>
                  </w:pPr>
                  <w:r>
                    <w:rPr>
                      <w:rFonts w:hint="eastAsia" w:ascii="宋体" w:hAnsi="宋体" w:eastAsia="宋体" w:cs="Times New Roman"/>
                      <w:color w:val="auto"/>
                      <w:kern w:val="0"/>
                      <w:sz w:val="21"/>
                      <w:szCs w:val="21"/>
                      <w:highlight w:val="none"/>
                      <w:lang w:val="en-US" w:eastAsia="zh-CN" w:bidi="ar-SA"/>
                    </w:rPr>
                    <w:t>名称</w:t>
                  </w:r>
                </w:p>
              </w:tc>
              <w:tc>
                <w:tcPr>
                  <w:tcW w:w="1081" w:type="pct"/>
                  <w:noWrap w:val="0"/>
                  <w:vAlign w:val="center"/>
                </w:tcPr>
                <w:p w14:paraId="4F304E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Times New Roman"/>
                      <w:color w:val="auto"/>
                      <w:kern w:val="0"/>
                      <w:sz w:val="21"/>
                      <w:szCs w:val="21"/>
                      <w:highlight w:val="none"/>
                      <w:lang w:val="en-US" w:eastAsia="zh-CN" w:bidi="ar-SA"/>
                    </w:rPr>
                  </w:pPr>
                  <w:r>
                    <w:rPr>
                      <w:rFonts w:hint="eastAsia" w:ascii="宋体" w:hAnsi="宋体" w:eastAsia="宋体" w:cs="Times New Roman"/>
                      <w:color w:val="auto"/>
                      <w:kern w:val="0"/>
                      <w:sz w:val="21"/>
                      <w:szCs w:val="21"/>
                      <w:highlight w:val="none"/>
                      <w:lang w:val="en-US" w:eastAsia="zh-CN" w:bidi="ar-SA"/>
                    </w:rPr>
                    <w:t>作用</w:t>
                  </w:r>
                </w:p>
              </w:tc>
              <w:tc>
                <w:tcPr>
                  <w:tcW w:w="1525" w:type="pct"/>
                  <w:noWrap w:val="0"/>
                  <w:vAlign w:val="center"/>
                </w:tcPr>
                <w:p w14:paraId="0AADED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Times New Roman"/>
                      <w:color w:val="auto"/>
                      <w:kern w:val="0"/>
                      <w:sz w:val="21"/>
                      <w:szCs w:val="21"/>
                      <w:highlight w:val="none"/>
                      <w:lang w:val="en-US" w:eastAsia="zh-CN" w:bidi="ar-SA"/>
                    </w:rPr>
                  </w:pPr>
                  <w:r>
                    <w:rPr>
                      <w:rFonts w:hint="eastAsia" w:ascii="宋体" w:hAnsi="宋体" w:eastAsia="宋体" w:cs="Times New Roman"/>
                      <w:color w:val="auto"/>
                      <w:kern w:val="0"/>
                      <w:sz w:val="21"/>
                      <w:szCs w:val="21"/>
                      <w:highlight w:val="none"/>
                      <w:lang w:val="en-US" w:eastAsia="zh-CN" w:bidi="ar-SA"/>
                    </w:rPr>
                    <w:t>设置位置</w:t>
                  </w:r>
                </w:p>
              </w:tc>
              <w:tc>
                <w:tcPr>
                  <w:tcW w:w="1947" w:type="pct"/>
                  <w:noWrap w:val="0"/>
                  <w:vAlign w:val="center"/>
                </w:tcPr>
                <w:p w14:paraId="5717F3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Times New Roman"/>
                      <w:color w:val="auto"/>
                      <w:kern w:val="0"/>
                      <w:sz w:val="21"/>
                      <w:szCs w:val="21"/>
                      <w:highlight w:val="none"/>
                      <w:lang w:val="en-US" w:eastAsia="zh-CN" w:bidi="ar-SA"/>
                    </w:rPr>
                  </w:pPr>
                  <w:r>
                    <w:rPr>
                      <w:rFonts w:hint="eastAsia" w:ascii="宋体" w:hAnsi="宋体" w:eastAsia="宋体" w:cs="Times New Roman"/>
                      <w:color w:val="auto"/>
                      <w:kern w:val="0"/>
                      <w:sz w:val="21"/>
                      <w:szCs w:val="21"/>
                      <w:highlight w:val="none"/>
                      <w:lang w:val="en-US" w:eastAsia="zh-CN" w:bidi="ar-SA"/>
                    </w:rPr>
                    <w:t>样式</w:t>
                  </w:r>
                </w:p>
              </w:tc>
            </w:tr>
            <w:tr w14:paraId="62C7D321">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1933" w:hRule="atLeast"/>
                <w:jc w:val="center"/>
              </w:trPr>
              <w:tc>
                <w:tcPr>
                  <w:tcW w:w="446" w:type="pct"/>
                  <w:noWrap w:val="0"/>
                  <w:vAlign w:val="center"/>
                </w:tcPr>
                <w:p w14:paraId="42C10A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rFonts w:hint="default" w:ascii="Times New Roman" w:hAnsi="Times New Roman" w:eastAsia="宋体" w:cs="Times New Roman"/>
                      <w:color w:val="auto"/>
                      <w:sz w:val="21"/>
                      <w:szCs w:val="21"/>
                      <w:highlight w:val="none"/>
                    </w:rPr>
                    <w:t>危险废物贮存设施标志</w:t>
                  </w:r>
                </w:p>
              </w:tc>
              <w:tc>
                <w:tcPr>
                  <w:tcW w:w="1081" w:type="pct"/>
                  <w:noWrap w:val="0"/>
                  <w:vAlign w:val="center"/>
                </w:tcPr>
                <w:p w14:paraId="3431EF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rFonts w:hint="default"/>
                      <w:color w:val="auto"/>
                      <w:sz w:val="21"/>
                      <w:szCs w:val="21"/>
                      <w:highlight w:val="none"/>
                    </w:rPr>
                    <w:t>用于显示危险废物贮存设施的位置</w:t>
                  </w:r>
                </w:p>
              </w:tc>
              <w:tc>
                <w:tcPr>
                  <w:tcW w:w="1525" w:type="pct"/>
                  <w:noWrap w:val="0"/>
                  <w:vAlign w:val="center"/>
                </w:tcPr>
                <w:p w14:paraId="04329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rFonts w:hint="default"/>
                      <w:color w:val="auto"/>
                      <w:sz w:val="21"/>
                      <w:szCs w:val="21"/>
                      <w:highlight w:val="none"/>
                    </w:rPr>
                    <w:t>危险废物贮存设施入口处的墙壁或栏杆等显著位置设置</w:t>
                  </w:r>
                </w:p>
              </w:tc>
              <w:tc>
                <w:tcPr>
                  <w:tcW w:w="1947" w:type="pct"/>
                  <w:noWrap w:val="0"/>
                  <w:vAlign w:val="center"/>
                </w:tcPr>
                <w:p w14:paraId="3D30DA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color w:val="auto"/>
                      <w:sz w:val="21"/>
                      <w:szCs w:val="21"/>
                      <w:highlight w:val="none"/>
                    </w:rPr>
                    <w:drawing>
                      <wp:inline distT="0" distB="0" distL="114300" distR="114300">
                        <wp:extent cx="1823085" cy="1151255"/>
                        <wp:effectExtent l="0" t="0" r="5715" b="10795"/>
                        <wp:docPr id="20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67"/>
                                <pic:cNvPicPr>
                                  <a:picLocks noChangeAspect="1"/>
                                </pic:cNvPicPr>
                              </pic:nvPicPr>
                              <pic:blipFill>
                                <a:blip r:embed="rId27"/>
                                <a:stretch>
                                  <a:fillRect/>
                                </a:stretch>
                              </pic:blipFill>
                              <pic:spPr>
                                <a:xfrm>
                                  <a:off x="0" y="0"/>
                                  <a:ext cx="1823085" cy="1151255"/>
                                </a:xfrm>
                                <a:prstGeom prst="rect">
                                  <a:avLst/>
                                </a:prstGeom>
                                <a:noFill/>
                                <a:ln>
                                  <a:noFill/>
                                </a:ln>
                              </pic:spPr>
                            </pic:pic>
                          </a:graphicData>
                        </a:graphic>
                      </wp:inline>
                    </w:drawing>
                  </w:r>
                </w:p>
              </w:tc>
            </w:tr>
            <w:tr w14:paraId="28C578A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2539" w:hRule="atLeast"/>
                <w:jc w:val="center"/>
              </w:trPr>
              <w:tc>
                <w:tcPr>
                  <w:tcW w:w="446" w:type="pct"/>
                  <w:noWrap w:val="0"/>
                  <w:vAlign w:val="center"/>
                </w:tcPr>
                <w:p w14:paraId="1FB308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rFonts w:hint="default" w:ascii="Times New Roman" w:hAnsi="Times New Roman" w:eastAsia="宋体" w:cs="Times New Roman"/>
                      <w:color w:val="auto"/>
                      <w:sz w:val="21"/>
                      <w:szCs w:val="21"/>
                      <w:highlight w:val="none"/>
                    </w:rPr>
                    <w:t>危险废物贮存分区标志</w:t>
                  </w:r>
                </w:p>
              </w:tc>
              <w:tc>
                <w:tcPr>
                  <w:tcW w:w="1081" w:type="pct"/>
                  <w:noWrap w:val="0"/>
                  <w:vAlign w:val="center"/>
                </w:tcPr>
                <w:p w14:paraId="5B51B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rFonts w:hint="eastAsia" w:eastAsia="宋体"/>
                      <w:color w:val="auto"/>
                      <w:sz w:val="21"/>
                      <w:szCs w:val="21"/>
                      <w:highlight w:val="none"/>
                      <w:lang w:val="en-US" w:eastAsia="zh-CN"/>
                    </w:rPr>
                    <w:t>用于显示危险废物贮存设施内贮存分区规划和危险废物贮存情况，以避免潜在环境危害</w:t>
                  </w:r>
                </w:p>
              </w:tc>
              <w:tc>
                <w:tcPr>
                  <w:tcW w:w="1525" w:type="pct"/>
                  <w:noWrap w:val="0"/>
                  <w:vAlign w:val="center"/>
                </w:tcPr>
                <w:p w14:paraId="2C3914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olor w:val="auto"/>
                      <w:sz w:val="21"/>
                      <w:szCs w:val="21"/>
                      <w:highlight w:val="none"/>
                    </w:rPr>
                  </w:pPr>
                  <w:r>
                    <w:rPr>
                      <w:rFonts w:hint="default"/>
                      <w:color w:val="auto"/>
                      <w:sz w:val="21"/>
                      <w:szCs w:val="21"/>
                      <w:highlight w:val="none"/>
                    </w:rPr>
                    <w:t>危险废物贮存设施内的每一个贮存分区处设置</w:t>
                  </w:r>
                </w:p>
              </w:tc>
              <w:tc>
                <w:tcPr>
                  <w:tcW w:w="1947" w:type="pct"/>
                  <w:noWrap w:val="0"/>
                  <w:vAlign w:val="center"/>
                </w:tcPr>
                <w:p w14:paraId="7A2C79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color w:val="auto"/>
                      <w:sz w:val="21"/>
                      <w:szCs w:val="21"/>
                      <w:highlight w:val="none"/>
                    </w:rPr>
                    <w:drawing>
                      <wp:inline distT="0" distB="0" distL="114300" distR="114300">
                        <wp:extent cx="1822450" cy="1526540"/>
                        <wp:effectExtent l="0" t="0" r="6350" b="16510"/>
                        <wp:docPr id="20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8"/>
                                <pic:cNvPicPr>
                                  <a:picLocks noChangeAspect="1"/>
                                </pic:cNvPicPr>
                              </pic:nvPicPr>
                              <pic:blipFill>
                                <a:blip r:embed="rId28"/>
                                <a:stretch>
                                  <a:fillRect/>
                                </a:stretch>
                              </pic:blipFill>
                              <pic:spPr>
                                <a:xfrm>
                                  <a:off x="0" y="0"/>
                                  <a:ext cx="1822450" cy="1526540"/>
                                </a:xfrm>
                                <a:prstGeom prst="rect">
                                  <a:avLst/>
                                </a:prstGeom>
                                <a:noFill/>
                                <a:ln>
                                  <a:noFill/>
                                </a:ln>
                              </pic:spPr>
                            </pic:pic>
                          </a:graphicData>
                        </a:graphic>
                      </wp:inline>
                    </w:drawing>
                  </w:r>
                </w:p>
              </w:tc>
            </w:tr>
            <w:tr w14:paraId="35C3FA82">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041" w:hRule="atLeast"/>
                <w:jc w:val="center"/>
              </w:trPr>
              <w:tc>
                <w:tcPr>
                  <w:tcW w:w="446" w:type="pct"/>
                  <w:noWrap w:val="0"/>
                  <w:vAlign w:val="center"/>
                </w:tcPr>
                <w:p w14:paraId="527B03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color w:val="auto"/>
                      <w:sz w:val="21"/>
                      <w:szCs w:val="21"/>
                      <w:highlight w:val="none"/>
                    </w:rPr>
                  </w:pPr>
                  <w:r>
                    <w:rPr>
                      <w:rFonts w:hint="default" w:ascii="Times New Roman" w:hAnsi="Times New Roman" w:eastAsia="宋体" w:cs="Times New Roman"/>
                      <w:color w:val="auto"/>
                      <w:sz w:val="21"/>
                      <w:szCs w:val="21"/>
                      <w:highlight w:val="none"/>
                    </w:rPr>
                    <w:t>危险废物标签</w:t>
                  </w:r>
                </w:p>
              </w:tc>
              <w:tc>
                <w:tcPr>
                  <w:tcW w:w="1081" w:type="pct"/>
                  <w:noWrap w:val="0"/>
                  <w:vAlign w:val="center"/>
                </w:tcPr>
                <w:p w14:paraId="4E0B7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olor w:val="auto"/>
                      <w:sz w:val="21"/>
                      <w:szCs w:val="21"/>
                      <w:highlight w:val="none"/>
                    </w:rPr>
                  </w:pPr>
                  <w:r>
                    <w:rPr>
                      <w:rFonts w:hint="default"/>
                      <w:color w:val="auto"/>
                      <w:sz w:val="21"/>
                      <w:szCs w:val="21"/>
                      <w:highlight w:val="none"/>
                    </w:rPr>
                    <w:t>设置在危险废物容器或包装物上，用于向相关人群传递危险废物特定信息，以警示危险废物潜在环境危害</w:t>
                  </w:r>
                </w:p>
              </w:tc>
              <w:tc>
                <w:tcPr>
                  <w:tcW w:w="1525" w:type="pct"/>
                  <w:noWrap w:val="0"/>
                  <w:vAlign w:val="center"/>
                </w:tcPr>
                <w:p w14:paraId="77A052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color w:val="auto"/>
                      <w:sz w:val="21"/>
                      <w:szCs w:val="21"/>
                      <w:highlight w:val="none"/>
                    </w:rPr>
                  </w:pPr>
                  <w:r>
                    <w:rPr>
                      <w:rFonts w:hint="default"/>
                      <w:color w:val="auto"/>
                      <w:sz w:val="21"/>
                      <w:szCs w:val="21"/>
                      <w:highlight w:val="none"/>
                    </w:rPr>
                    <w:t>箱类包装粘贴于包装端面或侧面，袋类包装粘贴于包装明显处</w:t>
                  </w:r>
                  <w:r>
                    <w:rPr>
                      <w:rFonts w:hint="eastAsia" w:eastAsia="宋体"/>
                      <w:color w:val="auto"/>
                      <w:sz w:val="21"/>
                      <w:szCs w:val="21"/>
                      <w:highlight w:val="none"/>
                      <w:lang w:eastAsia="zh-CN"/>
                    </w:rPr>
                    <w:t>；</w:t>
                  </w:r>
                  <w:r>
                    <w:rPr>
                      <w:rFonts w:hint="default"/>
                      <w:color w:val="auto"/>
                      <w:sz w:val="21"/>
                      <w:szCs w:val="21"/>
                      <w:highlight w:val="none"/>
                    </w:rPr>
                    <w:t>桶类包装粘贴于桶身或桶盖</w:t>
                  </w:r>
                  <w:r>
                    <w:rPr>
                      <w:rFonts w:hint="eastAsia" w:eastAsia="宋体"/>
                      <w:color w:val="auto"/>
                      <w:sz w:val="21"/>
                      <w:szCs w:val="21"/>
                      <w:highlight w:val="none"/>
                      <w:lang w:eastAsia="zh-CN"/>
                    </w:rPr>
                    <w:t>；</w:t>
                  </w:r>
                  <w:r>
                    <w:rPr>
                      <w:rFonts w:hint="default"/>
                      <w:color w:val="auto"/>
                      <w:sz w:val="21"/>
                      <w:szCs w:val="21"/>
                      <w:highlight w:val="none"/>
                    </w:rPr>
                    <w:t>其他包装粘贴于明显处</w:t>
                  </w:r>
                </w:p>
              </w:tc>
              <w:tc>
                <w:tcPr>
                  <w:tcW w:w="1947" w:type="pct"/>
                  <w:noWrap w:val="0"/>
                  <w:vAlign w:val="center"/>
                </w:tcPr>
                <w:p w14:paraId="258DA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color w:val="auto"/>
                      <w:sz w:val="21"/>
                      <w:szCs w:val="21"/>
                      <w:highlight w:val="none"/>
                    </w:rPr>
                  </w:pPr>
                  <w:r>
                    <w:rPr>
                      <w:color w:val="auto"/>
                      <w:sz w:val="21"/>
                      <w:szCs w:val="21"/>
                      <w:highlight w:val="none"/>
                    </w:rPr>
                    <w:drawing>
                      <wp:inline distT="0" distB="0" distL="114300" distR="114300">
                        <wp:extent cx="1873885" cy="1873885"/>
                        <wp:effectExtent l="0" t="0" r="12065" b="12065"/>
                        <wp:docPr id="21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69"/>
                                <pic:cNvPicPr>
                                  <a:picLocks noChangeAspect="1"/>
                                </pic:cNvPicPr>
                              </pic:nvPicPr>
                              <pic:blipFill>
                                <a:blip r:embed="rId29"/>
                                <a:stretch>
                                  <a:fillRect/>
                                </a:stretch>
                              </pic:blipFill>
                              <pic:spPr>
                                <a:xfrm>
                                  <a:off x="0" y="0"/>
                                  <a:ext cx="1873885" cy="1873885"/>
                                </a:xfrm>
                                <a:prstGeom prst="rect">
                                  <a:avLst/>
                                </a:prstGeom>
                                <a:noFill/>
                                <a:ln>
                                  <a:noFill/>
                                </a:ln>
                              </pic:spPr>
                            </pic:pic>
                          </a:graphicData>
                        </a:graphic>
                      </wp:inline>
                    </w:drawing>
                  </w:r>
                </w:p>
              </w:tc>
            </w:tr>
          </w:tbl>
          <w:p w14:paraId="75A06371">
            <w:pPr>
              <w:pStyle w:val="41"/>
              <w:autoSpaceDE/>
              <w:autoSpaceDN/>
              <w:adjustRightInd/>
              <w:spacing w:beforeLines="0" w:afterLines="0" w:line="360" w:lineRule="auto"/>
              <w:ind w:firstLine="422" w:firstLineChars="200"/>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cs="Times New Roman"/>
                <w:b/>
                <w:bCs/>
                <w:color w:val="auto"/>
                <w:sz w:val="21"/>
                <w:szCs w:val="21"/>
                <w:highlight w:val="none"/>
                <w:lang w:val="en-US" w:eastAsia="zh-CN"/>
              </w:rPr>
              <w:t>（十）污染物排放清单</w:t>
            </w:r>
          </w:p>
          <w:p w14:paraId="53C39575">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项目建成后，全厂污染物排放情况见下表。</w:t>
            </w:r>
          </w:p>
          <w:p w14:paraId="169D6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p>
          <w:p w14:paraId="266EC5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default" w:ascii="Times New Roman" w:hAnsi="Times New Roman" w:eastAsia="宋体" w:cs="Times New Roman"/>
                <w:b/>
                <w:bCs/>
                <w:color w:val="auto"/>
                <w:kern w:val="0"/>
                <w:sz w:val="21"/>
                <w:szCs w:val="21"/>
                <w:highlight w:val="none"/>
                <w:lang w:val="en-US" w:eastAsia="zh-CN" w:bidi="ar-SA"/>
              </w:rPr>
            </w:pPr>
            <w:r>
              <w:rPr>
                <w:rFonts w:hint="default" w:ascii="Times New Roman" w:hAnsi="Times New Roman" w:eastAsia="宋体" w:cs="Times New Roman"/>
                <w:b/>
                <w:bCs/>
                <w:color w:val="auto"/>
                <w:kern w:val="0"/>
                <w:sz w:val="21"/>
                <w:szCs w:val="21"/>
                <w:highlight w:val="none"/>
                <w:lang w:val="en-US" w:eastAsia="zh-CN" w:bidi="ar-SA"/>
              </w:rPr>
              <w:t>表</w:t>
            </w:r>
            <w:r>
              <w:rPr>
                <w:rFonts w:hint="eastAsia" w:ascii="Times New Roman" w:hAnsi="Times New Roman" w:eastAsia="宋体" w:cs="Times New Roman"/>
                <w:b/>
                <w:bCs/>
                <w:color w:val="auto"/>
                <w:kern w:val="0"/>
                <w:sz w:val="21"/>
                <w:szCs w:val="21"/>
                <w:highlight w:val="none"/>
                <w:lang w:val="en-US" w:eastAsia="zh-CN" w:bidi="ar-SA"/>
              </w:rPr>
              <w:t xml:space="preserve"> </w:t>
            </w:r>
            <w:r>
              <w:rPr>
                <w:rFonts w:hint="default" w:ascii="Times New Roman" w:hAnsi="Times New Roman" w:eastAsia="宋体" w:cs="Times New Roman"/>
                <w:b/>
                <w:bCs/>
                <w:color w:val="auto"/>
                <w:kern w:val="0"/>
                <w:sz w:val="21"/>
                <w:szCs w:val="21"/>
                <w:highlight w:val="none"/>
                <w:lang w:val="en-US" w:eastAsia="zh-CN" w:bidi="ar-SA"/>
              </w:rPr>
              <w:t>4-</w:t>
            </w:r>
            <w:r>
              <w:rPr>
                <w:rFonts w:hint="eastAsia" w:ascii="Times New Roman" w:hAnsi="Times New Roman" w:eastAsia="宋体" w:cs="Times New Roman"/>
                <w:b/>
                <w:bCs/>
                <w:color w:val="auto"/>
                <w:kern w:val="0"/>
                <w:sz w:val="21"/>
                <w:szCs w:val="21"/>
                <w:highlight w:val="none"/>
                <w:lang w:val="en-US" w:eastAsia="zh-CN" w:bidi="ar-SA"/>
              </w:rPr>
              <w:t>22 本项目完成后三本账分析    单位：t/a</w:t>
            </w:r>
          </w:p>
          <w:tbl>
            <w:tblPr>
              <w:tblStyle w:val="26"/>
              <w:tblW w:w="84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586"/>
              <w:gridCol w:w="948"/>
              <w:gridCol w:w="1299"/>
              <w:gridCol w:w="1194"/>
              <w:gridCol w:w="1177"/>
              <w:gridCol w:w="1177"/>
              <w:gridCol w:w="1177"/>
              <w:gridCol w:w="858"/>
            </w:tblGrid>
            <w:tr w14:paraId="2B59D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Align w:val="center"/>
                </w:tcPr>
                <w:p w14:paraId="145F7B1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aps w:val="0"/>
                      <w:color w:val="auto"/>
                      <w:spacing w:val="0"/>
                      <w:sz w:val="21"/>
                      <w:szCs w:val="21"/>
                      <w:highlight w:val="none"/>
                      <w:lang w:val="en-US" w:eastAsia="zh-CN"/>
                    </w:rPr>
                  </w:pPr>
                  <w:r>
                    <w:rPr>
                      <w:rFonts w:hint="default" w:ascii="Times New Roman" w:hAnsi="Times New Roman" w:eastAsia="宋体" w:cs="Times New Roman"/>
                      <w:b/>
                      <w:bCs/>
                      <w:caps w:val="0"/>
                      <w:color w:val="auto"/>
                      <w:spacing w:val="0"/>
                      <w:sz w:val="21"/>
                      <w:szCs w:val="21"/>
                      <w:highlight w:val="none"/>
                      <w:lang w:val="en-US" w:eastAsia="zh-CN"/>
                    </w:rPr>
                    <w:t>项目</w:t>
                  </w:r>
                </w:p>
              </w:tc>
              <w:tc>
                <w:tcPr>
                  <w:tcW w:w="563" w:type="pct"/>
                  <w:vAlign w:val="center"/>
                </w:tcPr>
                <w:p w14:paraId="563EF79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aps w:val="0"/>
                      <w:color w:val="auto"/>
                      <w:spacing w:val="0"/>
                      <w:sz w:val="21"/>
                      <w:szCs w:val="21"/>
                      <w:highlight w:val="none"/>
                      <w:lang w:val="en-US" w:eastAsia="zh-CN"/>
                    </w:rPr>
                  </w:pPr>
                  <w:r>
                    <w:rPr>
                      <w:rFonts w:hint="default" w:ascii="Times New Roman" w:hAnsi="Times New Roman" w:eastAsia="宋体" w:cs="Times New Roman"/>
                      <w:b/>
                      <w:bCs/>
                      <w:caps w:val="0"/>
                      <w:color w:val="auto"/>
                      <w:spacing w:val="0"/>
                      <w:sz w:val="21"/>
                      <w:szCs w:val="21"/>
                      <w:highlight w:val="none"/>
                      <w:lang w:val="en-US" w:eastAsia="zh-CN"/>
                    </w:rPr>
                    <w:t>污染物</w:t>
                  </w:r>
                </w:p>
              </w:tc>
              <w:tc>
                <w:tcPr>
                  <w:tcW w:w="771" w:type="pct"/>
                  <w:vAlign w:val="center"/>
                </w:tcPr>
                <w:p w14:paraId="23353AF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aps w:val="0"/>
                      <w:color w:val="auto"/>
                      <w:spacing w:val="0"/>
                      <w:sz w:val="21"/>
                      <w:szCs w:val="21"/>
                      <w:highlight w:val="none"/>
                      <w:lang w:val="en-US" w:eastAsia="zh-CN"/>
                    </w:rPr>
                  </w:pPr>
                  <w:r>
                    <w:rPr>
                      <w:rFonts w:hint="default" w:ascii="Times New Roman" w:hAnsi="Times New Roman" w:eastAsia="宋体" w:cs="Times New Roman"/>
                      <w:b/>
                      <w:bCs/>
                      <w:caps w:val="0"/>
                      <w:color w:val="auto"/>
                      <w:spacing w:val="0"/>
                      <w:sz w:val="21"/>
                      <w:szCs w:val="21"/>
                      <w:highlight w:val="none"/>
                      <w:lang w:val="en-US" w:eastAsia="zh-CN"/>
                    </w:rPr>
                    <w:t>现有工程实际排放量</w:t>
                  </w:r>
                </w:p>
              </w:tc>
              <w:tc>
                <w:tcPr>
                  <w:tcW w:w="709" w:type="pct"/>
                  <w:shd w:val="clear" w:color="auto" w:fill="auto"/>
                  <w:vAlign w:val="center"/>
                </w:tcPr>
                <w:p w14:paraId="37F1126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aps w:val="0"/>
                      <w:color w:val="auto"/>
                      <w:spacing w:val="0"/>
                      <w:kern w:val="2"/>
                      <w:sz w:val="21"/>
                      <w:szCs w:val="21"/>
                      <w:highlight w:val="none"/>
                      <w:lang w:val="en-US" w:eastAsia="zh-CN" w:bidi="ar-SA"/>
                    </w:rPr>
                  </w:pPr>
                  <w:r>
                    <w:rPr>
                      <w:rFonts w:hint="eastAsia" w:ascii="Times New Roman" w:hAnsi="Times New Roman" w:cs="Times New Roman"/>
                      <w:b/>
                      <w:bCs/>
                      <w:caps w:val="0"/>
                      <w:color w:val="auto"/>
                      <w:spacing w:val="0"/>
                      <w:kern w:val="2"/>
                      <w:sz w:val="21"/>
                      <w:szCs w:val="21"/>
                      <w:highlight w:val="none"/>
                      <w:lang w:val="en-US" w:eastAsia="zh-CN" w:bidi="ar-SA"/>
                    </w:rPr>
                    <w:t>本项目预测污染物排放量</w:t>
                  </w:r>
                </w:p>
              </w:tc>
              <w:tc>
                <w:tcPr>
                  <w:tcW w:w="699" w:type="pct"/>
                  <w:shd w:val="clear" w:color="auto" w:fill="auto"/>
                  <w:vAlign w:val="center"/>
                </w:tcPr>
                <w:p w14:paraId="6EAFEFC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b/>
                      <w:bCs/>
                      <w:caps w:val="0"/>
                      <w:color w:val="auto"/>
                      <w:spacing w:val="0"/>
                      <w:kern w:val="2"/>
                      <w:sz w:val="21"/>
                      <w:szCs w:val="21"/>
                      <w:highlight w:val="none"/>
                      <w:lang w:val="en-US" w:eastAsia="zh-CN" w:bidi="ar-SA"/>
                    </w:rPr>
                  </w:pPr>
                  <w:r>
                    <w:rPr>
                      <w:rFonts w:hint="eastAsia" w:ascii="Times New Roman" w:hAnsi="Times New Roman" w:cs="Times New Roman"/>
                      <w:b/>
                      <w:bCs/>
                      <w:caps w:val="0"/>
                      <w:color w:val="auto"/>
                      <w:spacing w:val="0"/>
                      <w:kern w:val="2"/>
                      <w:sz w:val="21"/>
                      <w:szCs w:val="21"/>
                      <w:highlight w:val="none"/>
                      <w:lang w:val="en-US" w:eastAsia="zh-CN" w:bidi="ar-SA"/>
                    </w:rPr>
                    <w:t>本项目以新带老削减量</w:t>
                  </w:r>
                </w:p>
              </w:tc>
              <w:tc>
                <w:tcPr>
                  <w:tcW w:w="699" w:type="pct"/>
                  <w:shd w:val="clear" w:color="auto" w:fill="auto"/>
                  <w:vAlign w:val="center"/>
                </w:tcPr>
                <w:p w14:paraId="6530716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cs="Times New Roman"/>
                      <w:b/>
                      <w:bCs/>
                      <w:caps w:val="0"/>
                      <w:color w:val="auto"/>
                      <w:spacing w:val="0"/>
                      <w:kern w:val="2"/>
                      <w:sz w:val="21"/>
                      <w:szCs w:val="21"/>
                      <w:highlight w:val="none"/>
                      <w:lang w:val="en-US" w:eastAsia="zh-CN" w:bidi="ar-SA"/>
                    </w:rPr>
                  </w:pPr>
                  <w:r>
                    <w:rPr>
                      <w:rFonts w:hint="eastAsia" w:cs="Times New Roman"/>
                      <w:b/>
                      <w:bCs/>
                      <w:caps w:val="0"/>
                      <w:color w:val="auto"/>
                      <w:spacing w:val="0"/>
                      <w:kern w:val="2"/>
                      <w:sz w:val="21"/>
                      <w:szCs w:val="21"/>
                      <w:highlight w:val="none"/>
                      <w:lang w:val="en-US" w:eastAsia="zh-CN" w:bidi="ar-SA"/>
                    </w:rPr>
                    <w:t>在建工程排放量</w:t>
                  </w:r>
                </w:p>
              </w:tc>
              <w:tc>
                <w:tcPr>
                  <w:tcW w:w="699" w:type="pct"/>
                  <w:shd w:val="clear" w:color="auto" w:fill="auto"/>
                  <w:vAlign w:val="center"/>
                </w:tcPr>
                <w:p w14:paraId="13C6CE5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aps w:val="0"/>
                      <w:color w:val="auto"/>
                      <w:spacing w:val="0"/>
                      <w:kern w:val="2"/>
                      <w:sz w:val="21"/>
                      <w:szCs w:val="21"/>
                      <w:highlight w:val="none"/>
                      <w:lang w:val="en-US" w:eastAsia="zh-CN" w:bidi="ar-SA"/>
                    </w:rPr>
                  </w:pPr>
                  <w:r>
                    <w:rPr>
                      <w:rFonts w:hint="eastAsia" w:ascii="Times New Roman" w:hAnsi="Times New Roman" w:cs="Times New Roman"/>
                      <w:b/>
                      <w:bCs/>
                      <w:caps w:val="0"/>
                      <w:color w:val="auto"/>
                      <w:spacing w:val="0"/>
                      <w:sz w:val="21"/>
                      <w:szCs w:val="21"/>
                      <w:highlight w:val="none"/>
                      <w:lang w:val="en-US" w:eastAsia="zh-CN"/>
                    </w:rPr>
                    <w:t>本</w:t>
                  </w:r>
                  <w:r>
                    <w:rPr>
                      <w:rFonts w:hint="default" w:ascii="Times New Roman" w:hAnsi="Times New Roman" w:eastAsia="宋体" w:cs="Times New Roman"/>
                      <w:b/>
                      <w:bCs/>
                      <w:caps w:val="0"/>
                      <w:color w:val="auto"/>
                      <w:spacing w:val="0"/>
                      <w:sz w:val="21"/>
                      <w:szCs w:val="21"/>
                      <w:highlight w:val="none"/>
                      <w:lang w:val="en-US" w:eastAsia="zh-CN"/>
                    </w:rPr>
                    <w:t>项目建成后全厂</w:t>
                  </w:r>
                  <w:r>
                    <w:rPr>
                      <w:rFonts w:hint="eastAsia" w:ascii="Times New Roman" w:hAnsi="Times New Roman" w:cs="Times New Roman"/>
                      <w:b/>
                      <w:bCs/>
                      <w:caps w:val="0"/>
                      <w:color w:val="auto"/>
                      <w:spacing w:val="0"/>
                      <w:sz w:val="21"/>
                      <w:szCs w:val="21"/>
                      <w:highlight w:val="none"/>
                      <w:lang w:val="en-US" w:eastAsia="zh-CN"/>
                    </w:rPr>
                    <w:t>排放</w:t>
                  </w:r>
                  <w:r>
                    <w:rPr>
                      <w:rFonts w:hint="default" w:ascii="Times New Roman" w:hAnsi="Times New Roman" w:eastAsia="宋体" w:cs="Times New Roman"/>
                      <w:b/>
                      <w:bCs/>
                      <w:caps w:val="0"/>
                      <w:color w:val="auto"/>
                      <w:spacing w:val="0"/>
                      <w:sz w:val="21"/>
                      <w:szCs w:val="21"/>
                      <w:highlight w:val="none"/>
                      <w:lang w:val="en-US" w:eastAsia="zh-CN"/>
                    </w:rPr>
                    <w:t>量</w:t>
                  </w:r>
                </w:p>
              </w:tc>
              <w:tc>
                <w:tcPr>
                  <w:tcW w:w="509" w:type="pct"/>
                  <w:shd w:val="clear" w:color="auto" w:fill="auto"/>
                  <w:vAlign w:val="center"/>
                </w:tcPr>
                <w:p w14:paraId="659571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bCs/>
                      <w:caps w:val="0"/>
                      <w:color w:val="auto"/>
                      <w:spacing w:val="0"/>
                      <w:kern w:val="2"/>
                      <w:sz w:val="21"/>
                      <w:szCs w:val="21"/>
                      <w:highlight w:val="none"/>
                      <w:lang w:val="en-US" w:eastAsia="zh-CN" w:bidi="ar-SA"/>
                    </w:rPr>
                  </w:pPr>
                  <w:r>
                    <w:rPr>
                      <w:rFonts w:hint="eastAsia" w:ascii="Times New Roman" w:hAnsi="Times New Roman" w:cs="Times New Roman"/>
                      <w:b/>
                      <w:bCs/>
                      <w:caps w:val="0"/>
                      <w:color w:val="auto"/>
                      <w:spacing w:val="0"/>
                      <w:sz w:val="21"/>
                      <w:szCs w:val="21"/>
                      <w:highlight w:val="none"/>
                      <w:lang w:val="en-US" w:eastAsia="zh-CN"/>
                    </w:rPr>
                    <w:t>增减</w:t>
                  </w:r>
                  <w:r>
                    <w:rPr>
                      <w:rFonts w:hint="default" w:ascii="Times New Roman" w:hAnsi="Times New Roman" w:cs="Times New Roman"/>
                      <w:b/>
                      <w:bCs/>
                      <w:caps w:val="0"/>
                      <w:color w:val="auto"/>
                      <w:spacing w:val="0"/>
                      <w:sz w:val="21"/>
                      <w:szCs w:val="21"/>
                      <w:highlight w:val="none"/>
                      <w:lang w:val="en-US" w:eastAsia="zh-CN"/>
                    </w:rPr>
                    <w:t>量</w:t>
                  </w:r>
                </w:p>
              </w:tc>
            </w:tr>
            <w:tr w14:paraId="1BBA0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restart"/>
                  <w:vAlign w:val="center"/>
                </w:tcPr>
                <w:p w14:paraId="6CE19DE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r>
                    <w:rPr>
                      <w:rFonts w:hint="default" w:ascii="Times New Roman" w:hAnsi="Times New Roman" w:eastAsia="宋体" w:cs="Times New Roman"/>
                      <w:b w:val="0"/>
                      <w:bCs w:val="0"/>
                      <w:caps w:val="0"/>
                      <w:color w:val="auto"/>
                      <w:spacing w:val="0"/>
                      <w:sz w:val="21"/>
                      <w:szCs w:val="21"/>
                      <w:highlight w:val="none"/>
                      <w:lang w:val="en-US" w:eastAsia="zh-CN"/>
                    </w:rPr>
                    <w:t>废气</w:t>
                  </w:r>
                </w:p>
              </w:tc>
              <w:tc>
                <w:tcPr>
                  <w:tcW w:w="563" w:type="pct"/>
                  <w:shd w:val="clear" w:color="auto" w:fill="auto"/>
                  <w:vAlign w:val="center"/>
                </w:tcPr>
                <w:p w14:paraId="731550D9">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二氧化硫</w:t>
                  </w:r>
                </w:p>
              </w:tc>
              <w:tc>
                <w:tcPr>
                  <w:tcW w:w="771" w:type="pct"/>
                  <w:shd w:val="clear" w:color="auto" w:fill="auto"/>
                  <w:vAlign w:val="center"/>
                </w:tcPr>
                <w:p w14:paraId="480C9E84">
                  <w:pPr>
                    <w:keepNext w:val="0"/>
                    <w:keepLines w:val="0"/>
                    <w:widowControl/>
                    <w:suppressLineNumbers w:val="0"/>
                    <w:jc w:val="center"/>
                    <w:textAlignment w:val="center"/>
                    <w:rPr>
                      <w:rFonts w:hint="default"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0.155 </w:t>
                  </w:r>
                </w:p>
              </w:tc>
              <w:tc>
                <w:tcPr>
                  <w:tcW w:w="709" w:type="pct"/>
                  <w:shd w:val="clear" w:color="auto" w:fill="auto"/>
                  <w:vAlign w:val="center"/>
                </w:tcPr>
                <w:p w14:paraId="63F73B0C">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599DE71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79D42C8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1A8C930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0.155</w:t>
                  </w:r>
                </w:p>
              </w:tc>
              <w:tc>
                <w:tcPr>
                  <w:tcW w:w="509" w:type="pct"/>
                  <w:shd w:val="clear" w:color="auto" w:fill="auto"/>
                  <w:vAlign w:val="center"/>
                </w:tcPr>
                <w:p w14:paraId="100A9E8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w:t>
                  </w:r>
                </w:p>
              </w:tc>
            </w:tr>
            <w:tr w14:paraId="193E3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jc w:val="center"/>
              </w:trPr>
              <w:tc>
                <w:tcPr>
                  <w:tcW w:w="348" w:type="pct"/>
                  <w:vMerge w:val="continue"/>
                  <w:vAlign w:val="center"/>
                </w:tcPr>
                <w:p w14:paraId="26A0384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18BDFB69">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氮氧化物</w:t>
                  </w:r>
                </w:p>
              </w:tc>
              <w:tc>
                <w:tcPr>
                  <w:tcW w:w="771" w:type="pct"/>
                  <w:shd w:val="clear" w:color="auto" w:fill="auto"/>
                  <w:vAlign w:val="center"/>
                </w:tcPr>
                <w:p w14:paraId="74619818">
                  <w:pPr>
                    <w:keepNext w:val="0"/>
                    <w:keepLines w:val="0"/>
                    <w:widowControl/>
                    <w:suppressLineNumbers w:val="0"/>
                    <w:jc w:val="center"/>
                    <w:textAlignment w:val="center"/>
                    <w:rPr>
                      <w:rFonts w:hint="default"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0.000 </w:t>
                  </w:r>
                </w:p>
              </w:tc>
              <w:tc>
                <w:tcPr>
                  <w:tcW w:w="709" w:type="pct"/>
                  <w:shd w:val="clear" w:color="auto" w:fill="auto"/>
                  <w:vAlign w:val="center"/>
                </w:tcPr>
                <w:p w14:paraId="1D51CBD6">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29C58E1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3ED6B7F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356ACA9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0.000</w:t>
                  </w:r>
                </w:p>
              </w:tc>
              <w:tc>
                <w:tcPr>
                  <w:tcW w:w="509" w:type="pct"/>
                  <w:shd w:val="clear" w:color="auto" w:fill="auto"/>
                  <w:vAlign w:val="center"/>
                </w:tcPr>
                <w:p w14:paraId="7BAC9ED5">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w:t>
                  </w:r>
                </w:p>
              </w:tc>
            </w:tr>
            <w:tr w14:paraId="11529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5343977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7B66F6CE">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甲醇</w:t>
                  </w:r>
                </w:p>
              </w:tc>
              <w:tc>
                <w:tcPr>
                  <w:tcW w:w="771" w:type="pct"/>
                  <w:shd w:val="clear" w:color="auto" w:fill="auto"/>
                  <w:vAlign w:val="center"/>
                </w:tcPr>
                <w:p w14:paraId="1FC8FB36">
                  <w:pPr>
                    <w:keepNext w:val="0"/>
                    <w:keepLines w:val="0"/>
                    <w:widowControl/>
                    <w:suppressLineNumbers w:val="0"/>
                    <w:jc w:val="center"/>
                    <w:textAlignment w:val="center"/>
                    <w:rPr>
                      <w:rFonts w:hint="default"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2.474 </w:t>
                  </w:r>
                </w:p>
              </w:tc>
              <w:tc>
                <w:tcPr>
                  <w:tcW w:w="709" w:type="pct"/>
                  <w:shd w:val="clear" w:color="auto" w:fill="auto"/>
                  <w:vAlign w:val="center"/>
                </w:tcPr>
                <w:p w14:paraId="0797CDC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1B19E3F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76E3525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614A344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2.474</w:t>
                  </w:r>
                </w:p>
              </w:tc>
              <w:tc>
                <w:tcPr>
                  <w:tcW w:w="509" w:type="pct"/>
                  <w:shd w:val="clear" w:color="auto" w:fill="auto"/>
                  <w:vAlign w:val="center"/>
                </w:tcPr>
                <w:p w14:paraId="5D85EB31">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w:t>
                  </w:r>
                </w:p>
              </w:tc>
            </w:tr>
            <w:tr w14:paraId="34A25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3D6748F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1CB7D358">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氨</w:t>
                  </w:r>
                </w:p>
              </w:tc>
              <w:tc>
                <w:tcPr>
                  <w:tcW w:w="771" w:type="pct"/>
                  <w:shd w:val="clear" w:color="auto" w:fill="auto"/>
                  <w:vAlign w:val="center"/>
                </w:tcPr>
                <w:p w14:paraId="4351102F">
                  <w:pPr>
                    <w:keepNext w:val="0"/>
                    <w:keepLines w:val="0"/>
                    <w:widowControl/>
                    <w:suppressLineNumbers w:val="0"/>
                    <w:jc w:val="center"/>
                    <w:textAlignment w:val="center"/>
                    <w:rPr>
                      <w:rFonts w:hint="default"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0.848 </w:t>
                  </w:r>
                </w:p>
              </w:tc>
              <w:tc>
                <w:tcPr>
                  <w:tcW w:w="709" w:type="pct"/>
                  <w:shd w:val="clear" w:color="auto" w:fill="auto"/>
                  <w:vAlign w:val="center"/>
                </w:tcPr>
                <w:p w14:paraId="6E1384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0.003</w:t>
                  </w:r>
                </w:p>
              </w:tc>
              <w:tc>
                <w:tcPr>
                  <w:tcW w:w="699" w:type="pct"/>
                  <w:shd w:val="clear" w:color="auto" w:fill="auto"/>
                  <w:vAlign w:val="center"/>
                </w:tcPr>
                <w:p w14:paraId="777B8CB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0.002</w:t>
                  </w:r>
                </w:p>
              </w:tc>
              <w:tc>
                <w:tcPr>
                  <w:tcW w:w="699" w:type="pct"/>
                  <w:shd w:val="clear" w:color="auto" w:fill="auto"/>
                  <w:vAlign w:val="center"/>
                </w:tcPr>
                <w:p w14:paraId="06A452C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-0.009</w:t>
                  </w:r>
                </w:p>
              </w:tc>
              <w:tc>
                <w:tcPr>
                  <w:tcW w:w="699" w:type="pct"/>
                  <w:shd w:val="clear" w:color="auto" w:fill="auto"/>
                  <w:vAlign w:val="center"/>
                </w:tcPr>
                <w:p w14:paraId="2E9EF27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0.84</w:t>
                  </w:r>
                  <w:r>
                    <w:rPr>
                      <w:rFonts w:hint="eastAsia" w:cs="Times New Roman"/>
                      <w:i w:val="0"/>
                      <w:iCs w:val="0"/>
                      <w:color w:val="auto"/>
                      <w:kern w:val="0"/>
                      <w:sz w:val="21"/>
                      <w:szCs w:val="21"/>
                      <w:highlight w:val="none"/>
                      <w:u w:val="none"/>
                      <w:lang w:val="en-US" w:eastAsia="zh-CN" w:bidi="ar"/>
                    </w:rPr>
                    <w:t>0</w:t>
                  </w:r>
                </w:p>
              </w:tc>
              <w:tc>
                <w:tcPr>
                  <w:tcW w:w="509" w:type="pct"/>
                  <w:shd w:val="clear" w:color="auto" w:fill="auto"/>
                  <w:vAlign w:val="center"/>
                </w:tcPr>
                <w:p w14:paraId="33978E1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w:t>
                  </w:r>
                  <w:r>
                    <w:rPr>
                      <w:rFonts w:hint="eastAsia" w:ascii="Times New Roman" w:hAnsi="Times New Roman" w:eastAsia="宋体" w:cs="Times New Roman"/>
                      <w:i w:val="0"/>
                      <w:iCs w:val="0"/>
                      <w:color w:val="auto"/>
                      <w:kern w:val="0"/>
                      <w:sz w:val="21"/>
                      <w:szCs w:val="21"/>
                      <w:highlight w:val="none"/>
                      <w:u w:val="none"/>
                      <w:lang w:val="en-US" w:eastAsia="zh-CN" w:bidi="ar"/>
                    </w:rPr>
                    <w:t>0.00</w:t>
                  </w:r>
                  <w:r>
                    <w:rPr>
                      <w:rFonts w:hint="eastAsia" w:cs="Times New Roman"/>
                      <w:i w:val="0"/>
                      <w:iCs w:val="0"/>
                      <w:color w:val="auto"/>
                      <w:kern w:val="0"/>
                      <w:sz w:val="21"/>
                      <w:szCs w:val="21"/>
                      <w:highlight w:val="none"/>
                      <w:u w:val="none"/>
                      <w:lang w:val="en-US" w:eastAsia="zh-CN" w:bidi="ar"/>
                    </w:rPr>
                    <w:t>8</w:t>
                  </w:r>
                </w:p>
              </w:tc>
            </w:tr>
            <w:tr w14:paraId="1FEDC0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7A9AA7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5844AF0C">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甲醛</w:t>
                  </w:r>
                </w:p>
              </w:tc>
              <w:tc>
                <w:tcPr>
                  <w:tcW w:w="771" w:type="pct"/>
                  <w:shd w:val="clear" w:color="auto" w:fill="auto"/>
                  <w:vAlign w:val="center"/>
                </w:tcPr>
                <w:p w14:paraId="1386DE69">
                  <w:pPr>
                    <w:keepNext w:val="0"/>
                    <w:keepLines w:val="0"/>
                    <w:widowControl/>
                    <w:suppressLineNumbers w:val="0"/>
                    <w:jc w:val="center"/>
                    <w:textAlignment w:val="center"/>
                    <w:rPr>
                      <w:rFonts w:hint="eastAsia"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1.290 </w:t>
                  </w:r>
                </w:p>
              </w:tc>
              <w:tc>
                <w:tcPr>
                  <w:tcW w:w="709" w:type="pct"/>
                  <w:shd w:val="clear" w:color="auto" w:fill="auto"/>
                  <w:vAlign w:val="center"/>
                </w:tcPr>
                <w:p w14:paraId="3A05536F">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3CB8931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79243F1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0BB80F0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1.290</w:t>
                  </w:r>
                </w:p>
              </w:tc>
              <w:tc>
                <w:tcPr>
                  <w:tcW w:w="509" w:type="pct"/>
                  <w:shd w:val="clear" w:color="auto" w:fill="auto"/>
                  <w:vAlign w:val="center"/>
                </w:tcPr>
                <w:p w14:paraId="6421C4F4">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w:t>
                  </w:r>
                </w:p>
              </w:tc>
            </w:tr>
            <w:tr w14:paraId="3A41D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3C26AE4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775BCC75">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非甲烷总烃</w:t>
                  </w:r>
                </w:p>
              </w:tc>
              <w:tc>
                <w:tcPr>
                  <w:tcW w:w="771" w:type="pct"/>
                  <w:shd w:val="clear" w:color="auto" w:fill="auto"/>
                  <w:vAlign w:val="center"/>
                </w:tcPr>
                <w:p w14:paraId="05D352FB">
                  <w:pPr>
                    <w:keepNext w:val="0"/>
                    <w:keepLines w:val="0"/>
                    <w:widowControl/>
                    <w:suppressLineNumbers w:val="0"/>
                    <w:jc w:val="center"/>
                    <w:textAlignment w:val="center"/>
                    <w:rPr>
                      <w:rFonts w:hint="default"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6.529 </w:t>
                  </w:r>
                </w:p>
              </w:tc>
              <w:tc>
                <w:tcPr>
                  <w:tcW w:w="709" w:type="pct"/>
                  <w:shd w:val="clear" w:color="auto" w:fill="auto"/>
                  <w:vAlign w:val="center"/>
                </w:tcPr>
                <w:p w14:paraId="5E75C13D">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1D618D6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1B37153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-0.029</w:t>
                  </w:r>
                </w:p>
              </w:tc>
              <w:tc>
                <w:tcPr>
                  <w:tcW w:w="699" w:type="pct"/>
                  <w:shd w:val="clear" w:color="auto" w:fill="auto"/>
                  <w:vAlign w:val="center"/>
                </w:tcPr>
                <w:p w14:paraId="13163BF0">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6.5</w:t>
                  </w:r>
                  <w:r>
                    <w:rPr>
                      <w:rFonts w:hint="eastAsia" w:cs="Times New Roman"/>
                      <w:i w:val="0"/>
                      <w:iCs w:val="0"/>
                      <w:color w:val="auto"/>
                      <w:kern w:val="0"/>
                      <w:sz w:val="21"/>
                      <w:szCs w:val="21"/>
                      <w:highlight w:val="none"/>
                      <w:u w:val="none"/>
                      <w:lang w:val="en-US" w:eastAsia="zh-CN" w:bidi="ar"/>
                    </w:rPr>
                    <w:t>00</w:t>
                  </w:r>
                </w:p>
              </w:tc>
              <w:tc>
                <w:tcPr>
                  <w:tcW w:w="509" w:type="pct"/>
                  <w:shd w:val="clear" w:color="auto" w:fill="auto"/>
                  <w:vAlign w:val="center"/>
                </w:tcPr>
                <w:p w14:paraId="32DEE77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-0.029</w:t>
                  </w:r>
                </w:p>
              </w:tc>
            </w:tr>
            <w:tr w14:paraId="56BA6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09B2850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144A2D0C">
                  <w:pPr>
                    <w:keepNext w:val="0"/>
                    <w:keepLines w:val="0"/>
                    <w:pageBreakBefore w:val="0"/>
                    <w:widowControl/>
                    <w:suppressLineNumbers w:val="0"/>
                    <w:wordWrap/>
                    <w:overflowPunct/>
                    <w:topLinePunct w:val="0"/>
                    <w:bidi w:val="0"/>
                    <w:spacing w:before="0" w:beforeAutospacing="0" w:after="0" w:afterAutospacing="0" w:line="280" w:lineRule="exact"/>
                    <w:ind w:left="0" w:leftChars="0" w:right="0" w:rightChars="0" w:firstLine="0" w:firstLineChars="0"/>
                    <w:jc w:val="center"/>
                    <w:textAlignment w:val="center"/>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t>颗粒物</w:t>
                  </w:r>
                </w:p>
              </w:tc>
              <w:tc>
                <w:tcPr>
                  <w:tcW w:w="771" w:type="pct"/>
                  <w:shd w:val="clear" w:color="auto" w:fill="auto"/>
                  <w:vAlign w:val="center"/>
                </w:tcPr>
                <w:p w14:paraId="2AC820B7">
                  <w:pPr>
                    <w:keepNext w:val="0"/>
                    <w:keepLines w:val="0"/>
                    <w:widowControl/>
                    <w:suppressLineNumbers w:val="0"/>
                    <w:jc w:val="center"/>
                    <w:textAlignment w:val="center"/>
                    <w:rPr>
                      <w:rFonts w:hint="default"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1.211 </w:t>
                  </w:r>
                </w:p>
              </w:tc>
              <w:tc>
                <w:tcPr>
                  <w:tcW w:w="709" w:type="pct"/>
                  <w:shd w:val="clear" w:color="auto" w:fill="auto"/>
                  <w:vAlign w:val="center"/>
                </w:tcPr>
                <w:p w14:paraId="3F34A16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1.425</w:t>
                  </w:r>
                </w:p>
              </w:tc>
              <w:tc>
                <w:tcPr>
                  <w:tcW w:w="699" w:type="pct"/>
                  <w:shd w:val="clear" w:color="auto" w:fill="auto"/>
                  <w:vAlign w:val="center"/>
                </w:tcPr>
                <w:p w14:paraId="0CB9F8AA">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0.355</w:t>
                  </w:r>
                </w:p>
              </w:tc>
              <w:tc>
                <w:tcPr>
                  <w:tcW w:w="699" w:type="pct"/>
                  <w:shd w:val="clear" w:color="auto" w:fill="auto"/>
                  <w:vAlign w:val="center"/>
                </w:tcPr>
                <w:p w14:paraId="4F419297">
                  <w:pPr>
                    <w:keepNext w:val="0"/>
                    <w:keepLines w:val="0"/>
                    <w:widowControl/>
                    <w:suppressLineNumbers w:val="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7FF8F9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2.281</w:t>
                  </w:r>
                </w:p>
              </w:tc>
              <w:tc>
                <w:tcPr>
                  <w:tcW w:w="509" w:type="pct"/>
                  <w:shd w:val="clear" w:color="auto" w:fill="auto"/>
                  <w:vAlign w:val="center"/>
                </w:tcPr>
                <w:p w14:paraId="597DDAE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w:t>
                  </w:r>
                  <w:r>
                    <w:rPr>
                      <w:rFonts w:hint="eastAsia" w:cs="Times New Roman"/>
                      <w:i w:val="0"/>
                      <w:iCs w:val="0"/>
                      <w:color w:val="auto"/>
                      <w:kern w:val="0"/>
                      <w:sz w:val="21"/>
                      <w:szCs w:val="21"/>
                      <w:highlight w:val="none"/>
                      <w:u w:val="none"/>
                      <w:lang w:val="en-US" w:eastAsia="zh-CN" w:bidi="ar"/>
                    </w:rPr>
                    <w:t>1.070</w:t>
                  </w:r>
                </w:p>
              </w:tc>
            </w:tr>
            <w:tr w14:paraId="27BB3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52" w:hRule="atLeast"/>
                <w:jc w:val="center"/>
              </w:trPr>
              <w:tc>
                <w:tcPr>
                  <w:tcW w:w="348" w:type="pct"/>
                  <w:vMerge w:val="continue"/>
                  <w:vAlign w:val="center"/>
                </w:tcPr>
                <w:p w14:paraId="2B0CFD7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4012A800">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eastAsia"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default" w:ascii="Times New Roman" w:hAnsi="Times New Roman" w:eastAsia="宋体" w:cs="Times New Roman"/>
                      <w:b w:val="0"/>
                      <w:bCs w:val="0"/>
                      <w:color w:val="auto"/>
                      <w:spacing w:val="0"/>
                      <w:w w:val="100"/>
                      <w:position w:val="0"/>
                      <w:sz w:val="21"/>
                      <w:szCs w:val="21"/>
                      <w:highlight w:val="none"/>
                      <w:lang w:val="en-US" w:eastAsia="zh-CN"/>
                    </w:rPr>
                    <w:t>硫化氢</w:t>
                  </w:r>
                </w:p>
              </w:tc>
              <w:tc>
                <w:tcPr>
                  <w:tcW w:w="771" w:type="pct"/>
                  <w:shd w:val="clear" w:color="auto" w:fill="auto"/>
                  <w:vAlign w:val="center"/>
                </w:tcPr>
                <w:p w14:paraId="5BB3CC84">
                  <w:pPr>
                    <w:keepNext w:val="0"/>
                    <w:keepLines w:val="0"/>
                    <w:widowControl/>
                    <w:suppressLineNumbers w:val="0"/>
                    <w:jc w:val="center"/>
                    <w:textAlignment w:val="center"/>
                    <w:rPr>
                      <w:rFonts w:hint="eastAsia"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0.189 </w:t>
                  </w:r>
                </w:p>
              </w:tc>
              <w:tc>
                <w:tcPr>
                  <w:tcW w:w="709" w:type="pct"/>
                  <w:shd w:val="clear" w:color="auto" w:fill="auto"/>
                  <w:vAlign w:val="center"/>
                </w:tcPr>
                <w:p w14:paraId="0C88725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0.00006</w:t>
                  </w:r>
                </w:p>
              </w:tc>
              <w:tc>
                <w:tcPr>
                  <w:tcW w:w="699" w:type="pct"/>
                  <w:shd w:val="clear" w:color="auto" w:fill="auto"/>
                  <w:vAlign w:val="center"/>
                </w:tcPr>
                <w:p w14:paraId="6C94AA7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0.00003</w:t>
                  </w:r>
                </w:p>
              </w:tc>
              <w:tc>
                <w:tcPr>
                  <w:tcW w:w="699" w:type="pct"/>
                  <w:shd w:val="clear" w:color="auto" w:fill="auto"/>
                  <w:vAlign w:val="center"/>
                </w:tcPr>
                <w:p w14:paraId="0BA7D27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314A48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0.1</w:t>
                  </w:r>
                  <w:r>
                    <w:rPr>
                      <w:rFonts w:hint="eastAsia" w:cs="Times New Roman"/>
                      <w:i w:val="0"/>
                      <w:iCs w:val="0"/>
                      <w:color w:val="auto"/>
                      <w:kern w:val="0"/>
                      <w:sz w:val="21"/>
                      <w:szCs w:val="21"/>
                      <w:highlight w:val="none"/>
                      <w:u w:val="none"/>
                      <w:lang w:val="en-US" w:eastAsia="zh-CN" w:bidi="ar"/>
                    </w:rPr>
                    <w:t>89</w:t>
                  </w:r>
                </w:p>
              </w:tc>
              <w:tc>
                <w:tcPr>
                  <w:tcW w:w="509" w:type="pct"/>
                  <w:shd w:val="clear" w:color="auto" w:fill="auto"/>
                  <w:vAlign w:val="center"/>
                </w:tcPr>
                <w:p w14:paraId="4A41568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+0.00003</w:t>
                  </w:r>
                </w:p>
              </w:tc>
            </w:tr>
            <w:tr w14:paraId="0A8D6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5FF976F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44D57E48">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eastAsia"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default" w:ascii="Times New Roman" w:hAnsi="Times New Roman" w:eastAsia="宋体" w:cs="Times New Roman"/>
                      <w:b w:val="0"/>
                      <w:bCs w:val="0"/>
                      <w:color w:val="auto"/>
                      <w:spacing w:val="0"/>
                      <w:w w:val="100"/>
                      <w:position w:val="0"/>
                      <w:sz w:val="21"/>
                      <w:szCs w:val="21"/>
                      <w:highlight w:val="none"/>
                      <w:lang w:val="en-US" w:eastAsia="zh-CN"/>
                    </w:rPr>
                    <w:t>氯化氢</w:t>
                  </w:r>
                </w:p>
              </w:tc>
              <w:tc>
                <w:tcPr>
                  <w:tcW w:w="771" w:type="pct"/>
                  <w:shd w:val="clear" w:color="auto" w:fill="auto"/>
                  <w:vAlign w:val="center"/>
                </w:tcPr>
                <w:p w14:paraId="42D618FC">
                  <w:pPr>
                    <w:keepNext w:val="0"/>
                    <w:keepLines w:val="0"/>
                    <w:widowControl/>
                    <w:suppressLineNumbers w:val="0"/>
                    <w:jc w:val="center"/>
                    <w:textAlignment w:val="center"/>
                    <w:rPr>
                      <w:rFonts w:hint="eastAsia"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1.977 </w:t>
                  </w:r>
                </w:p>
              </w:tc>
              <w:tc>
                <w:tcPr>
                  <w:tcW w:w="709" w:type="pct"/>
                  <w:shd w:val="clear" w:color="auto" w:fill="auto"/>
                  <w:vAlign w:val="center"/>
                </w:tcPr>
                <w:p w14:paraId="080680DA">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55BBEE8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5BB94FE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1824664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1.977</w:t>
                  </w:r>
                </w:p>
              </w:tc>
              <w:tc>
                <w:tcPr>
                  <w:tcW w:w="509" w:type="pct"/>
                  <w:shd w:val="clear" w:color="auto" w:fill="auto"/>
                  <w:vAlign w:val="center"/>
                </w:tcPr>
                <w:p w14:paraId="67065D16">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w:t>
                  </w:r>
                </w:p>
              </w:tc>
            </w:tr>
            <w:tr w14:paraId="5CBF0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1D80F56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shd w:val="clear" w:color="auto" w:fill="auto"/>
                  <w:vAlign w:val="center"/>
                </w:tcPr>
                <w:p w14:paraId="35F6A8BC">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80" w:lineRule="exact"/>
                    <w:ind w:left="0" w:leftChars="0" w:right="0" w:rightChars="0" w:firstLine="0" w:firstLineChars="0"/>
                    <w:jc w:val="center"/>
                    <w:textAlignment w:val="baseline"/>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eastAsia" w:ascii="Times New Roman" w:hAnsi="Times New Roman" w:eastAsia="宋体" w:cs="Times New Roman"/>
                      <w:b w:val="0"/>
                      <w:bCs w:val="0"/>
                      <w:color w:val="auto"/>
                      <w:spacing w:val="0"/>
                      <w:w w:val="100"/>
                      <w:position w:val="0"/>
                      <w:sz w:val="21"/>
                      <w:szCs w:val="21"/>
                      <w:highlight w:val="none"/>
                      <w:lang w:val="en-US" w:eastAsia="zh-CN"/>
                    </w:rPr>
                    <w:t>氯气</w:t>
                  </w:r>
                </w:p>
              </w:tc>
              <w:tc>
                <w:tcPr>
                  <w:tcW w:w="771" w:type="pct"/>
                  <w:shd w:val="clear" w:color="auto" w:fill="auto"/>
                  <w:vAlign w:val="center"/>
                </w:tcPr>
                <w:p w14:paraId="5B5B7853">
                  <w:pPr>
                    <w:keepNext w:val="0"/>
                    <w:keepLines w:val="0"/>
                    <w:widowControl/>
                    <w:suppressLineNumbers w:val="0"/>
                    <w:jc w:val="center"/>
                    <w:textAlignment w:val="center"/>
                    <w:rPr>
                      <w:rFonts w:hint="eastAsia" w:cs="Times New Roman"/>
                      <w:b w:val="0"/>
                      <w:bCs w:val="0"/>
                      <w:caps w:val="0"/>
                      <w:color w:val="auto"/>
                      <w:spacing w:val="0"/>
                      <w:sz w:val="21"/>
                      <w:szCs w:val="21"/>
                      <w:highlight w:val="none"/>
                      <w:lang w:val="en-US" w:eastAsia="zh-CN"/>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0.000 </w:t>
                  </w:r>
                </w:p>
              </w:tc>
              <w:tc>
                <w:tcPr>
                  <w:tcW w:w="709" w:type="pct"/>
                  <w:shd w:val="clear" w:color="auto" w:fill="auto"/>
                  <w:vAlign w:val="center"/>
                </w:tcPr>
                <w:p w14:paraId="5D3AD98D">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05D71E5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3EB66E2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699" w:type="pct"/>
                  <w:shd w:val="clear" w:color="auto" w:fill="auto"/>
                  <w:vAlign w:val="center"/>
                </w:tcPr>
                <w:p w14:paraId="7F36F780">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default" w:ascii="Times New Roman" w:hAnsi="Times New Roman" w:eastAsia="宋体" w:cs="Times New Roman"/>
                      <w:i w:val="0"/>
                      <w:iCs w:val="0"/>
                      <w:color w:val="auto"/>
                      <w:kern w:val="0"/>
                      <w:sz w:val="21"/>
                      <w:szCs w:val="21"/>
                      <w:highlight w:val="none"/>
                      <w:u w:val="none"/>
                      <w:lang w:val="en-US" w:eastAsia="zh-CN" w:bidi="ar"/>
                    </w:rPr>
                    <w:t>0.000</w:t>
                  </w:r>
                </w:p>
              </w:tc>
              <w:tc>
                <w:tcPr>
                  <w:tcW w:w="509" w:type="pct"/>
                  <w:shd w:val="clear" w:color="auto" w:fill="auto"/>
                  <w:vAlign w:val="center"/>
                </w:tcPr>
                <w:p w14:paraId="49DA6B5F">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0</w:t>
                  </w:r>
                </w:p>
              </w:tc>
            </w:tr>
            <w:tr w14:paraId="5D0E29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restart"/>
                  <w:vAlign w:val="center"/>
                </w:tcPr>
                <w:p w14:paraId="395F81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r>
                    <w:rPr>
                      <w:rFonts w:hint="default" w:ascii="Times New Roman" w:hAnsi="Times New Roman" w:eastAsia="宋体" w:cs="Times New Roman"/>
                      <w:b w:val="0"/>
                      <w:bCs w:val="0"/>
                      <w:caps w:val="0"/>
                      <w:color w:val="auto"/>
                      <w:spacing w:val="0"/>
                      <w:sz w:val="21"/>
                      <w:szCs w:val="21"/>
                      <w:highlight w:val="none"/>
                      <w:lang w:val="en-US" w:eastAsia="zh-CN"/>
                    </w:rPr>
                    <w:t>废水</w:t>
                  </w:r>
                </w:p>
              </w:tc>
              <w:tc>
                <w:tcPr>
                  <w:tcW w:w="563" w:type="pct"/>
                  <w:vAlign w:val="center"/>
                </w:tcPr>
                <w:p w14:paraId="14CC61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r>
                    <w:rPr>
                      <w:rFonts w:hint="default" w:ascii="Times New Roman" w:hAnsi="Times New Roman" w:eastAsia="宋体" w:cs="Times New Roman"/>
                      <w:b w:val="0"/>
                      <w:bCs w:val="0"/>
                      <w:caps w:val="0"/>
                      <w:color w:val="auto"/>
                      <w:spacing w:val="0"/>
                      <w:sz w:val="21"/>
                      <w:szCs w:val="21"/>
                      <w:highlight w:val="none"/>
                      <w:lang w:val="en-US" w:eastAsia="zh-CN"/>
                    </w:rPr>
                    <w:t>COD</w:t>
                  </w:r>
                </w:p>
              </w:tc>
              <w:tc>
                <w:tcPr>
                  <w:tcW w:w="771" w:type="pct"/>
                  <w:shd w:val="clear" w:color="auto" w:fill="auto"/>
                  <w:vAlign w:val="center"/>
                </w:tcPr>
                <w:p w14:paraId="435F2CED">
                  <w:pPr>
                    <w:keepNext w:val="0"/>
                    <w:keepLines w:val="0"/>
                    <w:widowControl/>
                    <w:suppressLineNumbers w:val="0"/>
                    <w:jc w:val="center"/>
                    <w:textAlignment w:val="center"/>
                    <w:rPr>
                      <w:rFonts w:hint="default" w:ascii="Times New Roman" w:hAnsi="Times New Roman" w:eastAsia="宋体" w:cs="Times New Roman"/>
                      <w:b w:val="0"/>
                      <w:bCs w:val="0"/>
                      <w:caps w:val="0"/>
                      <w:color w:val="auto"/>
                      <w:spacing w:val="0"/>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 xml:space="preserve">13.310 </w:t>
                  </w:r>
                </w:p>
              </w:tc>
              <w:tc>
                <w:tcPr>
                  <w:tcW w:w="709" w:type="pct"/>
                  <w:shd w:val="clear" w:color="auto" w:fill="auto"/>
                  <w:vAlign w:val="center"/>
                </w:tcPr>
                <w:p w14:paraId="76F6C932">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eastAsia" w:cs="Times New Roman"/>
                      <w:i w:val="0"/>
                      <w:iCs w:val="0"/>
                      <w:color w:val="0000FF"/>
                      <w:kern w:val="0"/>
                      <w:sz w:val="21"/>
                      <w:szCs w:val="21"/>
                      <w:highlight w:val="none"/>
                      <w:u w:val="none"/>
                      <w:lang w:val="en-US" w:eastAsia="zh-CN" w:bidi="ar"/>
                    </w:rPr>
                    <w:t>0.220</w:t>
                  </w:r>
                </w:p>
              </w:tc>
              <w:tc>
                <w:tcPr>
                  <w:tcW w:w="699" w:type="pct"/>
                  <w:shd w:val="clear" w:color="auto" w:fill="auto"/>
                  <w:vAlign w:val="center"/>
                </w:tcPr>
                <w:p w14:paraId="58B74962">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eastAsia" w:cs="Times New Roman"/>
                      <w:i w:val="0"/>
                      <w:iCs w:val="0"/>
                      <w:color w:val="0000FF"/>
                      <w:kern w:val="0"/>
                      <w:sz w:val="21"/>
                      <w:szCs w:val="21"/>
                      <w:highlight w:val="none"/>
                      <w:u w:val="none"/>
                      <w:lang w:val="en-US" w:eastAsia="zh-CN" w:bidi="ar"/>
                    </w:rPr>
                    <w:t>0.093</w:t>
                  </w:r>
                </w:p>
              </w:tc>
              <w:tc>
                <w:tcPr>
                  <w:tcW w:w="699" w:type="pct"/>
                  <w:shd w:val="clear" w:color="auto" w:fill="auto"/>
                  <w:vAlign w:val="center"/>
                </w:tcPr>
                <w:p w14:paraId="6F9CB33D">
                  <w:pPr>
                    <w:keepNext w:val="0"/>
                    <w:keepLines w:val="0"/>
                    <w:widowControl/>
                    <w:suppressLineNumbers w:val="0"/>
                    <w:jc w:val="center"/>
                    <w:textAlignment w:val="center"/>
                    <w:rPr>
                      <w:rFonts w:hint="default"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-0.003</w:t>
                  </w:r>
                </w:p>
              </w:tc>
              <w:tc>
                <w:tcPr>
                  <w:tcW w:w="1177" w:type="dxa"/>
                  <w:shd w:val="clear" w:color="auto" w:fill="auto"/>
                  <w:vAlign w:val="center"/>
                </w:tcPr>
                <w:p w14:paraId="5C8090B6">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13.434</w:t>
                  </w:r>
                </w:p>
              </w:tc>
              <w:tc>
                <w:tcPr>
                  <w:tcW w:w="858" w:type="dxa"/>
                  <w:shd w:val="clear" w:color="auto" w:fill="auto"/>
                  <w:vAlign w:val="center"/>
                </w:tcPr>
                <w:p w14:paraId="0E159DE1">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eastAsia" w:cs="Times New Roman"/>
                      <w:i w:val="0"/>
                      <w:iCs w:val="0"/>
                      <w:color w:val="0000FF"/>
                      <w:kern w:val="0"/>
                      <w:sz w:val="21"/>
                      <w:szCs w:val="21"/>
                      <w:highlight w:val="none"/>
                      <w:u w:val="none"/>
                      <w:lang w:val="en-US" w:eastAsia="zh-CN" w:bidi="ar"/>
                    </w:rPr>
                    <w:t>+</w:t>
                  </w:r>
                  <w:r>
                    <w:rPr>
                      <w:rFonts w:hint="eastAsia" w:ascii="Times New Roman" w:hAnsi="Times New Roman" w:eastAsia="宋体" w:cs="Times New Roman"/>
                      <w:i w:val="0"/>
                      <w:iCs w:val="0"/>
                      <w:color w:val="0000FF"/>
                      <w:kern w:val="0"/>
                      <w:sz w:val="21"/>
                      <w:szCs w:val="21"/>
                      <w:highlight w:val="none"/>
                      <w:u w:val="none"/>
                      <w:lang w:val="en-US" w:eastAsia="zh-CN" w:bidi="ar"/>
                    </w:rPr>
                    <w:t>0.124</w:t>
                  </w:r>
                </w:p>
              </w:tc>
            </w:tr>
            <w:tr w14:paraId="5FF37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348" w:type="pct"/>
                  <w:vMerge w:val="continue"/>
                  <w:vAlign w:val="center"/>
                </w:tcPr>
                <w:p w14:paraId="547F615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p>
              </w:tc>
              <w:tc>
                <w:tcPr>
                  <w:tcW w:w="563" w:type="pct"/>
                  <w:vAlign w:val="center"/>
                </w:tcPr>
                <w:p w14:paraId="64BDBD4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b w:val="0"/>
                      <w:bCs w:val="0"/>
                      <w:caps w:val="0"/>
                      <w:color w:val="auto"/>
                      <w:spacing w:val="0"/>
                      <w:sz w:val="21"/>
                      <w:szCs w:val="21"/>
                      <w:highlight w:val="none"/>
                      <w:lang w:val="en-US" w:eastAsia="zh-CN"/>
                    </w:rPr>
                  </w:pPr>
                  <w:r>
                    <w:rPr>
                      <w:rFonts w:hint="default" w:ascii="Times New Roman" w:hAnsi="Times New Roman" w:eastAsia="宋体" w:cs="Times New Roman"/>
                      <w:b w:val="0"/>
                      <w:bCs w:val="0"/>
                      <w:caps w:val="0"/>
                      <w:color w:val="auto"/>
                      <w:spacing w:val="0"/>
                      <w:sz w:val="21"/>
                      <w:szCs w:val="21"/>
                      <w:highlight w:val="none"/>
                      <w:lang w:val="en-US" w:eastAsia="zh-CN"/>
                    </w:rPr>
                    <w:t>氨氮</w:t>
                  </w:r>
                </w:p>
              </w:tc>
              <w:tc>
                <w:tcPr>
                  <w:tcW w:w="771" w:type="pct"/>
                  <w:shd w:val="clear" w:color="auto" w:fill="auto"/>
                  <w:vAlign w:val="center"/>
                </w:tcPr>
                <w:p w14:paraId="27B6067B">
                  <w:pPr>
                    <w:keepNext w:val="0"/>
                    <w:keepLines w:val="0"/>
                    <w:widowControl/>
                    <w:suppressLineNumbers w:val="0"/>
                    <w:jc w:val="center"/>
                    <w:textAlignment w:val="center"/>
                    <w:rPr>
                      <w:rFonts w:hint="default" w:ascii="Times New Roman" w:hAnsi="Times New Roman" w:eastAsia="宋体" w:cs="Times New Roman"/>
                      <w:b w:val="0"/>
                      <w:bCs w:val="0"/>
                      <w:caps w:val="0"/>
                      <w:color w:val="auto"/>
                      <w:spacing w:val="0"/>
                      <w:kern w:val="2"/>
                      <w:sz w:val="21"/>
                      <w:szCs w:val="21"/>
                      <w:highlight w:val="none"/>
                      <w:lang w:val="en-US" w:eastAsia="zh-CN" w:bidi="ar-SA"/>
                    </w:rPr>
                  </w:pPr>
                  <w:r>
                    <w:rPr>
                      <w:rFonts w:hint="default" w:ascii="Times New Roman" w:hAnsi="Times New Roman" w:eastAsia="宋体" w:cs="Times New Roman"/>
                      <w:i w:val="0"/>
                      <w:iCs w:val="0"/>
                      <w:color w:val="auto"/>
                      <w:kern w:val="0"/>
                      <w:sz w:val="21"/>
                      <w:szCs w:val="21"/>
                      <w:highlight w:val="none"/>
                      <w:u w:val="none"/>
                      <w:lang w:val="en-US" w:eastAsia="zh-CN" w:bidi="ar"/>
                    </w:rPr>
                    <w:t>0.721</w:t>
                  </w:r>
                </w:p>
              </w:tc>
              <w:tc>
                <w:tcPr>
                  <w:tcW w:w="709" w:type="pct"/>
                  <w:shd w:val="clear" w:color="auto" w:fill="auto"/>
                  <w:vAlign w:val="center"/>
                </w:tcPr>
                <w:p w14:paraId="105C1D13">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0.00</w:t>
                  </w:r>
                  <w:r>
                    <w:rPr>
                      <w:rFonts w:hint="eastAsia" w:cs="Times New Roman"/>
                      <w:i w:val="0"/>
                      <w:iCs w:val="0"/>
                      <w:color w:val="0000FF"/>
                      <w:kern w:val="0"/>
                      <w:sz w:val="21"/>
                      <w:szCs w:val="21"/>
                      <w:highlight w:val="none"/>
                      <w:u w:val="none"/>
                      <w:lang w:val="en-US" w:eastAsia="zh-CN" w:bidi="ar"/>
                    </w:rPr>
                    <w:t>6</w:t>
                  </w:r>
                </w:p>
              </w:tc>
              <w:tc>
                <w:tcPr>
                  <w:tcW w:w="699" w:type="pct"/>
                  <w:shd w:val="clear" w:color="auto" w:fill="auto"/>
                  <w:vAlign w:val="center"/>
                </w:tcPr>
                <w:p w14:paraId="490FC7FD">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0.002</w:t>
                  </w:r>
                </w:p>
              </w:tc>
              <w:tc>
                <w:tcPr>
                  <w:tcW w:w="699" w:type="pct"/>
                  <w:shd w:val="clear" w:color="auto" w:fill="auto"/>
                  <w:vAlign w:val="center"/>
                </w:tcPr>
                <w:p w14:paraId="3B895D6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cs="Times New Roman"/>
                      <w:i w:val="0"/>
                      <w:iCs w:val="0"/>
                      <w:color w:val="auto"/>
                      <w:kern w:val="0"/>
                      <w:sz w:val="21"/>
                      <w:szCs w:val="21"/>
                      <w:highlight w:val="none"/>
                      <w:u w:val="none"/>
                      <w:lang w:val="en-US" w:eastAsia="zh-CN" w:bidi="ar"/>
                    </w:rPr>
                    <w:t>0</w:t>
                  </w:r>
                </w:p>
              </w:tc>
              <w:tc>
                <w:tcPr>
                  <w:tcW w:w="1177" w:type="dxa"/>
                  <w:shd w:val="clear" w:color="auto" w:fill="auto"/>
                  <w:vAlign w:val="center"/>
                </w:tcPr>
                <w:p w14:paraId="395DA746">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default" w:ascii="Times New Roman" w:hAnsi="Times New Roman" w:eastAsia="宋体" w:cs="Times New Roman"/>
                      <w:i w:val="0"/>
                      <w:iCs w:val="0"/>
                      <w:color w:val="0000FF"/>
                      <w:kern w:val="0"/>
                      <w:sz w:val="21"/>
                      <w:szCs w:val="21"/>
                      <w:highlight w:val="none"/>
                      <w:u w:val="none"/>
                      <w:lang w:val="en-US" w:eastAsia="zh-CN" w:bidi="ar"/>
                    </w:rPr>
                    <w:t>0.725</w:t>
                  </w:r>
                </w:p>
              </w:tc>
              <w:tc>
                <w:tcPr>
                  <w:tcW w:w="858" w:type="dxa"/>
                  <w:shd w:val="clear" w:color="auto" w:fill="auto"/>
                  <w:vAlign w:val="center"/>
                </w:tcPr>
                <w:p w14:paraId="6484FDDB">
                  <w:pPr>
                    <w:keepNext w:val="0"/>
                    <w:keepLines w:val="0"/>
                    <w:widowControl/>
                    <w:suppressLineNumbers w:val="0"/>
                    <w:jc w:val="center"/>
                    <w:textAlignment w:val="center"/>
                    <w:rPr>
                      <w:rFonts w:hint="default" w:ascii="Times New Roman" w:hAnsi="Times New Roman" w:eastAsia="宋体" w:cs="Times New Roman"/>
                      <w:i w:val="0"/>
                      <w:iCs w:val="0"/>
                      <w:color w:val="0000FF"/>
                      <w:kern w:val="0"/>
                      <w:sz w:val="21"/>
                      <w:szCs w:val="21"/>
                      <w:highlight w:val="none"/>
                      <w:u w:val="none"/>
                      <w:lang w:val="en-US" w:eastAsia="zh-CN" w:bidi="ar"/>
                    </w:rPr>
                  </w:pPr>
                  <w:r>
                    <w:rPr>
                      <w:rFonts w:hint="eastAsia" w:cs="Times New Roman"/>
                      <w:i w:val="0"/>
                      <w:iCs w:val="0"/>
                      <w:color w:val="0000FF"/>
                      <w:kern w:val="0"/>
                      <w:sz w:val="21"/>
                      <w:szCs w:val="21"/>
                      <w:highlight w:val="none"/>
                      <w:u w:val="none"/>
                      <w:lang w:val="en-US" w:eastAsia="zh-CN" w:bidi="ar"/>
                    </w:rPr>
                    <w:t>+</w:t>
                  </w:r>
                  <w:r>
                    <w:rPr>
                      <w:rFonts w:hint="eastAsia" w:ascii="Times New Roman" w:hAnsi="Times New Roman" w:eastAsia="宋体" w:cs="Times New Roman"/>
                      <w:i w:val="0"/>
                      <w:iCs w:val="0"/>
                      <w:color w:val="0000FF"/>
                      <w:kern w:val="0"/>
                      <w:sz w:val="21"/>
                      <w:szCs w:val="21"/>
                      <w:highlight w:val="none"/>
                      <w:u w:val="none"/>
                      <w:lang w:val="en-US" w:eastAsia="zh-CN" w:bidi="ar"/>
                    </w:rPr>
                    <w:t>0.004</w:t>
                  </w:r>
                </w:p>
              </w:tc>
            </w:tr>
          </w:tbl>
          <w:p w14:paraId="1849D085">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p w14:paraId="1EA1973C">
            <w:pPr>
              <w:pStyle w:val="41"/>
              <w:autoSpaceDE/>
              <w:autoSpaceDN/>
              <w:adjustRightInd/>
              <w:spacing w:beforeLines="0" w:afterLines="0" w:line="360" w:lineRule="auto"/>
              <w:ind w:firstLine="420" w:firstLineChars="200"/>
              <w:rPr>
                <w:rFonts w:hint="default" w:ascii="Times New Roman" w:hAnsi="Times New Roman" w:eastAsia="宋体" w:cs="Times New Roman"/>
                <w:color w:val="auto"/>
                <w:sz w:val="21"/>
                <w:szCs w:val="21"/>
                <w:highlight w:val="none"/>
                <w:lang w:val="en-US" w:eastAsia="zh-CN"/>
              </w:rPr>
            </w:pPr>
          </w:p>
        </w:tc>
      </w:tr>
    </w:tbl>
    <w:p w14:paraId="31596DA3">
      <w:pPr>
        <w:pStyle w:val="35"/>
        <w:rPr>
          <w:rFonts w:hint="eastAsia" w:ascii="宋体" w:cs="宋体"/>
          <w:b/>
          <w:color w:val="auto"/>
          <w:kern w:val="0"/>
          <w:sz w:val="28"/>
          <w:szCs w:val="28"/>
          <w:highlight w:val="none"/>
        </w:rPr>
        <w:sectPr>
          <w:pgSz w:w="11907" w:h="16840"/>
          <w:pgMar w:top="1701" w:right="1531" w:bottom="1644"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p w14:paraId="5EF72389">
      <w:pPr>
        <w:widowControl w:val="0"/>
        <w:spacing w:before="0" w:beforeAutospacing="0" w:after="0" w:afterAutospacing="0" w:line="360" w:lineRule="auto"/>
        <w:jc w:val="center"/>
        <w:outlineLvl w:val="0"/>
        <w:rPr>
          <w:rFonts w:ascii="黑体" w:hAnsi="黑体" w:eastAsia="黑体" w:cs="Times New Roman"/>
          <w:snapToGrid w:val="0"/>
          <w:color w:val="auto"/>
          <w:kern w:val="0"/>
          <w:sz w:val="30"/>
          <w:szCs w:val="30"/>
          <w:highlight w:val="none"/>
          <w:lang w:val="en-US" w:eastAsia="zh-CN" w:bidi="ar-SA"/>
        </w:rPr>
      </w:pPr>
      <w:r>
        <w:rPr>
          <w:rFonts w:hint="eastAsia" w:ascii="黑体" w:hAnsi="黑体" w:eastAsia="黑体" w:cs="Times New Roman"/>
          <w:snapToGrid w:val="0"/>
          <w:color w:val="auto"/>
          <w:kern w:val="0"/>
          <w:sz w:val="30"/>
          <w:szCs w:val="30"/>
          <w:highlight w:val="none"/>
          <w:lang w:val="en-US" w:eastAsia="zh-CN" w:bidi="ar-SA"/>
        </w:rPr>
        <w:t>五、</w:t>
      </w:r>
      <w:bookmarkStart w:id="43" w:name="_Hlk54167917"/>
      <w:r>
        <w:rPr>
          <w:rFonts w:hint="eastAsia" w:ascii="黑体" w:hAnsi="黑体" w:eastAsia="黑体" w:cs="Times New Roman"/>
          <w:snapToGrid w:val="0"/>
          <w:color w:val="auto"/>
          <w:kern w:val="0"/>
          <w:sz w:val="30"/>
          <w:szCs w:val="30"/>
          <w:highlight w:val="none"/>
          <w:lang w:val="en-US" w:eastAsia="zh-CN" w:bidi="ar-SA"/>
        </w:rPr>
        <w:t>环境保护措施监督检查清单</w:t>
      </w:r>
      <w:bookmarkEnd w:id="43"/>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39"/>
        <w:gridCol w:w="1415"/>
        <w:gridCol w:w="1288"/>
        <w:gridCol w:w="413"/>
        <w:gridCol w:w="787"/>
        <w:gridCol w:w="957"/>
        <w:gridCol w:w="2401"/>
      </w:tblGrid>
      <w:tr w14:paraId="160CCE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tblHeader/>
          <w:jc w:val="center"/>
        </w:trPr>
        <w:tc>
          <w:tcPr>
            <w:tcW w:w="1539" w:type="dxa"/>
            <w:tcBorders>
              <w:tl2br w:val="single" w:color="auto" w:sz="4" w:space="0"/>
            </w:tcBorders>
            <w:noWrap w:val="0"/>
            <w:vAlign w:val="top"/>
          </w:tcPr>
          <w:p w14:paraId="7787DBF9">
            <w:pPr>
              <w:spacing w:line="240" w:lineRule="auto"/>
              <w:ind w:firstLine="840" w:firstLineChars="400"/>
              <w:rPr>
                <w:color w:val="auto"/>
                <w:sz w:val="21"/>
                <w:szCs w:val="21"/>
                <w:highlight w:val="none"/>
              </w:rPr>
            </w:pPr>
            <w:r>
              <w:rPr>
                <w:color w:val="auto"/>
                <w:sz w:val="21"/>
                <w:szCs w:val="21"/>
                <w:highlight w:val="none"/>
              </w:rPr>
              <w:t>内容</w:t>
            </w:r>
          </w:p>
          <w:p w14:paraId="553EBDCB">
            <w:pPr>
              <w:spacing w:line="240" w:lineRule="auto"/>
              <w:rPr>
                <w:color w:val="auto"/>
                <w:sz w:val="21"/>
                <w:szCs w:val="21"/>
                <w:highlight w:val="none"/>
              </w:rPr>
            </w:pPr>
            <w:r>
              <w:rPr>
                <w:color w:val="auto"/>
                <w:sz w:val="21"/>
                <w:szCs w:val="21"/>
                <w:highlight w:val="none"/>
              </w:rPr>
              <w:t>要素</w:t>
            </w:r>
          </w:p>
        </w:tc>
        <w:tc>
          <w:tcPr>
            <w:tcW w:w="1415" w:type="dxa"/>
            <w:noWrap w:val="0"/>
            <w:vAlign w:val="center"/>
          </w:tcPr>
          <w:p w14:paraId="1E53A2EB">
            <w:pPr>
              <w:spacing w:line="240" w:lineRule="auto"/>
              <w:jc w:val="center"/>
              <w:rPr>
                <w:color w:val="auto"/>
                <w:sz w:val="21"/>
                <w:szCs w:val="21"/>
                <w:highlight w:val="none"/>
              </w:rPr>
            </w:pPr>
            <w:r>
              <w:rPr>
                <w:color w:val="auto"/>
                <w:sz w:val="21"/>
                <w:szCs w:val="21"/>
                <w:highlight w:val="none"/>
              </w:rPr>
              <w:t>排放口</w:t>
            </w:r>
            <w:r>
              <w:rPr>
                <w:rFonts w:hint="eastAsia" w:eastAsia="宋体"/>
                <w:color w:val="auto"/>
                <w:sz w:val="21"/>
                <w:szCs w:val="21"/>
                <w:highlight w:val="none"/>
                <w:lang w:eastAsia="zh-CN"/>
              </w:rPr>
              <w:t>（</w:t>
            </w:r>
            <w:r>
              <w:rPr>
                <w:color w:val="auto"/>
                <w:sz w:val="21"/>
                <w:szCs w:val="21"/>
                <w:highlight w:val="none"/>
              </w:rPr>
              <w:t>编号、名称</w:t>
            </w:r>
            <w:r>
              <w:rPr>
                <w:rFonts w:hint="eastAsia" w:eastAsia="宋体"/>
                <w:color w:val="auto"/>
                <w:sz w:val="21"/>
                <w:szCs w:val="21"/>
                <w:highlight w:val="none"/>
                <w:lang w:eastAsia="zh-CN"/>
              </w:rPr>
              <w:t>）</w:t>
            </w:r>
            <w:r>
              <w:rPr>
                <w:color w:val="auto"/>
                <w:sz w:val="21"/>
                <w:szCs w:val="21"/>
                <w:highlight w:val="none"/>
              </w:rPr>
              <w:t>/污染源</w:t>
            </w:r>
          </w:p>
        </w:tc>
        <w:tc>
          <w:tcPr>
            <w:tcW w:w="1701" w:type="dxa"/>
            <w:gridSpan w:val="2"/>
            <w:noWrap w:val="0"/>
            <w:vAlign w:val="center"/>
          </w:tcPr>
          <w:p w14:paraId="07A47B5B">
            <w:pPr>
              <w:spacing w:line="240" w:lineRule="auto"/>
              <w:jc w:val="center"/>
              <w:rPr>
                <w:color w:val="auto"/>
                <w:sz w:val="21"/>
                <w:szCs w:val="21"/>
                <w:highlight w:val="none"/>
              </w:rPr>
            </w:pPr>
            <w:r>
              <w:rPr>
                <w:color w:val="auto"/>
                <w:sz w:val="21"/>
                <w:szCs w:val="21"/>
                <w:highlight w:val="none"/>
              </w:rPr>
              <w:t>污染物项目</w:t>
            </w:r>
          </w:p>
        </w:tc>
        <w:tc>
          <w:tcPr>
            <w:tcW w:w="1744" w:type="dxa"/>
            <w:gridSpan w:val="2"/>
            <w:noWrap w:val="0"/>
            <w:vAlign w:val="center"/>
          </w:tcPr>
          <w:p w14:paraId="263F1965">
            <w:pPr>
              <w:spacing w:line="240" w:lineRule="auto"/>
              <w:jc w:val="center"/>
              <w:rPr>
                <w:color w:val="auto"/>
                <w:sz w:val="21"/>
                <w:szCs w:val="21"/>
                <w:highlight w:val="none"/>
              </w:rPr>
            </w:pPr>
            <w:r>
              <w:rPr>
                <w:color w:val="auto"/>
                <w:sz w:val="21"/>
                <w:szCs w:val="21"/>
                <w:highlight w:val="none"/>
              </w:rPr>
              <w:t>环境保护措施</w:t>
            </w:r>
          </w:p>
        </w:tc>
        <w:tc>
          <w:tcPr>
            <w:tcW w:w="2401" w:type="dxa"/>
            <w:noWrap w:val="0"/>
            <w:vAlign w:val="center"/>
          </w:tcPr>
          <w:p w14:paraId="097920D1">
            <w:pPr>
              <w:spacing w:line="240" w:lineRule="auto"/>
              <w:jc w:val="center"/>
              <w:rPr>
                <w:color w:val="auto"/>
                <w:sz w:val="21"/>
                <w:szCs w:val="21"/>
                <w:highlight w:val="none"/>
              </w:rPr>
            </w:pPr>
            <w:r>
              <w:rPr>
                <w:color w:val="auto"/>
                <w:sz w:val="21"/>
                <w:szCs w:val="21"/>
                <w:highlight w:val="none"/>
              </w:rPr>
              <w:t>执行标准</w:t>
            </w:r>
          </w:p>
        </w:tc>
      </w:tr>
      <w:tr w14:paraId="223A36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539" w:type="dxa"/>
            <w:vMerge w:val="restart"/>
            <w:noWrap w:val="0"/>
            <w:vAlign w:val="center"/>
          </w:tcPr>
          <w:p w14:paraId="36B4E63C">
            <w:pPr>
              <w:spacing w:line="240" w:lineRule="auto"/>
              <w:jc w:val="center"/>
              <w:rPr>
                <w:color w:val="auto"/>
                <w:sz w:val="21"/>
                <w:szCs w:val="21"/>
                <w:highlight w:val="none"/>
              </w:rPr>
            </w:pPr>
            <w:r>
              <w:rPr>
                <w:color w:val="auto"/>
                <w:sz w:val="21"/>
                <w:szCs w:val="21"/>
                <w:highlight w:val="none"/>
              </w:rPr>
              <w:t>大气环境</w:t>
            </w:r>
          </w:p>
        </w:tc>
        <w:tc>
          <w:tcPr>
            <w:tcW w:w="1415" w:type="dxa"/>
            <w:vMerge w:val="restart"/>
            <w:noWrap w:val="0"/>
            <w:vAlign w:val="center"/>
          </w:tcPr>
          <w:p w14:paraId="0988A03E">
            <w:pPr>
              <w:widowControl w:val="0"/>
              <w:spacing w:after="0" w:line="240" w:lineRule="auto"/>
              <w:ind w:left="0" w:lef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甘氨酸螯合物一车间</w:t>
            </w:r>
            <w:r>
              <w:rPr>
                <w:rFonts w:ascii="Times New Roman" w:hAnsi="Times New Roman" w:eastAsia="宋体" w:cs="Times New Roman"/>
                <w:color w:val="auto"/>
                <w:kern w:val="0"/>
                <w:sz w:val="21"/>
                <w:szCs w:val="21"/>
                <w:highlight w:val="none"/>
                <w:lang w:val="en-US" w:eastAsia="zh-CN" w:bidi="ar-SA"/>
              </w:rPr>
              <w:t>排气筒DA0</w:t>
            </w:r>
            <w:r>
              <w:rPr>
                <w:rFonts w:hint="eastAsia" w:cs="Times New Roman"/>
                <w:color w:val="auto"/>
                <w:kern w:val="0"/>
                <w:sz w:val="21"/>
                <w:szCs w:val="21"/>
                <w:highlight w:val="none"/>
                <w:lang w:val="en-US" w:eastAsia="zh-CN" w:bidi="ar-SA"/>
              </w:rPr>
              <w:t>28</w:t>
            </w:r>
          </w:p>
        </w:tc>
        <w:tc>
          <w:tcPr>
            <w:tcW w:w="1288" w:type="dxa"/>
            <w:noWrap w:val="0"/>
            <w:vAlign w:val="center"/>
          </w:tcPr>
          <w:p w14:paraId="5C89A1B9">
            <w:pPr>
              <w:widowControl w:val="0"/>
              <w:spacing w:after="0" w:line="240" w:lineRule="auto"/>
              <w:ind w:left="0" w:lef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投料、粉碎、包装工序</w:t>
            </w:r>
          </w:p>
        </w:tc>
        <w:tc>
          <w:tcPr>
            <w:tcW w:w="413" w:type="dxa"/>
            <w:vMerge w:val="restart"/>
            <w:noWrap w:val="0"/>
            <w:vAlign w:val="center"/>
          </w:tcPr>
          <w:p w14:paraId="0B88A8CA">
            <w:pPr>
              <w:widowControl w:val="0"/>
              <w:spacing w:after="0" w:line="240" w:lineRule="auto"/>
              <w:ind w:left="0" w:lef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颗粒物</w:t>
            </w:r>
          </w:p>
        </w:tc>
        <w:tc>
          <w:tcPr>
            <w:tcW w:w="787" w:type="dxa"/>
            <w:noWrap w:val="0"/>
            <w:vAlign w:val="center"/>
          </w:tcPr>
          <w:p w14:paraId="1F21EFEC">
            <w:pPr>
              <w:spacing w:line="240" w:lineRule="auto"/>
              <w:jc w:val="center"/>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val="en-US" w:eastAsia="zh-CN"/>
              </w:rPr>
              <w:t>集气罩+软帘</w:t>
            </w:r>
            <w:r>
              <w:rPr>
                <w:rFonts w:hint="default" w:ascii="Times New Roman" w:hAnsi="Times New Roman" w:cs="Times New Roman"/>
                <w:color w:val="auto"/>
                <w:sz w:val="21"/>
                <w:szCs w:val="21"/>
                <w:highlight w:val="none"/>
                <w:lang w:val="en-US" w:eastAsia="zh-CN"/>
              </w:rPr>
              <w:t>收集+布袋除尘器</w:t>
            </w:r>
          </w:p>
        </w:tc>
        <w:tc>
          <w:tcPr>
            <w:tcW w:w="957" w:type="dxa"/>
            <w:vMerge w:val="restart"/>
            <w:noWrap w:val="0"/>
            <w:vAlign w:val="center"/>
          </w:tcPr>
          <w:p w14:paraId="57CC12F4">
            <w:pPr>
              <w:spacing w:line="240" w:lineRule="auto"/>
              <w:jc w:val="center"/>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rPr>
              <w:t>1根</w:t>
            </w:r>
            <w:r>
              <w:rPr>
                <w:rFonts w:hint="default" w:ascii="Times New Roman" w:hAnsi="Times New Roman" w:cs="Times New Roman"/>
                <w:color w:val="auto"/>
                <w:sz w:val="21"/>
                <w:szCs w:val="21"/>
                <w:highlight w:val="none"/>
                <w:lang w:val="en-US" w:eastAsia="zh-CN"/>
              </w:rPr>
              <w:t>25</w:t>
            </w:r>
            <w:r>
              <w:rPr>
                <w:rFonts w:hint="default" w:ascii="Times New Roman" w:hAnsi="Times New Roman" w:cs="Times New Roman"/>
                <w:color w:val="auto"/>
                <w:sz w:val="21"/>
                <w:szCs w:val="21"/>
                <w:highlight w:val="none"/>
                <w:lang w:val="en-US"/>
              </w:rPr>
              <w:t>m</w:t>
            </w:r>
            <w:r>
              <w:rPr>
                <w:rFonts w:hint="default" w:ascii="Times New Roman" w:hAnsi="Times New Roman" w:cs="Times New Roman"/>
                <w:color w:val="auto"/>
                <w:sz w:val="21"/>
                <w:szCs w:val="21"/>
                <w:highlight w:val="none"/>
              </w:rPr>
              <w:t>高排气筒</w:t>
            </w:r>
          </w:p>
        </w:tc>
        <w:tc>
          <w:tcPr>
            <w:tcW w:w="2401" w:type="dxa"/>
            <w:vMerge w:val="restart"/>
            <w:noWrap w:val="0"/>
            <w:vAlign w:val="center"/>
          </w:tcPr>
          <w:p w14:paraId="34724BEA">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《大气污染物综合排放标准》（GB16297-1996）表</w:t>
            </w:r>
            <w:r>
              <w:rPr>
                <w:rFonts w:hint="eastAsia" w:ascii="Times New Roman" w:hAnsi="Times New Roman" w:eastAsia="宋体" w:cs="Times New Roman"/>
                <w:color w:val="auto"/>
                <w:kern w:val="0"/>
                <w:sz w:val="21"/>
                <w:szCs w:val="21"/>
                <w:highlight w:val="none"/>
                <w:lang w:val="en-US" w:eastAsia="zh-CN" w:bidi="ar-SA"/>
              </w:rPr>
              <w:t>1</w:t>
            </w:r>
            <w:r>
              <w:rPr>
                <w:rFonts w:ascii="Times New Roman" w:hAnsi="Times New Roman" w:eastAsia="宋体" w:cs="Times New Roman"/>
                <w:color w:val="auto"/>
                <w:kern w:val="0"/>
                <w:sz w:val="21"/>
                <w:szCs w:val="21"/>
                <w:highlight w:val="none"/>
                <w:lang w:val="en-US" w:eastAsia="zh-CN" w:bidi="ar-SA"/>
              </w:rPr>
              <w:t>浓度限值</w:t>
            </w:r>
          </w:p>
        </w:tc>
      </w:tr>
      <w:tr w14:paraId="019FE3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1539" w:type="dxa"/>
            <w:vMerge w:val="continue"/>
            <w:noWrap w:val="0"/>
            <w:vAlign w:val="center"/>
          </w:tcPr>
          <w:p w14:paraId="5D040E7D">
            <w:pPr>
              <w:widowControl w:val="0"/>
              <w:spacing w:after="0" w:line="240" w:lineRule="auto"/>
              <w:ind w:left="0" w:leftChars="0" w:firstLine="0" w:firstLineChars="0"/>
              <w:jc w:val="center"/>
              <w:rPr>
                <w:color w:val="auto"/>
                <w:highlight w:val="none"/>
              </w:rPr>
            </w:pPr>
          </w:p>
        </w:tc>
        <w:tc>
          <w:tcPr>
            <w:tcW w:w="1415" w:type="dxa"/>
            <w:vMerge w:val="continue"/>
            <w:noWrap w:val="0"/>
            <w:vAlign w:val="center"/>
          </w:tcPr>
          <w:p w14:paraId="070F906E">
            <w:pPr>
              <w:widowControl w:val="0"/>
              <w:spacing w:after="0" w:line="240" w:lineRule="auto"/>
              <w:ind w:left="0" w:leftChars="0" w:firstLine="0" w:firstLineChars="0"/>
              <w:jc w:val="center"/>
              <w:rPr>
                <w:color w:val="auto"/>
                <w:highlight w:val="none"/>
              </w:rPr>
            </w:pPr>
          </w:p>
        </w:tc>
        <w:tc>
          <w:tcPr>
            <w:tcW w:w="1288" w:type="dxa"/>
            <w:noWrap w:val="0"/>
            <w:vAlign w:val="center"/>
          </w:tcPr>
          <w:p w14:paraId="2D14BA5E">
            <w:pPr>
              <w:widowControl w:val="0"/>
              <w:spacing w:after="0" w:line="240" w:lineRule="auto"/>
              <w:ind w:left="0" w:leftChars="0" w:firstLine="0" w:firstLineChars="0"/>
              <w:jc w:val="center"/>
              <w:rPr>
                <w:rFonts w:hint="default"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喷雾干燥工序</w:t>
            </w:r>
          </w:p>
        </w:tc>
        <w:tc>
          <w:tcPr>
            <w:tcW w:w="413" w:type="dxa"/>
            <w:vMerge w:val="continue"/>
            <w:noWrap w:val="0"/>
            <w:vAlign w:val="center"/>
          </w:tcPr>
          <w:p w14:paraId="221A75E6">
            <w:pPr>
              <w:widowControl w:val="0"/>
              <w:spacing w:after="0" w:line="240" w:lineRule="auto"/>
              <w:ind w:left="0" w:leftChars="0" w:firstLine="0" w:firstLineChars="0"/>
              <w:jc w:val="center"/>
              <w:rPr>
                <w:color w:val="auto"/>
                <w:highlight w:val="none"/>
              </w:rPr>
            </w:pPr>
          </w:p>
        </w:tc>
        <w:tc>
          <w:tcPr>
            <w:tcW w:w="787" w:type="dxa"/>
            <w:noWrap w:val="0"/>
            <w:vAlign w:val="center"/>
          </w:tcPr>
          <w:p w14:paraId="6F505A29">
            <w:pPr>
              <w:widowControl w:val="0"/>
              <w:spacing w:after="0" w:line="240" w:lineRule="auto"/>
              <w:ind w:left="0" w:leftChars="0" w:firstLine="0" w:firstLineChars="0"/>
              <w:jc w:val="center"/>
              <w:rPr>
                <w:rFonts w:hint="default" w:eastAsia="宋体"/>
                <w:color w:val="auto"/>
                <w:highlight w:val="none"/>
                <w:lang w:val="en-US" w:eastAsia="zh-CN"/>
              </w:rPr>
            </w:pPr>
            <w:r>
              <w:rPr>
                <w:rFonts w:hint="eastAsia" w:cs="Times New Roman"/>
                <w:color w:val="auto"/>
                <w:kern w:val="0"/>
                <w:sz w:val="21"/>
                <w:szCs w:val="21"/>
                <w:highlight w:val="none"/>
                <w:lang w:val="en-US" w:eastAsia="zh-CN" w:bidi="ar-SA"/>
              </w:rPr>
              <w:t>密闭管道收集+水洗塔+酸洗塔</w:t>
            </w:r>
          </w:p>
        </w:tc>
        <w:tc>
          <w:tcPr>
            <w:tcW w:w="957" w:type="dxa"/>
            <w:vMerge w:val="continue"/>
            <w:noWrap w:val="0"/>
            <w:vAlign w:val="center"/>
          </w:tcPr>
          <w:p w14:paraId="67F03EB8">
            <w:pPr>
              <w:widowControl w:val="0"/>
              <w:spacing w:after="0" w:line="240" w:lineRule="auto"/>
              <w:ind w:left="0" w:leftChars="0" w:firstLine="0" w:firstLineChars="0"/>
              <w:jc w:val="center"/>
              <w:rPr>
                <w:color w:val="auto"/>
                <w:highlight w:val="none"/>
              </w:rPr>
            </w:pPr>
          </w:p>
        </w:tc>
        <w:tc>
          <w:tcPr>
            <w:tcW w:w="2401" w:type="dxa"/>
            <w:vMerge w:val="continue"/>
            <w:noWrap w:val="0"/>
            <w:vAlign w:val="center"/>
          </w:tcPr>
          <w:p w14:paraId="52A68A86">
            <w:pPr>
              <w:widowControl w:val="0"/>
              <w:spacing w:after="0" w:line="240" w:lineRule="auto"/>
              <w:ind w:left="0" w:leftChars="0" w:firstLine="0" w:firstLineChars="0"/>
              <w:jc w:val="center"/>
              <w:rPr>
                <w:color w:val="auto"/>
                <w:highlight w:val="none"/>
              </w:rPr>
            </w:pPr>
          </w:p>
        </w:tc>
      </w:tr>
      <w:tr w14:paraId="5140F6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30" w:hRule="atLeast"/>
          <w:jc w:val="center"/>
        </w:trPr>
        <w:tc>
          <w:tcPr>
            <w:tcW w:w="1539" w:type="dxa"/>
            <w:vMerge w:val="continue"/>
            <w:noWrap w:val="0"/>
            <w:vAlign w:val="center"/>
          </w:tcPr>
          <w:p w14:paraId="20CB717C">
            <w:pPr>
              <w:spacing w:line="240" w:lineRule="auto"/>
              <w:jc w:val="center"/>
              <w:rPr>
                <w:color w:val="auto"/>
                <w:sz w:val="21"/>
                <w:szCs w:val="21"/>
                <w:highlight w:val="none"/>
              </w:rPr>
            </w:pPr>
          </w:p>
        </w:tc>
        <w:tc>
          <w:tcPr>
            <w:tcW w:w="1415" w:type="dxa"/>
            <w:vMerge w:val="restart"/>
            <w:noWrap w:val="0"/>
            <w:vAlign w:val="center"/>
          </w:tcPr>
          <w:p w14:paraId="313A6798">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污水处理站排气筒DA0</w:t>
            </w:r>
            <w:r>
              <w:rPr>
                <w:rFonts w:hint="eastAsia" w:cs="Times New Roman"/>
                <w:color w:val="auto"/>
                <w:kern w:val="0"/>
                <w:sz w:val="21"/>
                <w:szCs w:val="21"/>
                <w:highlight w:val="none"/>
                <w:lang w:val="en-US" w:eastAsia="zh-CN" w:bidi="ar-SA"/>
              </w:rPr>
              <w:t>10</w:t>
            </w:r>
          </w:p>
        </w:tc>
        <w:tc>
          <w:tcPr>
            <w:tcW w:w="1701" w:type="dxa"/>
            <w:gridSpan w:val="2"/>
            <w:noWrap w:val="0"/>
            <w:vAlign w:val="center"/>
          </w:tcPr>
          <w:p w14:paraId="7EDFE8C0">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氨</w:t>
            </w:r>
          </w:p>
        </w:tc>
        <w:tc>
          <w:tcPr>
            <w:tcW w:w="1744" w:type="dxa"/>
            <w:gridSpan w:val="2"/>
            <w:vMerge w:val="restart"/>
            <w:noWrap w:val="0"/>
            <w:vAlign w:val="center"/>
          </w:tcPr>
          <w:p w14:paraId="73D525CC">
            <w:pPr>
              <w:spacing w:line="240" w:lineRule="auto"/>
              <w:jc w:val="center"/>
              <w:rPr>
                <w:color w:val="auto"/>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经水吸收+恒温多级生物滤池装置+1根15m排气筒</w:t>
            </w:r>
          </w:p>
        </w:tc>
        <w:tc>
          <w:tcPr>
            <w:tcW w:w="2401" w:type="dxa"/>
            <w:vMerge w:val="restart"/>
            <w:noWrap w:val="0"/>
            <w:vAlign w:val="center"/>
          </w:tcPr>
          <w:p w14:paraId="2C31FEFC">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《恶臭污染物排放标准》（GB 14554-93）表2排放标准</w:t>
            </w:r>
          </w:p>
        </w:tc>
      </w:tr>
      <w:tr w14:paraId="1CBA29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vMerge w:val="continue"/>
            <w:noWrap w:val="0"/>
            <w:vAlign w:val="center"/>
          </w:tcPr>
          <w:p w14:paraId="785FE9E1">
            <w:pPr>
              <w:spacing w:line="240" w:lineRule="auto"/>
              <w:jc w:val="center"/>
              <w:rPr>
                <w:color w:val="auto"/>
                <w:sz w:val="21"/>
                <w:szCs w:val="21"/>
                <w:highlight w:val="none"/>
              </w:rPr>
            </w:pPr>
          </w:p>
        </w:tc>
        <w:tc>
          <w:tcPr>
            <w:tcW w:w="1415" w:type="dxa"/>
            <w:vMerge w:val="continue"/>
            <w:noWrap w:val="0"/>
            <w:vAlign w:val="center"/>
          </w:tcPr>
          <w:p w14:paraId="48CD9FDA">
            <w:pPr>
              <w:spacing w:line="240" w:lineRule="auto"/>
              <w:jc w:val="center"/>
              <w:rPr>
                <w:color w:val="auto"/>
                <w:sz w:val="21"/>
                <w:szCs w:val="21"/>
                <w:highlight w:val="none"/>
              </w:rPr>
            </w:pPr>
          </w:p>
        </w:tc>
        <w:tc>
          <w:tcPr>
            <w:tcW w:w="1701" w:type="dxa"/>
            <w:gridSpan w:val="2"/>
            <w:noWrap w:val="0"/>
            <w:vAlign w:val="center"/>
          </w:tcPr>
          <w:p w14:paraId="1A773B69">
            <w:pPr>
              <w:widowControl w:val="0"/>
              <w:spacing w:after="0" w:line="240" w:lineRule="auto"/>
              <w:ind w:left="0" w:lef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硫化氢</w:t>
            </w:r>
          </w:p>
        </w:tc>
        <w:tc>
          <w:tcPr>
            <w:tcW w:w="1744" w:type="dxa"/>
            <w:gridSpan w:val="2"/>
            <w:vMerge w:val="continue"/>
            <w:noWrap w:val="0"/>
            <w:vAlign w:val="center"/>
          </w:tcPr>
          <w:p w14:paraId="49E97FAD">
            <w:pPr>
              <w:spacing w:line="240" w:lineRule="auto"/>
              <w:jc w:val="center"/>
              <w:rPr>
                <w:color w:val="auto"/>
                <w:sz w:val="21"/>
                <w:szCs w:val="21"/>
                <w:highlight w:val="none"/>
              </w:rPr>
            </w:pPr>
          </w:p>
        </w:tc>
        <w:tc>
          <w:tcPr>
            <w:tcW w:w="2401" w:type="dxa"/>
            <w:vMerge w:val="continue"/>
            <w:noWrap w:val="0"/>
            <w:vAlign w:val="center"/>
          </w:tcPr>
          <w:p w14:paraId="070A3812">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p>
        </w:tc>
      </w:tr>
      <w:tr w14:paraId="538927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vMerge w:val="continue"/>
            <w:noWrap w:val="0"/>
            <w:vAlign w:val="center"/>
          </w:tcPr>
          <w:p w14:paraId="4D8D39B0">
            <w:pPr>
              <w:spacing w:line="240" w:lineRule="auto"/>
              <w:jc w:val="center"/>
              <w:rPr>
                <w:color w:val="auto"/>
                <w:sz w:val="21"/>
                <w:szCs w:val="21"/>
                <w:highlight w:val="none"/>
              </w:rPr>
            </w:pPr>
          </w:p>
        </w:tc>
        <w:tc>
          <w:tcPr>
            <w:tcW w:w="1415" w:type="dxa"/>
            <w:vMerge w:val="continue"/>
            <w:noWrap w:val="0"/>
            <w:vAlign w:val="center"/>
          </w:tcPr>
          <w:p w14:paraId="07DF2C14">
            <w:pPr>
              <w:spacing w:line="240" w:lineRule="auto"/>
              <w:jc w:val="center"/>
              <w:rPr>
                <w:color w:val="auto"/>
                <w:sz w:val="21"/>
                <w:szCs w:val="21"/>
                <w:highlight w:val="none"/>
              </w:rPr>
            </w:pPr>
          </w:p>
        </w:tc>
        <w:tc>
          <w:tcPr>
            <w:tcW w:w="1701" w:type="dxa"/>
            <w:gridSpan w:val="2"/>
            <w:noWrap w:val="0"/>
            <w:vAlign w:val="center"/>
          </w:tcPr>
          <w:p w14:paraId="692D7429">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臭气浓度</w:t>
            </w:r>
          </w:p>
        </w:tc>
        <w:tc>
          <w:tcPr>
            <w:tcW w:w="1744" w:type="dxa"/>
            <w:gridSpan w:val="2"/>
            <w:vMerge w:val="continue"/>
            <w:noWrap w:val="0"/>
            <w:vAlign w:val="center"/>
          </w:tcPr>
          <w:p w14:paraId="53A7243E">
            <w:pPr>
              <w:spacing w:line="240" w:lineRule="auto"/>
              <w:jc w:val="center"/>
              <w:rPr>
                <w:color w:val="auto"/>
                <w:sz w:val="21"/>
                <w:szCs w:val="21"/>
                <w:highlight w:val="none"/>
              </w:rPr>
            </w:pPr>
          </w:p>
        </w:tc>
        <w:tc>
          <w:tcPr>
            <w:tcW w:w="2401" w:type="dxa"/>
            <w:vMerge w:val="continue"/>
            <w:noWrap w:val="0"/>
            <w:vAlign w:val="center"/>
          </w:tcPr>
          <w:p w14:paraId="33F11A71">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p>
        </w:tc>
      </w:tr>
      <w:tr w14:paraId="73A215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vMerge w:val="continue"/>
            <w:noWrap w:val="0"/>
            <w:vAlign w:val="center"/>
          </w:tcPr>
          <w:p w14:paraId="54FE2930">
            <w:pPr>
              <w:spacing w:line="240" w:lineRule="auto"/>
              <w:jc w:val="center"/>
              <w:rPr>
                <w:color w:val="auto"/>
                <w:sz w:val="21"/>
                <w:szCs w:val="21"/>
                <w:highlight w:val="none"/>
              </w:rPr>
            </w:pPr>
          </w:p>
        </w:tc>
        <w:tc>
          <w:tcPr>
            <w:tcW w:w="1415" w:type="dxa"/>
            <w:vMerge w:val="restart"/>
            <w:noWrap w:val="0"/>
            <w:vAlign w:val="center"/>
          </w:tcPr>
          <w:p w14:paraId="55B6820E">
            <w:pPr>
              <w:widowControl w:val="0"/>
              <w:spacing w:after="120" w:line="360" w:lineRule="auto"/>
              <w:ind w:left="480" w:leftChars="200" w:firstLine="0" w:firstLineChars="0"/>
              <w:jc w:val="both"/>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厂界</w:t>
            </w:r>
          </w:p>
        </w:tc>
        <w:tc>
          <w:tcPr>
            <w:tcW w:w="1701" w:type="dxa"/>
            <w:gridSpan w:val="2"/>
            <w:noWrap w:val="0"/>
            <w:vAlign w:val="center"/>
          </w:tcPr>
          <w:p w14:paraId="6740BBB9">
            <w:pPr>
              <w:spacing w:line="240" w:lineRule="auto"/>
              <w:jc w:val="center"/>
              <w:rPr>
                <w:color w:val="auto"/>
                <w:spacing w:val="-6"/>
                <w:kern w:val="0"/>
                <w:sz w:val="21"/>
                <w:szCs w:val="21"/>
                <w:highlight w:val="none"/>
              </w:rPr>
            </w:pPr>
            <w:r>
              <w:rPr>
                <w:color w:val="auto"/>
                <w:spacing w:val="-6"/>
                <w:kern w:val="0"/>
                <w:sz w:val="21"/>
                <w:szCs w:val="21"/>
                <w:highlight w:val="none"/>
              </w:rPr>
              <w:t>颗粒物</w:t>
            </w:r>
          </w:p>
        </w:tc>
        <w:tc>
          <w:tcPr>
            <w:tcW w:w="1744" w:type="dxa"/>
            <w:gridSpan w:val="2"/>
            <w:vMerge w:val="restart"/>
            <w:noWrap w:val="0"/>
            <w:vAlign w:val="center"/>
          </w:tcPr>
          <w:p w14:paraId="42D9867D">
            <w:pPr>
              <w:spacing w:line="240" w:lineRule="auto"/>
              <w:jc w:val="center"/>
              <w:rPr>
                <w:color w:val="auto"/>
                <w:sz w:val="21"/>
                <w:szCs w:val="21"/>
                <w:highlight w:val="none"/>
              </w:rPr>
            </w:pPr>
            <w:r>
              <w:rPr>
                <w:color w:val="auto"/>
                <w:sz w:val="21"/>
                <w:szCs w:val="21"/>
                <w:highlight w:val="none"/>
              </w:rPr>
              <w:t>车间密闭，加强管理</w:t>
            </w:r>
          </w:p>
        </w:tc>
        <w:tc>
          <w:tcPr>
            <w:tcW w:w="2401" w:type="dxa"/>
            <w:noWrap w:val="0"/>
            <w:vAlign w:val="center"/>
          </w:tcPr>
          <w:p w14:paraId="5F440FA8">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《大气污染物综合排放标准》（GB16297-1996）表2无组织排放监控浓度限值</w:t>
            </w:r>
          </w:p>
        </w:tc>
      </w:tr>
      <w:tr w14:paraId="09B6BE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vMerge w:val="continue"/>
            <w:noWrap w:val="0"/>
            <w:vAlign w:val="center"/>
          </w:tcPr>
          <w:p w14:paraId="169DD648">
            <w:pPr>
              <w:spacing w:line="240" w:lineRule="auto"/>
              <w:jc w:val="center"/>
              <w:rPr>
                <w:color w:val="auto"/>
                <w:sz w:val="21"/>
                <w:szCs w:val="21"/>
                <w:highlight w:val="none"/>
              </w:rPr>
            </w:pPr>
          </w:p>
        </w:tc>
        <w:tc>
          <w:tcPr>
            <w:tcW w:w="1415" w:type="dxa"/>
            <w:vMerge w:val="continue"/>
            <w:noWrap w:val="0"/>
            <w:vAlign w:val="center"/>
          </w:tcPr>
          <w:p w14:paraId="4E78C810">
            <w:pPr>
              <w:spacing w:line="240" w:lineRule="auto"/>
              <w:jc w:val="center"/>
              <w:rPr>
                <w:color w:val="auto"/>
                <w:sz w:val="21"/>
                <w:szCs w:val="21"/>
                <w:highlight w:val="none"/>
              </w:rPr>
            </w:pPr>
          </w:p>
        </w:tc>
        <w:tc>
          <w:tcPr>
            <w:tcW w:w="1701" w:type="dxa"/>
            <w:gridSpan w:val="2"/>
            <w:noWrap w:val="0"/>
            <w:vAlign w:val="center"/>
          </w:tcPr>
          <w:p w14:paraId="09BC1235">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氨</w:t>
            </w:r>
          </w:p>
        </w:tc>
        <w:tc>
          <w:tcPr>
            <w:tcW w:w="1744" w:type="dxa"/>
            <w:gridSpan w:val="2"/>
            <w:vMerge w:val="continue"/>
            <w:noWrap w:val="0"/>
            <w:vAlign w:val="center"/>
          </w:tcPr>
          <w:p w14:paraId="2585B2CC">
            <w:pPr>
              <w:spacing w:line="240" w:lineRule="auto"/>
              <w:jc w:val="center"/>
              <w:rPr>
                <w:color w:val="auto"/>
                <w:sz w:val="21"/>
                <w:szCs w:val="21"/>
                <w:highlight w:val="none"/>
              </w:rPr>
            </w:pPr>
          </w:p>
        </w:tc>
        <w:tc>
          <w:tcPr>
            <w:tcW w:w="2401" w:type="dxa"/>
            <w:vMerge w:val="restart"/>
            <w:noWrap w:val="0"/>
            <w:vAlign w:val="center"/>
          </w:tcPr>
          <w:p w14:paraId="527D970F">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《恶臭污染物排放标准》（GB 14554-93）表1中二级新扩改建标准值</w:t>
            </w:r>
          </w:p>
        </w:tc>
      </w:tr>
      <w:tr w14:paraId="42A3CC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vMerge w:val="continue"/>
            <w:noWrap w:val="0"/>
            <w:vAlign w:val="center"/>
          </w:tcPr>
          <w:p w14:paraId="6C0B0584">
            <w:pPr>
              <w:spacing w:line="240" w:lineRule="auto"/>
              <w:jc w:val="center"/>
              <w:rPr>
                <w:color w:val="auto"/>
                <w:sz w:val="21"/>
                <w:szCs w:val="21"/>
                <w:highlight w:val="none"/>
              </w:rPr>
            </w:pPr>
          </w:p>
        </w:tc>
        <w:tc>
          <w:tcPr>
            <w:tcW w:w="1415" w:type="dxa"/>
            <w:vMerge w:val="continue"/>
            <w:noWrap w:val="0"/>
            <w:vAlign w:val="center"/>
          </w:tcPr>
          <w:p w14:paraId="2BC513AC">
            <w:pPr>
              <w:spacing w:line="240" w:lineRule="auto"/>
              <w:jc w:val="center"/>
              <w:rPr>
                <w:color w:val="auto"/>
                <w:sz w:val="21"/>
                <w:szCs w:val="21"/>
                <w:highlight w:val="none"/>
              </w:rPr>
            </w:pPr>
          </w:p>
        </w:tc>
        <w:tc>
          <w:tcPr>
            <w:tcW w:w="1701" w:type="dxa"/>
            <w:gridSpan w:val="2"/>
            <w:noWrap w:val="0"/>
            <w:vAlign w:val="center"/>
          </w:tcPr>
          <w:p w14:paraId="1480186E">
            <w:pPr>
              <w:widowControl w:val="0"/>
              <w:spacing w:after="0" w:line="240" w:lineRule="auto"/>
              <w:ind w:left="0" w:leftChars="0"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kern w:val="0"/>
                <w:sz w:val="21"/>
                <w:szCs w:val="21"/>
                <w:highlight w:val="none"/>
                <w:lang w:val="en-US" w:eastAsia="zh-CN" w:bidi="ar-SA"/>
              </w:rPr>
              <w:t>硫化氢</w:t>
            </w:r>
          </w:p>
        </w:tc>
        <w:tc>
          <w:tcPr>
            <w:tcW w:w="1744" w:type="dxa"/>
            <w:gridSpan w:val="2"/>
            <w:vMerge w:val="continue"/>
            <w:noWrap w:val="0"/>
            <w:vAlign w:val="center"/>
          </w:tcPr>
          <w:p w14:paraId="597790E9">
            <w:pPr>
              <w:spacing w:line="240" w:lineRule="auto"/>
              <w:jc w:val="center"/>
              <w:rPr>
                <w:color w:val="auto"/>
                <w:sz w:val="21"/>
                <w:szCs w:val="21"/>
                <w:highlight w:val="none"/>
              </w:rPr>
            </w:pPr>
          </w:p>
        </w:tc>
        <w:tc>
          <w:tcPr>
            <w:tcW w:w="2401" w:type="dxa"/>
            <w:vMerge w:val="continue"/>
            <w:noWrap w:val="0"/>
            <w:vAlign w:val="center"/>
          </w:tcPr>
          <w:p w14:paraId="36F5B834">
            <w:pPr>
              <w:spacing w:line="240" w:lineRule="auto"/>
              <w:jc w:val="center"/>
              <w:rPr>
                <w:color w:val="auto"/>
                <w:sz w:val="21"/>
                <w:szCs w:val="21"/>
                <w:highlight w:val="none"/>
              </w:rPr>
            </w:pPr>
          </w:p>
        </w:tc>
      </w:tr>
      <w:tr w14:paraId="05955F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vMerge w:val="continue"/>
            <w:noWrap w:val="0"/>
            <w:vAlign w:val="center"/>
          </w:tcPr>
          <w:p w14:paraId="096D6F72">
            <w:pPr>
              <w:spacing w:line="240" w:lineRule="auto"/>
              <w:jc w:val="center"/>
              <w:rPr>
                <w:color w:val="auto"/>
                <w:sz w:val="21"/>
                <w:szCs w:val="21"/>
                <w:highlight w:val="none"/>
              </w:rPr>
            </w:pPr>
          </w:p>
        </w:tc>
        <w:tc>
          <w:tcPr>
            <w:tcW w:w="1415" w:type="dxa"/>
            <w:vMerge w:val="continue"/>
            <w:noWrap w:val="0"/>
            <w:vAlign w:val="center"/>
          </w:tcPr>
          <w:p w14:paraId="4A97E8E0">
            <w:pPr>
              <w:spacing w:line="240" w:lineRule="auto"/>
              <w:jc w:val="center"/>
              <w:rPr>
                <w:color w:val="auto"/>
                <w:sz w:val="21"/>
                <w:szCs w:val="21"/>
                <w:highlight w:val="none"/>
              </w:rPr>
            </w:pPr>
          </w:p>
        </w:tc>
        <w:tc>
          <w:tcPr>
            <w:tcW w:w="1701" w:type="dxa"/>
            <w:gridSpan w:val="2"/>
            <w:noWrap w:val="0"/>
            <w:vAlign w:val="center"/>
          </w:tcPr>
          <w:p w14:paraId="183952C0">
            <w:pPr>
              <w:widowControl w:val="0"/>
              <w:spacing w:after="0" w:line="240" w:lineRule="auto"/>
              <w:ind w:left="0" w:leftChars="0" w:firstLine="0" w:firstLineChars="0"/>
              <w:jc w:val="center"/>
              <w:rPr>
                <w:rFonts w:ascii="Times New Roman" w:hAnsi="Times New Roman" w:eastAsia="宋体" w:cs="Times New Roman"/>
                <w:color w:val="auto"/>
                <w:kern w:val="0"/>
                <w:sz w:val="21"/>
                <w:szCs w:val="21"/>
                <w:highlight w:val="none"/>
                <w:lang w:val="en-US" w:eastAsia="zh-CN" w:bidi="ar-SA"/>
              </w:rPr>
            </w:pPr>
            <w:r>
              <w:rPr>
                <w:rFonts w:ascii="Times New Roman" w:hAnsi="Times New Roman" w:eastAsia="宋体" w:cs="Times New Roman"/>
                <w:color w:val="auto"/>
                <w:kern w:val="0"/>
                <w:sz w:val="21"/>
                <w:szCs w:val="21"/>
                <w:highlight w:val="none"/>
                <w:lang w:val="en-US" w:eastAsia="zh-CN" w:bidi="ar-SA"/>
              </w:rPr>
              <w:t>臭气浓度</w:t>
            </w:r>
          </w:p>
        </w:tc>
        <w:tc>
          <w:tcPr>
            <w:tcW w:w="1744" w:type="dxa"/>
            <w:gridSpan w:val="2"/>
            <w:vMerge w:val="continue"/>
            <w:noWrap w:val="0"/>
            <w:vAlign w:val="center"/>
          </w:tcPr>
          <w:p w14:paraId="19E5F27E">
            <w:pPr>
              <w:spacing w:line="240" w:lineRule="auto"/>
              <w:jc w:val="center"/>
              <w:rPr>
                <w:color w:val="auto"/>
                <w:sz w:val="21"/>
                <w:szCs w:val="21"/>
                <w:highlight w:val="none"/>
              </w:rPr>
            </w:pPr>
          </w:p>
        </w:tc>
        <w:tc>
          <w:tcPr>
            <w:tcW w:w="2401" w:type="dxa"/>
            <w:vMerge w:val="continue"/>
            <w:noWrap w:val="0"/>
            <w:vAlign w:val="center"/>
          </w:tcPr>
          <w:p w14:paraId="61311409">
            <w:pPr>
              <w:spacing w:line="240" w:lineRule="auto"/>
              <w:jc w:val="center"/>
              <w:rPr>
                <w:color w:val="auto"/>
                <w:sz w:val="21"/>
                <w:szCs w:val="21"/>
                <w:highlight w:val="none"/>
              </w:rPr>
            </w:pPr>
          </w:p>
        </w:tc>
      </w:tr>
      <w:tr w14:paraId="2A447D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noWrap w:val="0"/>
            <w:vAlign w:val="center"/>
          </w:tcPr>
          <w:p w14:paraId="087DABDE">
            <w:pPr>
              <w:spacing w:line="240" w:lineRule="auto"/>
              <w:jc w:val="center"/>
              <w:rPr>
                <w:color w:val="auto"/>
                <w:sz w:val="21"/>
                <w:szCs w:val="21"/>
                <w:highlight w:val="none"/>
              </w:rPr>
            </w:pPr>
            <w:r>
              <w:rPr>
                <w:color w:val="auto"/>
                <w:sz w:val="21"/>
                <w:szCs w:val="21"/>
                <w:highlight w:val="none"/>
              </w:rPr>
              <w:t>地表水环境</w:t>
            </w:r>
          </w:p>
        </w:tc>
        <w:tc>
          <w:tcPr>
            <w:tcW w:w="1415" w:type="dxa"/>
            <w:noWrap w:val="0"/>
            <w:vAlign w:val="center"/>
          </w:tcPr>
          <w:p w14:paraId="7803564E">
            <w:pPr>
              <w:spacing w:line="240" w:lineRule="auto"/>
              <w:jc w:val="center"/>
              <w:rPr>
                <w:color w:val="auto"/>
                <w:sz w:val="21"/>
                <w:szCs w:val="21"/>
                <w:highlight w:val="none"/>
              </w:rPr>
            </w:pPr>
            <w:r>
              <w:rPr>
                <w:color w:val="auto"/>
                <w:kern w:val="0"/>
                <w:sz w:val="21"/>
                <w:szCs w:val="21"/>
                <w:highlight w:val="none"/>
              </w:rPr>
              <w:t>生产废水</w:t>
            </w:r>
          </w:p>
        </w:tc>
        <w:tc>
          <w:tcPr>
            <w:tcW w:w="1701" w:type="dxa"/>
            <w:gridSpan w:val="2"/>
            <w:noWrap w:val="0"/>
            <w:vAlign w:val="center"/>
          </w:tcPr>
          <w:p w14:paraId="71FCA9D3">
            <w:pPr>
              <w:widowControl w:val="0"/>
              <w:adjustRightInd/>
              <w:snapToGrid/>
              <w:spacing w:before="0" w:beforeLines="0" w:after="0" w:afterLines="0" w:line="240" w:lineRule="auto"/>
              <w:ind w:right="0"/>
              <w:jc w:val="center"/>
              <w:rPr>
                <w:rFonts w:hint="default" w:ascii="Times New Roman" w:hAnsi="Times New Roman" w:eastAsia="宋体" w:cs="Times New Roman"/>
                <w:color w:val="auto"/>
                <w:kern w:val="0"/>
                <w:sz w:val="21"/>
                <w:szCs w:val="21"/>
                <w:highlight w:val="none"/>
                <w:lang w:val="en-US" w:eastAsia="zh-CN" w:bidi="ar-SA"/>
              </w:rPr>
            </w:pPr>
            <w:r>
              <w:rPr>
                <w:rFonts w:hint="eastAsia" w:cs="Times New Roman"/>
                <w:color w:val="auto"/>
                <w:sz w:val="21"/>
                <w:szCs w:val="21"/>
                <w:highlight w:val="none"/>
                <w:lang w:val="en-US" w:eastAsia="zh-CN"/>
              </w:rPr>
              <w:t>pH、</w:t>
            </w:r>
            <w:r>
              <w:rPr>
                <w:rFonts w:ascii="Times New Roman" w:hAnsi="Times New Roman" w:eastAsia="宋体" w:cs="Times New Roman"/>
                <w:color w:val="auto"/>
                <w:kern w:val="0"/>
                <w:sz w:val="21"/>
                <w:szCs w:val="21"/>
                <w:highlight w:val="none"/>
                <w:lang w:val="en-US" w:eastAsia="zh-CN" w:bidi="ar-SA"/>
              </w:rPr>
              <w:t>BOD</w:t>
            </w:r>
            <w:r>
              <w:rPr>
                <w:rFonts w:ascii="Times New Roman" w:hAnsi="Times New Roman" w:eastAsia="宋体" w:cs="Times New Roman"/>
                <w:color w:val="auto"/>
                <w:kern w:val="0"/>
                <w:sz w:val="21"/>
                <w:szCs w:val="21"/>
                <w:highlight w:val="none"/>
                <w:vertAlign w:val="subscript"/>
                <w:lang w:val="en-US" w:eastAsia="zh-CN" w:bidi="ar-SA"/>
              </w:rPr>
              <w:t>5</w:t>
            </w:r>
            <w:r>
              <w:rPr>
                <w:rFonts w:ascii="Times New Roman" w:hAnsi="Times New Roman" w:eastAsia="宋体" w:cs="Times New Roman"/>
                <w:color w:val="auto"/>
                <w:kern w:val="0"/>
                <w:sz w:val="21"/>
                <w:szCs w:val="21"/>
                <w:highlight w:val="none"/>
                <w:lang w:val="en-US" w:eastAsia="zh-CN" w:bidi="ar-SA"/>
              </w:rPr>
              <w:t>、COD、SS、氨氮</w:t>
            </w:r>
            <w:r>
              <w:rPr>
                <w:rFonts w:hint="eastAsia" w:cs="Times New Roman"/>
                <w:color w:val="auto"/>
                <w:kern w:val="0"/>
                <w:sz w:val="21"/>
                <w:szCs w:val="21"/>
                <w:highlight w:val="none"/>
                <w:lang w:val="en-US" w:eastAsia="zh-CN" w:bidi="ar-SA"/>
              </w:rPr>
              <w:t>、总氮、石油类</w:t>
            </w:r>
          </w:p>
        </w:tc>
        <w:tc>
          <w:tcPr>
            <w:tcW w:w="1744" w:type="dxa"/>
            <w:gridSpan w:val="2"/>
            <w:noWrap w:val="0"/>
            <w:vAlign w:val="center"/>
          </w:tcPr>
          <w:p w14:paraId="76A317ED">
            <w:pPr>
              <w:spacing w:line="240" w:lineRule="auto"/>
              <w:jc w:val="center"/>
              <w:rPr>
                <w:color w:val="auto"/>
                <w:sz w:val="21"/>
                <w:szCs w:val="21"/>
                <w:highlight w:val="none"/>
              </w:rPr>
            </w:pPr>
            <w:r>
              <w:rPr>
                <w:bCs/>
                <w:color w:val="auto"/>
                <w:sz w:val="21"/>
                <w:szCs w:val="21"/>
                <w:highlight w:val="none"/>
              </w:rPr>
              <w:t>生产废水排入</w:t>
            </w:r>
            <w:r>
              <w:rPr>
                <w:rFonts w:hint="eastAsia"/>
                <w:bCs/>
                <w:color w:val="auto"/>
                <w:sz w:val="21"/>
                <w:szCs w:val="21"/>
                <w:highlight w:val="none"/>
                <w:lang w:eastAsia="zh-CN"/>
              </w:rPr>
              <w:t>厂综合</w:t>
            </w:r>
            <w:r>
              <w:rPr>
                <w:bCs/>
                <w:color w:val="auto"/>
                <w:sz w:val="21"/>
                <w:szCs w:val="21"/>
                <w:highlight w:val="none"/>
              </w:rPr>
              <w:t>污水处理站处理达标后</w:t>
            </w:r>
            <w:r>
              <w:rPr>
                <w:rFonts w:hint="eastAsia"/>
                <w:bCs/>
                <w:color w:val="auto"/>
                <w:sz w:val="21"/>
                <w:szCs w:val="21"/>
                <w:highlight w:val="none"/>
                <w:lang w:eastAsia="zh-CN"/>
              </w:rPr>
              <w:t>，</w:t>
            </w:r>
            <w:r>
              <w:rPr>
                <w:bCs/>
                <w:color w:val="auto"/>
                <w:sz w:val="21"/>
                <w:szCs w:val="21"/>
                <w:highlight w:val="none"/>
              </w:rPr>
              <w:t>经</w:t>
            </w:r>
            <w:r>
              <w:rPr>
                <w:rFonts w:hint="eastAsia"/>
                <w:bCs/>
                <w:color w:val="auto"/>
                <w:sz w:val="21"/>
                <w:szCs w:val="21"/>
                <w:highlight w:val="none"/>
                <w:lang w:eastAsia="zh-CN"/>
              </w:rPr>
              <w:t>园区</w:t>
            </w:r>
            <w:r>
              <w:rPr>
                <w:bCs/>
                <w:color w:val="auto"/>
                <w:sz w:val="21"/>
                <w:szCs w:val="21"/>
                <w:highlight w:val="none"/>
              </w:rPr>
              <w:t>污水管网排入</w:t>
            </w:r>
            <w:r>
              <w:rPr>
                <w:rFonts w:hint="eastAsia"/>
                <w:bCs/>
                <w:color w:val="auto"/>
                <w:sz w:val="21"/>
                <w:szCs w:val="21"/>
                <w:highlight w:val="none"/>
                <w:lang w:eastAsia="zh-CN"/>
              </w:rPr>
              <w:t>石家庄高新区循化环境水务有限公司（良村南污水处理厂）</w:t>
            </w:r>
            <w:r>
              <w:rPr>
                <w:bCs/>
                <w:color w:val="auto"/>
                <w:sz w:val="21"/>
                <w:szCs w:val="21"/>
                <w:highlight w:val="none"/>
              </w:rPr>
              <w:t>进一步处理</w:t>
            </w:r>
          </w:p>
        </w:tc>
        <w:tc>
          <w:tcPr>
            <w:tcW w:w="2401" w:type="dxa"/>
            <w:noWrap w:val="0"/>
            <w:vAlign w:val="center"/>
          </w:tcPr>
          <w:p w14:paraId="3A2666A8">
            <w:pPr>
              <w:spacing w:line="240" w:lineRule="auto"/>
              <w:jc w:val="center"/>
              <w:rPr>
                <w:color w:val="auto"/>
                <w:sz w:val="21"/>
                <w:szCs w:val="21"/>
                <w:highlight w:val="none"/>
              </w:rPr>
            </w:pPr>
            <w:r>
              <w:rPr>
                <w:rFonts w:hint="default" w:ascii="Times New Roman" w:hAnsi="Times New Roman" w:eastAsia="宋体" w:cs="Times New Roman"/>
                <w:color w:val="auto"/>
                <w:spacing w:val="0"/>
                <w:w w:val="100"/>
                <w:position w:val="0"/>
                <w:sz w:val="21"/>
                <w:szCs w:val="21"/>
                <w:highlight w:val="none"/>
                <w:lang w:val="en-US" w:eastAsia="zh-CN"/>
              </w:rPr>
              <w:t>《污水综合排放标准》（GB8978-1996）表4三级标准</w:t>
            </w:r>
            <w:r>
              <w:rPr>
                <w:rFonts w:hint="eastAsia" w:cs="Times New Roman"/>
                <w:color w:val="auto"/>
                <w:spacing w:val="0"/>
                <w:w w:val="100"/>
                <w:position w:val="0"/>
                <w:sz w:val="21"/>
                <w:szCs w:val="21"/>
                <w:highlight w:val="none"/>
                <w:lang w:val="en-US" w:eastAsia="zh-CN"/>
              </w:rPr>
              <w:t>，</w:t>
            </w:r>
            <w:r>
              <w:rPr>
                <w:rFonts w:hint="eastAsia" w:cs="Times New Roman"/>
                <w:color w:val="auto"/>
                <w:sz w:val="21"/>
                <w:szCs w:val="21"/>
                <w:highlight w:val="none"/>
                <w:lang w:val="en-US" w:eastAsia="zh-CN"/>
              </w:rPr>
              <w:t>同时满足</w:t>
            </w:r>
            <w:r>
              <w:rPr>
                <w:rFonts w:hint="default" w:ascii="Times New Roman" w:hAnsi="Times New Roman" w:eastAsia="宋体" w:cs="Times New Roman"/>
                <w:color w:val="auto"/>
                <w:spacing w:val="0"/>
                <w:w w:val="100"/>
                <w:position w:val="0"/>
                <w:sz w:val="21"/>
                <w:szCs w:val="21"/>
                <w:highlight w:val="none"/>
                <w:lang w:val="en-US" w:eastAsia="zh-CN"/>
              </w:rPr>
              <w:t>良村南污水处理厂进水水质要求</w:t>
            </w:r>
          </w:p>
        </w:tc>
      </w:tr>
      <w:tr w14:paraId="4091915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39" w:type="dxa"/>
            <w:noWrap w:val="0"/>
            <w:vAlign w:val="center"/>
          </w:tcPr>
          <w:p w14:paraId="7788ADB1">
            <w:pPr>
              <w:spacing w:line="240" w:lineRule="auto"/>
              <w:jc w:val="center"/>
              <w:rPr>
                <w:color w:val="auto"/>
                <w:sz w:val="21"/>
                <w:szCs w:val="21"/>
                <w:highlight w:val="none"/>
              </w:rPr>
            </w:pPr>
            <w:r>
              <w:rPr>
                <w:color w:val="auto"/>
                <w:sz w:val="21"/>
                <w:szCs w:val="21"/>
                <w:highlight w:val="none"/>
              </w:rPr>
              <w:t>声环境</w:t>
            </w:r>
          </w:p>
        </w:tc>
        <w:tc>
          <w:tcPr>
            <w:tcW w:w="1415" w:type="dxa"/>
            <w:noWrap w:val="0"/>
            <w:vAlign w:val="center"/>
          </w:tcPr>
          <w:p w14:paraId="093D7416">
            <w:pPr>
              <w:pStyle w:val="35"/>
              <w:autoSpaceDE/>
              <w:autoSpaceDN/>
              <w:ind w:firstLine="0"/>
              <w:jc w:val="center"/>
              <w:rPr>
                <w:rFonts w:hint="default" w:ascii="Times New Roman"/>
                <w:color w:val="auto"/>
                <w:sz w:val="21"/>
                <w:szCs w:val="21"/>
                <w:highlight w:val="none"/>
                <w:lang w:val="en-US"/>
              </w:rPr>
            </w:pPr>
            <w:r>
              <w:rPr>
                <w:rFonts w:hint="default" w:ascii="Times New Roman"/>
                <w:color w:val="auto"/>
                <w:sz w:val="21"/>
                <w:szCs w:val="21"/>
                <w:highlight w:val="none"/>
                <w:lang w:val="en-US"/>
              </w:rPr>
              <w:t>风机</w:t>
            </w:r>
            <w:r>
              <w:rPr>
                <w:rFonts w:hint="eastAsia" w:ascii="Times New Roman"/>
                <w:color w:val="auto"/>
                <w:sz w:val="21"/>
                <w:szCs w:val="21"/>
                <w:highlight w:val="none"/>
                <w:lang w:val="en-US" w:eastAsia="zh-CN"/>
              </w:rPr>
              <w:t>泵</w:t>
            </w:r>
            <w:r>
              <w:rPr>
                <w:rFonts w:hint="default" w:ascii="Times New Roman"/>
                <w:color w:val="auto"/>
                <w:sz w:val="21"/>
                <w:szCs w:val="21"/>
                <w:highlight w:val="none"/>
                <w:lang w:val="en-US"/>
              </w:rPr>
              <w:t>等设备</w:t>
            </w:r>
          </w:p>
        </w:tc>
        <w:tc>
          <w:tcPr>
            <w:tcW w:w="1701" w:type="dxa"/>
            <w:gridSpan w:val="2"/>
            <w:noWrap w:val="0"/>
            <w:vAlign w:val="center"/>
          </w:tcPr>
          <w:p w14:paraId="38A383B4">
            <w:pPr>
              <w:spacing w:line="240" w:lineRule="auto"/>
              <w:jc w:val="center"/>
              <w:rPr>
                <w:rFonts w:hint="eastAsia" w:eastAsia="宋体"/>
                <w:color w:val="auto"/>
                <w:sz w:val="21"/>
                <w:szCs w:val="21"/>
                <w:highlight w:val="none"/>
                <w:lang w:eastAsia="zh-CN"/>
              </w:rPr>
            </w:pPr>
            <w:r>
              <w:rPr>
                <w:color w:val="auto"/>
                <w:sz w:val="21"/>
                <w:szCs w:val="21"/>
                <w:highlight w:val="none"/>
              </w:rPr>
              <w:t>Leq</w:t>
            </w:r>
            <w:r>
              <w:rPr>
                <w:rFonts w:hint="eastAsia"/>
                <w:color w:val="auto"/>
                <w:sz w:val="21"/>
                <w:szCs w:val="21"/>
                <w:highlight w:val="none"/>
                <w:lang w:eastAsia="zh-CN"/>
              </w:rPr>
              <w:t>（</w:t>
            </w:r>
            <w:r>
              <w:rPr>
                <w:color w:val="auto"/>
                <w:sz w:val="21"/>
                <w:szCs w:val="21"/>
                <w:highlight w:val="none"/>
              </w:rPr>
              <w:t>A</w:t>
            </w:r>
            <w:r>
              <w:rPr>
                <w:rFonts w:hint="eastAsia"/>
                <w:color w:val="auto"/>
                <w:sz w:val="21"/>
                <w:szCs w:val="21"/>
                <w:highlight w:val="none"/>
                <w:lang w:eastAsia="zh-CN"/>
              </w:rPr>
              <w:t>）</w:t>
            </w:r>
          </w:p>
        </w:tc>
        <w:tc>
          <w:tcPr>
            <w:tcW w:w="1744" w:type="dxa"/>
            <w:gridSpan w:val="2"/>
            <w:noWrap w:val="0"/>
            <w:vAlign w:val="center"/>
          </w:tcPr>
          <w:p w14:paraId="445E86E5">
            <w:pPr>
              <w:spacing w:line="240" w:lineRule="auto"/>
              <w:jc w:val="center"/>
              <w:textAlignment w:val="baseline"/>
              <w:rPr>
                <w:color w:val="auto"/>
                <w:sz w:val="21"/>
                <w:szCs w:val="21"/>
                <w:highlight w:val="none"/>
              </w:rPr>
            </w:pPr>
            <w:r>
              <w:rPr>
                <w:color w:val="auto"/>
                <w:sz w:val="21"/>
                <w:szCs w:val="21"/>
                <w:highlight w:val="none"/>
              </w:rPr>
              <w:t>采取基础减振、厂房隔声</w:t>
            </w:r>
          </w:p>
        </w:tc>
        <w:tc>
          <w:tcPr>
            <w:tcW w:w="2401" w:type="dxa"/>
            <w:noWrap w:val="0"/>
            <w:vAlign w:val="center"/>
          </w:tcPr>
          <w:p w14:paraId="4C717BAE">
            <w:pPr>
              <w:spacing w:line="240" w:lineRule="auto"/>
              <w:jc w:val="center"/>
              <w:textAlignment w:val="baseline"/>
              <w:rPr>
                <w:color w:val="auto"/>
                <w:sz w:val="21"/>
                <w:szCs w:val="21"/>
                <w:highlight w:val="none"/>
              </w:rPr>
            </w:pPr>
            <w:r>
              <w:rPr>
                <w:color w:val="auto"/>
                <w:sz w:val="21"/>
                <w:szCs w:val="21"/>
                <w:highlight w:val="none"/>
              </w:rPr>
              <w:t>《工业企业厂界环境噪声排放标准》（GB 12348-2008）3类标准</w:t>
            </w:r>
          </w:p>
        </w:tc>
      </w:tr>
      <w:tr w14:paraId="0B8D6C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88" w:hRule="atLeast"/>
          <w:jc w:val="center"/>
        </w:trPr>
        <w:tc>
          <w:tcPr>
            <w:tcW w:w="1539" w:type="dxa"/>
            <w:noWrap w:val="0"/>
            <w:vAlign w:val="center"/>
          </w:tcPr>
          <w:p w14:paraId="2463E399">
            <w:pPr>
              <w:spacing w:line="240" w:lineRule="auto"/>
              <w:jc w:val="center"/>
              <w:rPr>
                <w:color w:val="auto"/>
                <w:sz w:val="21"/>
                <w:szCs w:val="21"/>
                <w:highlight w:val="none"/>
              </w:rPr>
            </w:pPr>
            <w:r>
              <w:rPr>
                <w:color w:val="auto"/>
                <w:sz w:val="21"/>
                <w:szCs w:val="21"/>
                <w:highlight w:val="none"/>
              </w:rPr>
              <w:t>电磁辐射</w:t>
            </w:r>
          </w:p>
        </w:tc>
        <w:tc>
          <w:tcPr>
            <w:tcW w:w="1415" w:type="dxa"/>
            <w:noWrap w:val="0"/>
            <w:vAlign w:val="center"/>
          </w:tcPr>
          <w:p w14:paraId="2E4CD6C6">
            <w:pPr>
              <w:spacing w:line="240" w:lineRule="auto"/>
              <w:jc w:val="center"/>
              <w:rPr>
                <w:color w:val="auto"/>
                <w:sz w:val="21"/>
                <w:szCs w:val="21"/>
                <w:highlight w:val="none"/>
              </w:rPr>
            </w:pPr>
            <w:r>
              <w:rPr>
                <w:color w:val="auto"/>
                <w:sz w:val="21"/>
                <w:szCs w:val="21"/>
                <w:highlight w:val="none"/>
              </w:rPr>
              <w:t>/</w:t>
            </w:r>
          </w:p>
        </w:tc>
        <w:tc>
          <w:tcPr>
            <w:tcW w:w="1701" w:type="dxa"/>
            <w:gridSpan w:val="2"/>
            <w:noWrap w:val="0"/>
            <w:vAlign w:val="center"/>
          </w:tcPr>
          <w:p w14:paraId="171FDC95">
            <w:pPr>
              <w:spacing w:line="240" w:lineRule="auto"/>
              <w:jc w:val="center"/>
              <w:rPr>
                <w:color w:val="auto"/>
                <w:sz w:val="21"/>
                <w:szCs w:val="21"/>
                <w:highlight w:val="none"/>
              </w:rPr>
            </w:pPr>
            <w:r>
              <w:rPr>
                <w:color w:val="auto"/>
                <w:sz w:val="21"/>
                <w:szCs w:val="21"/>
                <w:highlight w:val="none"/>
              </w:rPr>
              <w:t>/</w:t>
            </w:r>
          </w:p>
        </w:tc>
        <w:tc>
          <w:tcPr>
            <w:tcW w:w="1744" w:type="dxa"/>
            <w:gridSpan w:val="2"/>
            <w:noWrap w:val="0"/>
            <w:vAlign w:val="center"/>
          </w:tcPr>
          <w:p w14:paraId="01669708">
            <w:pPr>
              <w:spacing w:line="240" w:lineRule="auto"/>
              <w:jc w:val="center"/>
              <w:rPr>
                <w:color w:val="auto"/>
                <w:sz w:val="21"/>
                <w:szCs w:val="21"/>
                <w:highlight w:val="none"/>
              </w:rPr>
            </w:pPr>
            <w:r>
              <w:rPr>
                <w:color w:val="auto"/>
                <w:sz w:val="21"/>
                <w:szCs w:val="21"/>
                <w:highlight w:val="none"/>
              </w:rPr>
              <w:t>/</w:t>
            </w:r>
          </w:p>
        </w:tc>
        <w:tc>
          <w:tcPr>
            <w:tcW w:w="2401" w:type="dxa"/>
            <w:noWrap w:val="0"/>
            <w:vAlign w:val="center"/>
          </w:tcPr>
          <w:p w14:paraId="2B810EFC">
            <w:pPr>
              <w:spacing w:line="240" w:lineRule="auto"/>
              <w:jc w:val="center"/>
              <w:rPr>
                <w:color w:val="auto"/>
                <w:sz w:val="21"/>
                <w:szCs w:val="21"/>
                <w:highlight w:val="none"/>
              </w:rPr>
            </w:pPr>
            <w:r>
              <w:rPr>
                <w:color w:val="auto"/>
                <w:sz w:val="21"/>
                <w:szCs w:val="21"/>
                <w:highlight w:val="none"/>
              </w:rPr>
              <w:t>/</w:t>
            </w:r>
          </w:p>
        </w:tc>
      </w:tr>
      <w:tr w14:paraId="1CFC943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1539" w:type="dxa"/>
            <w:noWrap w:val="0"/>
            <w:vAlign w:val="center"/>
          </w:tcPr>
          <w:p w14:paraId="59D8D3B5">
            <w:pPr>
              <w:spacing w:line="240" w:lineRule="auto"/>
              <w:jc w:val="center"/>
              <w:rPr>
                <w:color w:val="auto"/>
                <w:sz w:val="21"/>
                <w:szCs w:val="21"/>
                <w:highlight w:val="none"/>
              </w:rPr>
            </w:pPr>
            <w:r>
              <w:rPr>
                <w:color w:val="auto"/>
                <w:sz w:val="21"/>
                <w:szCs w:val="21"/>
                <w:highlight w:val="none"/>
              </w:rPr>
              <w:t>固体废物</w:t>
            </w:r>
          </w:p>
        </w:tc>
        <w:tc>
          <w:tcPr>
            <w:tcW w:w="7261" w:type="dxa"/>
            <w:gridSpan w:val="6"/>
            <w:noWrap w:val="0"/>
            <w:vAlign w:val="center"/>
          </w:tcPr>
          <w:p w14:paraId="3187FCE4">
            <w:pPr>
              <w:spacing w:line="240" w:lineRule="auto"/>
              <w:jc w:val="both"/>
              <w:rPr>
                <w:rFonts w:hint="eastAsia" w:cs="Times New Roman"/>
                <w:b w:val="0"/>
                <w:bCs/>
                <w:color w:val="auto"/>
                <w:sz w:val="21"/>
                <w:szCs w:val="21"/>
                <w:highlight w:val="none"/>
                <w:lang w:val="en-US" w:eastAsia="zh-CN"/>
              </w:rPr>
            </w:pPr>
            <w:r>
              <w:rPr>
                <w:rFonts w:hint="default" w:ascii="Times New Roman" w:hAnsi="Times New Roman" w:cs="Times New Roman"/>
                <w:color w:val="auto"/>
                <w:sz w:val="21"/>
                <w:szCs w:val="21"/>
                <w:highlight w:val="none"/>
                <w:vertAlign w:val="baseline"/>
                <w:lang w:val="en-US" w:eastAsia="zh-CN" w:bidi="ar-SA"/>
              </w:rPr>
              <w:t>一般固废：</w:t>
            </w:r>
            <w:r>
              <w:rPr>
                <w:rFonts w:hint="default" w:ascii="Times New Roman" w:hAnsi="Times New Roman" w:eastAsia="宋体" w:cs="Times New Roman"/>
                <w:b w:val="0"/>
                <w:bCs/>
                <w:color w:val="auto"/>
                <w:sz w:val="21"/>
                <w:szCs w:val="21"/>
                <w:highlight w:val="none"/>
                <w:lang w:val="en-US" w:eastAsia="zh-CN"/>
              </w:rPr>
              <w:t>废包装</w:t>
            </w:r>
            <w:r>
              <w:rPr>
                <w:rFonts w:hint="default" w:ascii="Times New Roman" w:hAnsi="Times New Roman" w:cs="Times New Roman"/>
                <w:b w:val="0"/>
                <w:bCs/>
                <w:color w:val="auto"/>
                <w:sz w:val="21"/>
                <w:szCs w:val="21"/>
                <w:highlight w:val="none"/>
                <w:lang w:val="en-US" w:eastAsia="zh-CN"/>
              </w:rPr>
              <w:t>、废</w:t>
            </w:r>
            <w:r>
              <w:rPr>
                <w:rFonts w:hint="eastAsia" w:cs="Times New Roman"/>
                <w:b w:val="0"/>
                <w:bCs/>
                <w:color w:val="auto"/>
                <w:sz w:val="21"/>
                <w:szCs w:val="21"/>
                <w:highlight w:val="none"/>
                <w:lang w:val="en-US" w:eastAsia="zh-CN"/>
              </w:rPr>
              <w:t>反渗透</w:t>
            </w:r>
            <w:r>
              <w:rPr>
                <w:rFonts w:hint="default" w:ascii="Times New Roman" w:hAnsi="Times New Roman" w:cs="Times New Roman"/>
                <w:b w:val="0"/>
                <w:bCs/>
                <w:color w:val="auto"/>
                <w:sz w:val="21"/>
                <w:szCs w:val="21"/>
                <w:highlight w:val="none"/>
                <w:lang w:val="en-US" w:eastAsia="zh-CN"/>
              </w:rPr>
              <w:t>膜</w:t>
            </w:r>
            <w:r>
              <w:rPr>
                <w:rFonts w:hint="eastAsia" w:cs="Times New Roman"/>
                <w:b w:val="0"/>
                <w:bCs/>
                <w:color w:val="auto"/>
                <w:sz w:val="21"/>
                <w:szCs w:val="21"/>
                <w:highlight w:val="none"/>
                <w:lang w:val="en-US" w:eastAsia="zh-CN"/>
              </w:rPr>
              <w:t>、废布袋统</w:t>
            </w:r>
            <w:r>
              <w:rPr>
                <w:rFonts w:hint="default" w:ascii="Times New Roman" w:hAnsi="Times New Roman" w:eastAsia="宋体" w:cs="Times New Roman"/>
                <w:b w:val="0"/>
                <w:bCs/>
                <w:color w:val="auto"/>
                <w:sz w:val="21"/>
                <w:szCs w:val="21"/>
                <w:highlight w:val="none"/>
                <w:lang w:val="en-US" w:eastAsia="zh-CN"/>
              </w:rPr>
              <w:t>一</w:t>
            </w:r>
            <w:r>
              <w:rPr>
                <w:rFonts w:hint="eastAsia" w:eastAsia="宋体" w:cs="Times New Roman"/>
                <w:b w:val="0"/>
                <w:bCs/>
                <w:color w:val="auto"/>
                <w:sz w:val="21"/>
                <w:szCs w:val="21"/>
                <w:highlight w:val="none"/>
                <w:lang w:val="en-US" w:eastAsia="zh-CN"/>
              </w:rPr>
              <w:t>收集后外售</w:t>
            </w:r>
            <w:r>
              <w:rPr>
                <w:rFonts w:hint="eastAsia" w:cs="Times New Roman"/>
                <w:b w:val="0"/>
                <w:bCs/>
                <w:color w:val="auto"/>
                <w:sz w:val="21"/>
                <w:szCs w:val="21"/>
                <w:highlight w:val="none"/>
                <w:lang w:val="en-US" w:eastAsia="zh-CN"/>
              </w:rPr>
              <w:t>，除尘灰回用于生产，污泥</w:t>
            </w:r>
            <w:r>
              <w:rPr>
                <w:rFonts w:hint="eastAsia" w:eastAsia="宋体" w:cs="Times New Roman"/>
                <w:color w:val="auto"/>
                <w:spacing w:val="0"/>
                <w:w w:val="100"/>
                <w:position w:val="0"/>
                <w:sz w:val="21"/>
                <w:szCs w:val="21"/>
                <w:highlight w:val="none"/>
                <w:lang w:val="en-US" w:eastAsia="zh-CN"/>
              </w:rPr>
              <w:t>定期</w:t>
            </w:r>
            <w:r>
              <w:rPr>
                <w:rFonts w:hint="eastAsia" w:cs="Times New Roman"/>
                <w:color w:val="5300FF"/>
                <w:spacing w:val="0"/>
                <w:w w:val="100"/>
                <w:position w:val="0"/>
                <w:sz w:val="21"/>
                <w:szCs w:val="21"/>
                <w:highlight w:val="none"/>
                <w:lang w:val="en-US" w:eastAsia="zh-CN"/>
              </w:rPr>
              <w:t>交有利用能力的单位处置</w:t>
            </w:r>
            <w:r>
              <w:rPr>
                <w:rFonts w:hint="eastAsia" w:ascii="Times New Roman" w:hAnsi="Times New Roman" w:eastAsia="宋体" w:cs="Times New Roman"/>
                <w:b w:val="0"/>
                <w:bCs/>
                <w:color w:val="5300FF"/>
                <w:sz w:val="21"/>
                <w:szCs w:val="21"/>
                <w:highlight w:val="none"/>
                <w:lang w:val="en-US" w:eastAsia="zh-CN"/>
              </w:rPr>
              <w:t>后</w:t>
            </w:r>
            <w:r>
              <w:rPr>
                <w:rFonts w:hint="eastAsia" w:cs="Times New Roman"/>
                <w:color w:val="5300FF"/>
                <w:spacing w:val="0"/>
                <w:w w:val="100"/>
                <w:position w:val="0"/>
                <w:sz w:val="21"/>
                <w:szCs w:val="21"/>
                <w:highlight w:val="none"/>
                <w:lang w:val="en-US" w:eastAsia="zh-CN"/>
              </w:rPr>
              <w:t>综合利</w:t>
            </w:r>
            <w:r>
              <w:rPr>
                <w:rFonts w:hint="eastAsia" w:ascii="Times New Roman" w:hAnsi="Times New Roman" w:eastAsia="宋体" w:cs="Times New Roman"/>
                <w:b w:val="0"/>
                <w:bCs/>
                <w:color w:val="5300FF"/>
                <w:sz w:val="21"/>
                <w:szCs w:val="21"/>
                <w:highlight w:val="none"/>
                <w:lang w:val="en-US" w:eastAsia="zh-CN"/>
              </w:rPr>
              <w:t>用</w:t>
            </w:r>
            <w:r>
              <w:rPr>
                <w:rFonts w:hint="eastAsia" w:cs="Times New Roman"/>
                <w:b w:val="0"/>
                <w:bCs/>
                <w:color w:val="auto"/>
                <w:sz w:val="21"/>
                <w:szCs w:val="21"/>
                <w:highlight w:val="none"/>
                <w:lang w:val="en-US" w:eastAsia="zh-CN"/>
              </w:rPr>
              <w:t>。</w:t>
            </w:r>
          </w:p>
          <w:p w14:paraId="3F98F99E">
            <w:pPr>
              <w:spacing w:line="240" w:lineRule="auto"/>
              <w:jc w:val="both"/>
              <w:rPr>
                <w:color w:val="auto"/>
                <w:sz w:val="21"/>
                <w:szCs w:val="21"/>
                <w:highlight w:val="none"/>
              </w:rPr>
            </w:pPr>
            <w:r>
              <w:rPr>
                <w:rFonts w:hint="eastAsia" w:ascii="Times New Roman" w:cs="Times New Roman"/>
                <w:color w:val="auto"/>
                <w:sz w:val="21"/>
                <w:szCs w:val="21"/>
                <w:highlight w:val="none"/>
                <w:vertAlign w:val="baseline"/>
                <w:lang w:val="en-US" w:eastAsia="zh-CN" w:bidi="ar-SA"/>
              </w:rPr>
              <w:t>危险废物：</w:t>
            </w:r>
            <w:r>
              <w:rPr>
                <w:rFonts w:hint="eastAsia" w:cs="Times New Roman"/>
                <w:b w:val="0"/>
                <w:bCs/>
                <w:color w:val="auto"/>
                <w:sz w:val="21"/>
                <w:szCs w:val="21"/>
                <w:highlight w:val="none"/>
                <w:lang w:val="en-US" w:eastAsia="zh-CN"/>
              </w:rPr>
              <w:t>废润滑油、废润滑油桶</w:t>
            </w:r>
            <w:r>
              <w:rPr>
                <w:rFonts w:hint="eastAsia" w:ascii="Times New Roman" w:cs="Times New Roman"/>
                <w:color w:val="auto"/>
                <w:sz w:val="21"/>
                <w:szCs w:val="21"/>
                <w:highlight w:val="none"/>
                <w:vertAlign w:val="baseline"/>
                <w:lang w:val="en-US" w:eastAsia="zh-CN" w:bidi="ar-SA"/>
              </w:rPr>
              <w:t>，暂存于危废暂存间内，定期交由有资质的危废处置单位处理，</w:t>
            </w:r>
            <w:r>
              <w:rPr>
                <w:bCs/>
                <w:color w:val="auto"/>
                <w:sz w:val="21"/>
                <w:szCs w:val="21"/>
                <w:highlight w:val="none"/>
              </w:rPr>
              <w:t>执行《危险废物贮存污染控制标准》（GB18597-2023）中标准要求</w:t>
            </w:r>
            <w:r>
              <w:rPr>
                <w:rFonts w:hint="eastAsia" w:cs="Times New Roman"/>
                <w:color w:val="auto"/>
                <w:sz w:val="21"/>
                <w:szCs w:val="21"/>
                <w:highlight w:val="none"/>
                <w:vertAlign w:val="baseline"/>
                <w:lang w:val="en-US" w:eastAsia="zh-CN" w:bidi="ar-SA"/>
              </w:rPr>
              <w:t>。</w:t>
            </w:r>
          </w:p>
        </w:tc>
      </w:tr>
      <w:tr w14:paraId="3FD210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76" w:hRule="atLeast"/>
          <w:jc w:val="center"/>
        </w:trPr>
        <w:tc>
          <w:tcPr>
            <w:tcW w:w="1539" w:type="dxa"/>
            <w:noWrap w:val="0"/>
            <w:vAlign w:val="center"/>
          </w:tcPr>
          <w:p w14:paraId="39A202C2">
            <w:pPr>
              <w:spacing w:line="240" w:lineRule="auto"/>
              <w:jc w:val="center"/>
              <w:rPr>
                <w:color w:val="auto"/>
                <w:sz w:val="21"/>
                <w:szCs w:val="21"/>
                <w:highlight w:val="none"/>
              </w:rPr>
            </w:pPr>
            <w:r>
              <w:rPr>
                <w:color w:val="auto"/>
                <w:sz w:val="21"/>
                <w:szCs w:val="21"/>
                <w:highlight w:val="none"/>
              </w:rPr>
              <w:t>土壤及地下水</w:t>
            </w:r>
          </w:p>
          <w:p w14:paraId="71199DB6">
            <w:pPr>
              <w:spacing w:line="240" w:lineRule="auto"/>
              <w:jc w:val="center"/>
              <w:rPr>
                <w:color w:val="auto"/>
                <w:sz w:val="21"/>
                <w:szCs w:val="21"/>
                <w:highlight w:val="none"/>
              </w:rPr>
            </w:pPr>
            <w:r>
              <w:rPr>
                <w:color w:val="auto"/>
                <w:sz w:val="21"/>
                <w:szCs w:val="21"/>
                <w:highlight w:val="none"/>
              </w:rPr>
              <w:t>污染防治措施</w:t>
            </w:r>
          </w:p>
        </w:tc>
        <w:tc>
          <w:tcPr>
            <w:tcW w:w="7261" w:type="dxa"/>
            <w:gridSpan w:val="6"/>
            <w:noWrap w:val="0"/>
            <w:vAlign w:val="center"/>
          </w:tcPr>
          <w:p w14:paraId="164B3F41">
            <w:pPr>
              <w:spacing w:line="240" w:lineRule="auto"/>
              <w:jc w:val="both"/>
              <w:rPr>
                <w:rFonts w:hint="eastAsia"/>
                <w:color w:val="auto"/>
                <w:sz w:val="21"/>
                <w:szCs w:val="21"/>
                <w:highlight w:val="none"/>
                <w:lang w:val="en-US" w:eastAsia="zh-CN"/>
              </w:rPr>
            </w:pPr>
            <w:r>
              <w:rPr>
                <w:rFonts w:hint="eastAsia"/>
                <w:color w:val="auto"/>
                <w:sz w:val="21"/>
                <w:szCs w:val="21"/>
                <w:highlight w:val="none"/>
                <w:lang w:val="en-US" w:eastAsia="zh-CN"/>
              </w:rPr>
              <w:t>①废气主要为颗粒物、氨，无重金属，不涉及大气沉降影响。</w:t>
            </w:r>
          </w:p>
          <w:p w14:paraId="67D84985">
            <w:pPr>
              <w:spacing w:line="240" w:lineRule="auto"/>
              <w:jc w:val="both"/>
              <w:rPr>
                <w:rFonts w:hint="eastAsia"/>
                <w:color w:val="auto"/>
                <w:sz w:val="21"/>
                <w:szCs w:val="21"/>
                <w:highlight w:val="none"/>
                <w:lang w:val="en-US" w:eastAsia="zh-CN"/>
              </w:rPr>
            </w:pPr>
            <w:r>
              <w:rPr>
                <w:rFonts w:hint="eastAsia"/>
                <w:color w:val="auto"/>
                <w:sz w:val="21"/>
                <w:szCs w:val="21"/>
                <w:highlight w:val="none"/>
                <w:lang w:val="en-US" w:eastAsia="zh-CN"/>
              </w:rPr>
              <w:t>②生产废水排入厂综合污水处理站处理，处理达标后经园区污水管网排入石家庄高新区循化环境水务有限公司（良村南污水处理厂）进一步处理，不外排，不涉及地面漫流影响；</w:t>
            </w:r>
          </w:p>
          <w:p w14:paraId="24B4955C">
            <w:pPr>
              <w:spacing w:line="240" w:lineRule="auto"/>
              <w:jc w:val="both"/>
              <w:rPr>
                <w:rFonts w:hint="eastAsia"/>
                <w:color w:val="auto"/>
                <w:sz w:val="21"/>
                <w:szCs w:val="21"/>
                <w:highlight w:val="none"/>
                <w:lang w:val="en-US" w:eastAsia="zh-CN"/>
              </w:rPr>
            </w:pPr>
            <w:r>
              <w:rPr>
                <w:rFonts w:hint="eastAsia"/>
                <w:color w:val="auto"/>
                <w:sz w:val="21"/>
                <w:szCs w:val="21"/>
                <w:highlight w:val="none"/>
                <w:lang w:val="en-US" w:eastAsia="zh-CN"/>
              </w:rPr>
              <w:t>③甘氨酸螯合物一车间地面设置防渗措施；</w:t>
            </w:r>
          </w:p>
          <w:p w14:paraId="04BC6333">
            <w:pPr>
              <w:spacing w:line="240" w:lineRule="auto"/>
              <w:jc w:val="both"/>
              <w:rPr>
                <w:color w:val="auto"/>
                <w:sz w:val="21"/>
                <w:szCs w:val="21"/>
                <w:highlight w:val="none"/>
              </w:rPr>
            </w:pPr>
            <w:r>
              <w:rPr>
                <w:rFonts w:hint="eastAsia"/>
                <w:color w:val="auto"/>
                <w:sz w:val="21"/>
                <w:szCs w:val="21"/>
                <w:highlight w:val="none"/>
                <w:lang w:val="en-US" w:eastAsia="zh-CN"/>
              </w:rPr>
              <w:t>采取以上措施后，项目建设不会对土壤及地下水产生影响。</w:t>
            </w:r>
          </w:p>
        </w:tc>
      </w:tr>
      <w:tr w14:paraId="540553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1539" w:type="dxa"/>
            <w:noWrap w:val="0"/>
            <w:vAlign w:val="center"/>
          </w:tcPr>
          <w:p w14:paraId="69863192">
            <w:pPr>
              <w:spacing w:line="240" w:lineRule="auto"/>
              <w:jc w:val="center"/>
              <w:rPr>
                <w:color w:val="auto"/>
                <w:sz w:val="21"/>
                <w:szCs w:val="21"/>
                <w:highlight w:val="none"/>
              </w:rPr>
            </w:pPr>
            <w:r>
              <w:rPr>
                <w:color w:val="auto"/>
                <w:sz w:val="21"/>
                <w:szCs w:val="21"/>
                <w:highlight w:val="none"/>
              </w:rPr>
              <w:t>生态保护措施</w:t>
            </w:r>
          </w:p>
        </w:tc>
        <w:tc>
          <w:tcPr>
            <w:tcW w:w="7261" w:type="dxa"/>
            <w:gridSpan w:val="6"/>
            <w:noWrap w:val="0"/>
            <w:vAlign w:val="center"/>
          </w:tcPr>
          <w:p w14:paraId="7D25A8EC">
            <w:pPr>
              <w:spacing w:line="240" w:lineRule="auto"/>
              <w:jc w:val="center"/>
              <w:rPr>
                <w:color w:val="auto"/>
                <w:sz w:val="21"/>
                <w:szCs w:val="21"/>
                <w:highlight w:val="none"/>
              </w:rPr>
            </w:pPr>
            <w:r>
              <w:rPr>
                <w:color w:val="auto"/>
                <w:sz w:val="21"/>
                <w:szCs w:val="21"/>
                <w:highlight w:val="none"/>
              </w:rPr>
              <w:t>不涉及</w:t>
            </w:r>
          </w:p>
        </w:tc>
      </w:tr>
      <w:tr w14:paraId="3C5646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39" w:type="dxa"/>
            <w:noWrap w:val="0"/>
            <w:vAlign w:val="center"/>
          </w:tcPr>
          <w:p w14:paraId="69395B85">
            <w:pPr>
              <w:spacing w:line="240" w:lineRule="auto"/>
              <w:jc w:val="center"/>
              <w:rPr>
                <w:color w:val="auto"/>
                <w:spacing w:val="-8"/>
                <w:sz w:val="21"/>
                <w:szCs w:val="21"/>
                <w:highlight w:val="none"/>
              </w:rPr>
            </w:pPr>
            <w:r>
              <w:rPr>
                <w:color w:val="auto"/>
                <w:spacing w:val="-8"/>
                <w:sz w:val="21"/>
                <w:szCs w:val="21"/>
                <w:highlight w:val="none"/>
              </w:rPr>
              <w:t>环境风险</w:t>
            </w:r>
          </w:p>
          <w:p w14:paraId="0C57067A">
            <w:pPr>
              <w:spacing w:line="240" w:lineRule="auto"/>
              <w:jc w:val="center"/>
              <w:rPr>
                <w:color w:val="auto"/>
                <w:spacing w:val="-8"/>
                <w:sz w:val="21"/>
                <w:szCs w:val="21"/>
                <w:highlight w:val="none"/>
              </w:rPr>
            </w:pPr>
            <w:r>
              <w:rPr>
                <w:color w:val="auto"/>
                <w:spacing w:val="-8"/>
                <w:sz w:val="21"/>
                <w:szCs w:val="21"/>
                <w:highlight w:val="none"/>
              </w:rPr>
              <w:t>防范措施</w:t>
            </w:r>
          </w:p>
        </w:tc>
        <w:tc>
          <w:tcPr>
            <w:tcW w:w="7261" w:type="dxa"/>
            <w:gridSpan w:val="6"/>
            <w:noWrap w:val="0"/>
            <w:vAlign w:val="center"/>
          </w:tcPr>
          <w:p w14:paraId="2E5A1656">
            <w:pPr>
              <w:spacing w:line="240" w:lineRule="auto"/>
              <w:jc w:val="both"/>
              <w:rPr>
                <w:rFonts w:hint="eastAsia"/>
                <w:color w:val="auto"/>
                <w:sz w:val="21"/>
                <w:szCs w:val="21"/>
                <w:highlight w:val="none"/>
              </w:rPr>
            </w:pPr>
            <w:r>
              <w:rPr>
                <w:rFonts w:hint="eastAsia"/>
                <w:color w:val="auto"/>
                <w:sz w:val="21"/>
                <w:szCs w:val="21"/>
                <w:highlight w:val="none"/>
              </w:rPr>
              <w:t>①桶装物料存放在专用位置处，并设置围堰或托盘，容积不小于单个容器最大储存量；储存区地面采用耐腐蚀硬化处理，贮存必要的沙土等堵漏物资，以防物料泄漏时的应急处理之需。</w:t>
            </w:r>
          </w:p>
          <w:p w14:paraId="354B9266">
            <w:pPr>
              <w:spacing w:line="240" w:lineRule="auto"/>
              <w:jc w:val="both"/>
              <w:rPr>
                <w:rFonts w:hint="eastAsia"/>
                <w:color w:val="auto"/>
                <w:sz w:val="21"/>
                <w:szCs w:val="21"/>
                <w:highlight w:val="none"/>
              </w:rPr>
            </w:pPr>
            <w:r>
              <w:rPr>
                <w:rFonts w:hint="eastAsia"/>
                <w:color w:val="auto"/>
                <w:sz w:val="21"/>
                <w:szCs w:val="21"/>
                <w:highlight w:val="none"/>
              </w:rPr>
              <w:t>②物料贮存场所设置安全标准。按照规范对凡需要迅速发现并引起注意以防发生事故的场所、部位均按要求涂安全色。</w:t>
            </w:r>
          </w:p>
          <w:p w14:paraId="15BD0599">
            <w:pPr>
              <w:spacing w:line="240" w:lineRule="auto"/>
              <w:jc w:val="both"/>
              <w:rPr>
                <w:rFonts w:hint="eastAsia"/>
                <w:color w:val="auto"/>
                <w:sz w:val="21"/>
                <w:szCs w:val="21"/>
                <w:highlight w:val="none"/>
              </w:rPr>
            </w:pPr>
            <w:r>
              <w:rPr>
                <w:rFonts w:hint="eastAsia"/>
                <w:color w:val="auto"/>
                <w:sz w:val="21"/>
                <w:szCs w:val="21"/>
                <w:highlight w:val="none"/>
              </w:rPr>
              <w:t>③建立健全并严格执行物料的安全贮存、使用的各项规章制度和规程，加强日常的安全检查。</w:t>
            </w:r>
          </w:p>
          <w:p w14:paraId="2D17E563">
            <w:pPr>
              <w:spacing w:line="240" w:lineRule="auto"/>
              <w:jc w:val="both"/>
              <w:rPr>
                <w:rFonts w:hint="eastAsia"/>
                <w:color w:val="auto"/>
                <w:sz w:val="21"/>
                <w:szCs w:val="21"/>
                <w:highlight w:val="none"/>
              </w:rPr>
            </w:pPr>
            <w:r>
              <w:rPr>
                <w:rFonts w:hint="eastAsia"/>
                <w:color w:val="auto"/>
                <w:sz w:val="21"/>
                <w:szCs w:val="21"/>
                <w:highlight w:val="none"/>
              </w:rPr>
              <w:t>④专人定期对储存情况进行巡查，一旦发现泄漏隐患立即向上级负责人汇报。</w:t>
            </w:r>
          </w:p>
          <w:p w14:paraId="4C05DC23">
            <w:pPr>
              <w:spacing w:line="240" w:lineRule="auto"/>
              <w:jc w:val="both"/>
              <w:rPr>
                <w:rFonts w:hint="eastAsia"/>
                <w:color w:val="auto"/>
                <w:sz w:val="21"/>
                <w:szCs w:val="21"/>
                <w:highlight w:val="none"/>
              </w:rPr>
            </w:pPr>
            <w:r>
              <w:rPr>
                <w:rFonts w:hint="eastAsia"/>
                <w:color w:val="auto"/>
                <w:sz w:val="21"/>
                <w:szCs w:val="21"/>
                <w:highlight w:val="none"/>
              </w:rPr>
              <w:t>⑤危废间液态危废存在泄漏风险，建设单位应根据标准要求，建设堵截泄漏的裙脚，地面与裙脚所围建的容积不低于液态危废贮存桶的最大储量，并需设置危险废物泄漏液及渗滤液导排管网及收集池（或收集槽）。</w:t>
            </w:r>
          </w:p>
          <w:p w14:paraId="1B2AAE1E">
            <w:pPr>
              <w:spacing w:line="240" w:lineRule="auto"/>
              <w:jc w:val="both"/>
              <w:rPr>
                <w:rFonts w:hint="eastAsia"/>
                <w:color w:val="auto"/>
                <w:sz w:val="21"/>
                <w:szCs w:val="21"/>
                <w:highlight w:val="none"/>
              </w:rPr>
            </w:pPr>
            <w:r>
              <w:rPr>
                <w:rFonts w:hint="eastAsia"/>
                <w:color w:val="auto"/>
                <w:sz w:val="21"/>
                <w:szCs w:val="21"/>
                <w:highlight w:val="none"/>
              </w:rPr>
              <w:t>⑥危险废物转移至危废间采用专用的工具，危险废物转移需填写《危险废物转移记录表》，严格控制危险废物流向。</w:t>
            </w:r>
          </w:p>
          <w:p w14:paraId="7516D3CE">
            <w:pPr>
              <w:spacing w:line="240" w:lineRule="auto"/>
              <w:jc w:val="both"/>
              <w:rPr>
                <w:color w:val="auto"/>
                <w:sz w:val="21"/>
                <w:szCs w:val="21"/>
                <w:highlight w:val="none"/>
              </w:rPr>
            </w:pPr>
            <w:r>
              <w:rPr>
                <w:rFonts w:hint="eastAsia"/>
                <w:color w:val="auto"/>
                <w:sz w:val="21"/>
                <w:szCs w:val="21"/>
                <w:highlight w:val="none"/>
              </w:rPr>
              <w:t>⑦危险废物运输过程中应采取密闭、捆扎等措施，严防</w:t>
            </w:r>
            <w:r>
              <w:rPr>
                <w:rFonts w:hint="eastAsia" w:eastAsia="宋体"/>
                <w:color w:val="auto"/>
                <w:sz w:val="21"/>
                <w:szCs w:val="21"/>
                <w:highlight w:val="none"/>
                <w:lang w:eastAsia="zh-CN"/>
              </w:rPr>
              <w:t>振动</w:t>
            </w:r>
            <w:r>
              <w:rPr>
                <w:rFonts w:hint="eastAsia"/>
                <w:color w:val="auto"/>
                <w:sz w:val="21"/>
                <w:szCs w:val="21"/>
                <w:highlight w:val="none"/>
              </w:rPr>
              <w:t>、撞击、摩擦和倾倒。</w:t>
            </w:r>
          </w:p>
        </w:tc>
      </w:tr>
      <w:tr w14:paraId="7EBC09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539" w:type="dxa"/>
            <w:noWrap w:val="0"/>
            <w:vAlign w:val="center"/>
          </w:tcPr>
          <w:p w14:paraId="5F88F267">
            <w:pPr>
              <w:spacing w:line="240" w:lineRule="auto"/>
              <w:jc w:val="center"/>
              <w:rPr>
                <w:color w:val="auto"/>
                <w:spacing w:val="-8"/>
                <w:sz w:val="21"/>
                <w:szCs w:val="21"/>
                <w:highlight w:val="none"/>
              </w:rPr>
            </w:pPr>
            <w:r>
              <w:rPr>
                <w:color w:val="auto"/>
                <w:spacing w:val="-8"/>
                <w:sz w:val="21"/>
                <w:szCs w:val="21"/>
                <w:highlight w:val="none"/>
              </w:rPr>
              <w:t>其他环境</w:t>
            </w:r>
          </w:p>
          <w:p w14:paraId="3760EF8F">
            <w:pPr>
              <w:spacing w:line="240" w:lineRule="auto"/>
              <w:jc w:val="center"/>
              <w:rPr>
                <w:color w:val="auto"/>
                <w:spacing w:val="-8"/>
                <w:sz w:val="21"/>
                <w:szCs w:val="21"/>
                <w:highlight w:val="none"/>
              </w:rPr>
            </w:pPr>
            <w:r>
              <w:rPr>
                <w:color w:val="auto"/>
                <w:spacing w:val="-8"/>
                <w:sz w:val="21"/>
                <w:szCs w:val="21"/>
                <w:highlight w:val="none"/>
              </w:rPr>
              <w:t>管理要求</w:t>
            </w:r>
          </w:p>
        </w:tc>
        <w:tc>
          <w:tcPr>
            <w:tcW w:w="7261" w:type="dxa"/>
            <w:gridSpan w:val="6"/>
            <w:noWrap w:val="0"/>
            <w:vAlign w:val="center"/>
          </w:tcPr>
          <w:p w14:paraId="5609BF66">
            <w:pPr>
              <w:spacing w:line="240" w:lineRule="auto"/>
              <w:jc w:val="both"/>
              <w:rPr>
                <w:rFonts w:hint="eastAsia"/>
                <w:color w:val="auto"/>
                <w:sz w:val="21"/>
                <w:szCs w:val="21"/>
                <w:highlight w:val="none"/>
              </w:rPr>
            </w:pPr>
            <w:r>
              <w:rPr>
                <w:rFonts w:hint="eastAsia"/>
                <w:color w:val="auto"/>
                <w:sz w:val="21"/>
                <w:szCs w:val="21"/>
                <w:highlight w:val="none"/>
              </w:rPr>
              <w:t>①按照监测计划实施定期检测；</w:t>
            </w:r>
          </w:p>
          <w:p w14:paraId="489AE544">
            <w:pPr>
              <w:spacing w:line="240" w:lineRule="auto"/>
              <w:jc w:val="both"/>
              <w:rPr>
                <w:rFonts w:hint="eastAsia"/>
                <w:color w:val="auto"/>
                <w:sz w:val="21"/>
                <w:szCs w:val="21"/>
                <w:highlight w:val="none"/>
              </w:rPr>
            </w:pPr>
            <w:r>
              <w:rPr>
                <w:rFonts w:hint="eastAsia"/>
                <w:color w:val="auto"/>
                <w:sz w:val="21"/>
                <w:szCs w:val="21"/>
                <w:highlight w:val="none"/>
              </w:rPr>
              <w:t>②严格按照《排污口规范化整治技术要求（试行）》建立规范化排污口，设检测孔及监测平台，设排污口标示牌，建立规范化排污口档案；</w:t>
            </w:r>
          </w:p>
          <w:p w14:paraId="6C97C616">
            <w:pPr>
              <w:widowControl w:val="0"/>
              <w:spacing w:line="240" w:lineRule="auto"/>
              <w:ind w:firstLine="0" w:firstLineChars="0"/>
              <w:jc w:val="both"/>
              <w:rPr>
                <w:rFonts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③本项目建成后及时更新应急预案并备案</w:t>
            </w:r>
            <w:r>
              <w:rPr>
                <w:rFonts w:ascii="Times New Roman" w:hAnsi="Times New Roman" w:eastAsia="宋体" w:cs="Times New Roman"/>
                <w:color w:val="auto"/>
                <w:kern w:val="2"/>
                <w:sz w:val="21"/>
                <w:szCs w:val="21"/>
                <w:highlight w:val="none"/>
                <w:lang w:val="en-US" w:eastAsia="zh-CN" w:bidi="ar-SA"/>
              </w:rPr>
              <w:t>；</w:t>
            </w:r>
          </w:p>
          <w:p w14:paraId="1F0481ED">
            <w:pPr>
              <w:widowControl w:val="0"/>
              <w:spacing w:line="240" w:lineRule="auto"/>
              <w:ind w:firstLine="0" w:firstLineChars="0"/>
              <w:jc w:val="both"/>
              <w:rPr>
                <w:color w:val="auto"/>
                <w:sz w:val="21"/>
                <w:szCs w:val="21"/>
                <w:highlight w:val="none"/>
              </w:rPr>
            </w:pPr>
            <w:r>
              <w:rPr>
                <w:rFonts w:hint="eastAsia" w:cs="Times New Roman"/>
                <w:color w:val="auto"/>
                <w:kern w:val="2"/>
                <w:sz w:val="21"/>
                <w:szCs w:val="21"/>
                <w:highlight w:val="none"/>
                <w:lang w:val="en-US" w:eastAsia="zh-CN" w:bidi="ar-SA"/>
              </w:rPr>
              <w:t>④</w:t>
            </w:r>
            <w:r>
              <w:rPr>
                <w:rFonts w:ascii="Times New Roman" w:hAnsi="Times New Roman" w:eastAsia="宋体" w:cs="Times New Roman"/>
                <w:color w:val="auto"/>
                <w:kern w:val="2"/>
                <w:sz w:val="21"/>
                <w:szCs w:val="21"/>
                <w:highlight w:val="none"/>
                <w:lang w:val="en-US" w:eastAsia="zh-CN" w:bidi="ar-SA"/>
              </w:rPr>
              <w:t>进行日常信息公开。</w:t>
            </w:r>
          </w:p>
        </w:tc>
      </w:tr>
    </w:tbl>
    <w:p w14:paraId="60020F80">
      <w:pPr>
        <w:widowControl w:val="0"/>
        <w:spacing w:before="0" w:beforeAutospacing="0" w:after="0" w:afterAutospacing="0" w:line="360" w:lineRule="auto"/>
        <w:jc w:val="center"/>
        <w:outlineLvl w:val="0"/>
        <w:rPr>
          <w:rFonts w:ascii="黑体" w:hAnsi="黑体" w:eastAsia="黑体" w:cs="Times New Roman"/>
          <w:snapToGrid w:val="0"/>
          <w:color w:val="auto"/>
          <w:kern w:val="0"/>
          <w:sz w:val="30"/>
          <w:szCs w:val="30"/>
          <w:highlight w:val="none"/>
          <w:lang w:val="en-US" w:eastAsia="zh-CN" w:bidi="ar-SA"/>
        </w:rPr>
      </w:pPr>
      <w:r>
        <w:rPr>
          <w:rFonts w:ascii="宋体" w:hAnsi="宋体" w:eastAsia="宋体" w:cs="Times New Roman"/>
          <w:snapToGrid w:val="0"/>
          <w:color w:val="auto"/>
          <w:kern w:val="0"/>
          <w:sz w:val="24"/>
          <w:szCs w:val="20"/>
          <w:highlight w:val="none"/>
          <w:lang w:val="en-US" w:eastAsia="zh-CN" w:bidi="ar-SA"/>
        </w:rPr>
        <w:br w:type="page"/>
      </w:r>
      <w:r>
        <w:rPr>
          <w:rFonts w:hint="eastAsia" w:ascii="黑体" w:hAnsi="黑体" w:eastAsia="黑体" w:cs="Times New Roman"/>
          <w:snapToGrid w:val="0"/>
          <w:color w:val="auto"/>
          <w:kern w:val="0"/>
          <w:sz w:val="30"/>
          <w:szCs w:val="30"/>
          <w:highlight w:val="none"/>
          <w:lang w:val="en-US" w:eastAsia="zh-CN" w:bidi="ar-SA"/>
        </w:rPr>
        <w:t>六、结论</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14:paraId="0480B75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noWrap w:val="0"/>
            <w:vAlign w:val="top"/>
          </w:tcPr>
          <w:p w14:paraId="337CB189">
            <w:pPr>
              <w:ind w:firstLine="420" w:firstLineChars="200"/>
              <w:textAlignment w:val="baseline"/>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sz w:val="21"/>
                <w:szCs w:val="21"/>
                <w:highlight w:val="none"/>
              </w:rPr>
              <w:t>本项目位于</w:t>
            </w:r>
            <w:r>
              <w:rPr>
                <w:rFonts w:hint="default" w:ascii="Times New Roman" w:hAnsi="Times New Roman" w:eastAsia="宋体" w:cs="Times New Roman"/>
                <w:color w:val="auto"/>
                <w:sz w:val="21"/>
                <w:szCs w:val="21"/>
                <w:highlight w:val="none"/>
                <w:u w:val="none"/>
                <w:lang w:val="en-US" w:eastAsia="zh-CN"/>
              </w:rPr>
              <w:t>石家庄高新区化工中路100号石家庄东华金龙化工有限公司厂区内</w:t>
            </w:r>
            <w:r>
              <w:rPr>
                <w:rFonts w:hint="default" w:ascii="Times New Roman" w:hAnsi="Times New Roman" w:eastAsia="宋体" w:cs="Times New Roman"/>
                <w:color w:val="auto"/>
                <w:sz w:val="21"/>
                <w:szCs w:val="21"/>
                <w:highlight w:val="none"/>
              </w:rPr>
              <w:t>，项目选址不在生态保护红线范围内，工程建设符合国家产业政策和生态环境分区管控要求；项目施工期和运营期采取有效的污染防治措施，对周围环境影响较小，在认真落实各项环保措施的条件下，环境风险可防控，从环境保护的角度分析，项目建设可行。</w:t>
            </w:r>
          </w:p>
          <w:p w14:paraId="0E2F7368">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724C07DD">
            <w:pPr>
              <w:pStyle w:val="35"/>
              <w:keepNext w:val="0"/>
              <w:keepLines w:val="0"/>
              <w:pageBreakBefore w:val="0"/>
              <w:widowControl w:val="0"/>
              <w:kinsoku/>
              <w:wordWrap/>
              <w:overflowPunct/>
              <w:topLinePunct w:val="0"/>
              <w:bidi w:val="0"/>
              <w:spacing w:beforeLines="0" w:line="360" w:lineRule="auto"/>
              <w:ind w:left="0" w:leftChars="0" w:firstLine="420" w:firstLineChars="200"/>
              <w:textAlignment w:val="auto"/>
              <w:rPr>
                <w:color w:val="auto"/>
                <w:sz w:val="21"/>
                <w:szCs w:val="21"/>
                <w:highlight w:val="none"/>
              </w:rPr>
            </w:pPr>
          </w:p>
          <w:p w14:paraId="79AE8F53">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7B33EA77">
            <w:pPr>
              <w:pStyle w:val="35"/>
              <w:keepNext w:val="0"/>
              <w:keepLines w:val="0"/>
              <w:pageBreakBefore w:val="0"/>
              <w:widowControl w:val="0"/>
              <w:kinsoku/>
              <w:wordWrap/>
              <w:overflowPunct/>
              <w:topLinePunct w:val="0"/>
              <w:bidi w:val="0"/>
              <w:spacing w:beforeLines="0" w:line="360" w:lineRule="auto"/>
              <w:ind w:left="0" w:leftChars="0" w:firstLine="420" w:firstLineChars="200"/>
              <w:textAlignment w:val="auto"/>
              <w:rPr>
                <w:color w:val="auto"/>
                <w:sz w:val="21"/>
                <w:szCs w:val="21"/>
                <w:highlight w:val="none"/>
              </w:rPr>
            </w:pPr>
          </w:p>
          <w:p w14:paraId="1A0A93CE">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6086D629">
            <w:pPr>
              <w:pStyle w:val="35"/>
              <w:keepNext w:val="0"/>
              <w:keepLines w:val="0"/>
              <w:pageBreakBefore w:val="0"/>
              <w:widowControl w:val="0"/>
              <w:kinsoku/>
              <w:wordWrap/>
              <w:overflowPunct/>
              <w:topLinePunct w:val="0"/>
              <w:bidi w:val="0"/>
              <w:spacing w:beforeLines="0" w:line="360" w:lineRule="auto"/>
              <w:ind w:left="0" w:leftChars="0" w:firstLine="420" w:firstLineChars="200"/>
              <w:textAlignment w:val="auto"/>
              <w:rPr>
                <w:color w:val="auto"/>
                <w:sz w:val="21"/>
                <w:szCs w:val="21"/>
                <w:highlight w:val="none"/>
              </w:rPr>
            </w:pPr>
          </w:p>
          <w:p w14:paraId="639056E3">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0C3920DC">
            <w:pPr>
              <w:pStyle w:val="35"/>
              <w:keepNext w:val="0"/>
              <w:keepLines w:val="0"/>
              <w:pageBreakBefore w:val="0"/>
              <w:widowControl w:val="0"/>
              <w:kinsoku/>
              <w:wordWrap/>
              <w:overflowPunct/>
              <w:topLinePunct w:val="0"/>
              <w:bidi w:val="0"/>
              <w:spacing w:beforeLines="0" w:line="360" w:lineRule="auto"/>
              <w:ind w:left="0" w:leftChars="0" w:firstLine="420" w:firstLineChars="200"/>
              <w:textAlignment w:val="auto"/>
              <w:rPr>
                <w:color w:val="auto"/>
                <w:sz w:val="21"/>
                <w:szCs w:val="21"/>
                <w:highlight w:val="none"/>
              </w:rPr>
            </w:pPr>
          </w:p>
          <w:p w14:paraId="1692FB96">
            <w:pPr>
              <w:keepNext w:val="0"/>
              <w:keepLines w:val="0"/>
              <w:pageBreakBefore w:val="0"/>
              <w:widowControl w:val="0"/>
              <w:kinsoku/>
              <w:wordWrap/>
              <w:overflowPunct/>
              <w:topLinePunct w:val="0"/>
              <w:bidi w:val="0"/>
              <w:spacing w:line="360" w:lineRule="auto"/>
              <w:ind w:left="0" w:leftChars="0" w:firstLine="420" w:firstLineChars="200"/>
              <w:jc w:val="both"/>
              <w:textAlignment w:val="auto"/>
              <w:rPr>
                <w:rFonts w:ascii="Times New Roman" w:hAnsi="Times New Roman" w:eastAsia="宋体" w:cs="Times New Roman"/>
                <w:color w:val="auto"/>
                <w:kern w:val="0"/>
                <w:sz w:val="21"/>
                <w:szCs w:val="21"/>
                <w:highlight w:val="none"/>
                <w:lang w:val="en-US" w:eastAsia="zh-CN" w:bidi="ar-SA"/>
              </w:rPr>
            </w:pPr>
          </w:p>
          <w:p w14:paraId="76EE023C">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25042813">
            <w:pPr>
              <w:keepNext w:val="0"/>
              <w:keepLines w:val="0"/>
              <w:pageBreakBefore w:val="0"/>
              <w:widowControl w:val="0"/>
              <w:kinsoku/>
              <w:wordWrap/>
              <w:overflowPunct/>
              <w:topLinePunct w:val="0"/>
              <w:bidi w:val="0"/>
              <w:spacing w:line="360" w:lineRule="auto"/>
              <w:ind w:left="0" w:leftChars="0" w:firstLine="420" w:firstLineChars="200"/>
              <w:jc w:val="both"/>
              <w:textAlignment w:val="auto"/>
              <w:rPr>
                <w:rFonts w:ascii="Times New Roman" w:hAnsi="Times New Roman" w:eastAsia="宋体" w:cs="Times New Roman"/>
                <w:color w:val="auto"/>
                <w:kern w:val="0"/>
                <w:sz w:val="21"/>
                <w:szCs w:val="21"/>
                <w:highlight w:val="none"/>
                <w:lang w:val="en-US" w:eastAsia="zh-CN" w:bidi="ar-SA"/>
              </w:rPr>
            </w:pPr>
          </w:p>
          <w:p w14:paraId="4AF64F16">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4FB0653E">
            <w:pPr>
              <w:pStyle w:val="35"/>
              <w:keepNext w:val="0"/>
              <w:keepLines w:val="0"/>
              <w:pageBreakBefore w:val="0"/>
              <w:widowControl w:val="0"/>
              <w:kinsoku/>
              <w:wordWrap/>
              <w:overflowPunct/>
              <w:topLinePunct w:val="0"/>
              <w:bidi w:val="0"/>
              <w:spacing w:beforeLines="0" w:line="360" w:lineRule="auto"/>
              <w:ind w:left="0" w:leftChars="0" w:firstLine="420" w:firstLineChars="200"/>
              <w:textAlignment w:val="auto"/>
              <w:rPr>
                <w:color w:val="auto"/>
                <w:sz w:val="21"/>
                <w:szCs w:val="21"/>
                <w:highlight w:val="none"/>
              </w:rPr>
            </w:pPr>
          </w:p>
          <w:p w14:paraId="489D73FB">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3169BB31">
            <w:pPr>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5F8A1246">
            <w:pPr>
              <w:pStyle w:val="41"/>
              <w:keepNext w:val="0"/>
              <w:keepLines w:val="0"/>
              <w:pageBreakBefore w:val="0"/>
              <w:widowControl w:val="0"/>
              <w:kinsoku/>
              <w:wordWrap/>
              <w:overflowPunct/>
              <w:topLinePunct w:val="0"/>
              <w:bidi w:val="0"/>
              <w:spacing w:line="360" w:lineRule="auto"/>
              <w:ind w:left="0" w:leftChars="0" w:firstLine="420" w:firstLineChars="200"/>
              <w:textAlignment w:val="auto"/>
              <w:rPr>
                <w:color w:val="auto"/>
                <w:sz w:val="21"/>
                <w:szCs w:val="21"/>
                <w:highlight w:val="none"/>
              </w:rPr>
            </w:pPr>
          </w:p>
          <w:p w14:paraId="34F1AF90">
            <w:pPr>
              <w:pStyle w:val="35"/>
              <w:keepNext w:val="0"/>
              <w:keepLines w:val="0"/>
              <w:pageBreakBefore w:val="0"/>
              <w:widowControl w:val="0"/>
              <w:kinsoku/>
              <w:wordWrap/>
              <w:overflowPunct/>
              <w:topLinePunct w:val="0"/>
              <w:bidi w:val="0"/>
              <w:spacing w:beforeLines="0" w:line="360" w:lineRule="auto"/>
              <w:ind w:left="0" w:leftChars="0" w:firstLine="420" w:firstLineChars="200"/>
              <w:textAlignment w:val="auto"/>
              <w:rPr>
                <w:color w:val="auto"/>
                <w:sz w:val="21"/>
                <w:szCs w:val="21"/>
                <w:highlight w:val="none"/>
              </w:rPr>
            </w:pPr>
          </w:p>
          <w:p w14:paraId="1519CE6B">
            <w:pPr>
              <w:pStyle w:val="35"/>
              <w:rPr>
                <w:color w:val="auto"/>
                <w:sz w:val="21"/>
                <w:szCs w:val="21"/>
                <w:highlight w:val="none"/>
              </w:rPr>
            </w:pPr>
          </w:p>
        </w:tc>
      </w:tr>
    </w:tbl>
    <w:p w14:paraId="38C39A02">
      <w:pPr>
        <w:rPr>
          <w:rFonts w:ascii="宋体"/>
          <w:color w:val="auto"/>
          <w:highlight w:val="none"/>
        </w:rPr>
        <w:sectPr>
          <w:pgSz w:w="11906" w:h="16838"/>
          <w:pgMar w:top="1701" w:right="1531" w:bottom="1701" w:left="1531" w:header="851" w:footer="851" w:gutter="0"/>
          <w:pgBorders>
            <w:top w:val="none" w:sz="0" w:space="0"/>
            <w:left w:val="none" w:sz="0" w:space="0"/>
            <w:bottom w:val="none" w:sz="0" w:space="0"/>
            <w:right w:val="none" w:sz="0" w:space="0"/>
          </w:pgBorders>
          <w:pgNumType w:fmt="numberInDash"/>
          <w:cols w:space="720" w:num="1"/>
          <w:docGrid w:linePitch="312" w:charSpace="0"/>
        </w:sectPr>
      </w:pPr>
    </w:p>
    <w:p w14:paraId="52DC1DBA">
      <w:pPr>
        <w:widowControl/>
        <w:adjustRightInd w:val="0"/>
        <w:snapToGrid w:val="0"/>
        <w:spacing w:before="0" w:beforeAutospacing="0" w:after="0" w:afterAutospacing="0" w:line="648" w:lineRule="auto"/>
        <w:jc w:val="left"/>
        <w:outlineLvl w:val="0"/>
        <w:rPr>
          <w:rFonts w:ascii="黑体" w:hAnsi="黑体" w:eastAsia="黑体" w:cs="Times New Roman"/>
          <w:snapToGrid w:val="0"/>
          <w:color w:val="auto"/>
          <w:kern w:val="0"/>
          <w:sz w:val="32"/>
          <w:szCs w:val="32"/>
          <w:highlight w:val="none"/>
          <w:lang w:val="en-US" w:eastAsia="zh-CN" w:bidi="ar-SA"/>
        </w:rPr>
      </w:pPr>
      <w:r>
        <w:rPr>
          <w:rFonts w:hint="eastAsia" w:ascii="黑体" w:hAnsi="黑体" w:eastAsia="黑体" w:cs="Times New Roman"/>
          <w:snapToGrid w:val="0"/>
          <w:color w:val="auto"/>
          <w:kern w:val="0"/>
          <w:sz w:val="32"/>
          <w:szCs w:val="32"/>
          <w:highlight w:val="none"/>
          <w:lang w:val="en-US" w:eastAsia="zh-CN" w:bidi="ar-SA"/>
        </w:rPr>
        <w:t>附表</w:t>
      </w:r>
    </w:p>
    <w:p w14:paraId="09C19A35">
      <w:pPr>
        <w:widowControl w:val="0"/>
        <w:adjustRightInd/>
        <w:snapToGrid/>
        <w:spacing w:before="0" w:beforeAutospacing="0" w:after="0" w:afterAutospacing="0" w:line="360" w:lineRule="auto"/>
        <w:jc w:val="center"/>
        <w:outlineLvl w:val="0"/>
        <w:rPr>
          <w:rFonts w:hint="eastAsia" w:ascii="方正小标宋_GBK" w:hAnsi="黑体" w:eastAsia="方正小标宋_GBK" w:cs="Times New Roman"/>
          <w:snapToGrid w:val="0"/>
          <w:color w:val="auto"/>
          <w:kern w:val="0"/>
          <w:sz w:val="38"/>
          <w:szCs w:val="38"/>
          <w:highlight w:val="none"/>
          <w:lang w:val="en-US" w:eastAsia="zh-CN" w:bidi="ar-SA"/>
        </w:rPr>
      </w:pPr>
      <w:r>
        <w:rPr>
          <w:rFonts w:hint="eastAsia" w:ascii="方正小标宋_GBK" w:hAnsi="黑体" w:eastAsia="方正小标宋_GBK" w:cs="Times New Roman"/>
          <w:snapToGrid w:val="0"/>
          <w:color w:val="auto"/>
          <w:kern w:val="0"/>
          <w:sz w:val="38"/>
          <w:szCs w:val="38"/>
          <w:highlight w:val="none"/>
          <w:lang w:val="en-US" w:eastAsia="zh-CN" w:bidi="ar-SA"/>
        </w:rPr>
        <w:t>建设项目污染物排放量汇总表</w:t>
      </w:r>
    </w:p>
    <w:tbl>
      <w:tblPr>
        <w:tblStyle w:val="25"/>
        <w:tblW w:w="1378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98"/>
        <w:gridCol w:w="1707"/>
        <w:gridCol w:w="1701"/>
        <w:gridCol w:w="1276"/>
        <w:gridCol w:w="1701"/>
        <w:gridCol w:w="1465"/>
        <w:gridCol w:w="1575"/>
        <w:gridCol w:w="1705"/>
        <w:gridCol w:w="1360"/>
      </w:tblGrid>
      <w:tr w14:paraId="6A95B5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298" w:type="dxa"/>
            <w:tcBorders>
              <w:tl2br w:val="single" w:color="auto" w:sz="4" w:space="0"/>
            </w:tcBorders>
            <w:noWrap w:val="0"/>
            <w:tcMar>
              <w:left w:w="28" w:type="dxa"/>
              <w:right w:w="28" w:type="dxa"/>
            </w:tcMar>
            <w:vAlign w:val="center"/>
          </w:tcPr>
          <w:p w14:paraId="329A1C7A">
            <w:pPr>
              <w:widowControl w:val="0"/>
              <w:adjustRightInd/>
              <w:snapToGrid/>
              <w:spacing w:before="0" w:beforeLines="0" w:after="0" w:afterLines="0" w:line="240" w:lineRule="auto"/>
              <w:ind w:right="0"/>
              <w:jc w:val="center"/>
              <w:rPr>
                <w:rFonts w:hint="eastAsia" w:ascii="黑体" w:hAnsi="黑体" w:eastAsia="黑体" w:cs="宋体"/>
                <w:snapToGrid w:val="0"/>
                <w:color w:val="auto"/>
                <w:spacing w:val="-6"/>
                <w:kern w:val="21"/>
                <w:sz w:val="21"/>
                <w:szCs w:val="21"/>
                <w:highlight w:val="none"/>
                <w:lang w:val="en-US" w:eastAsia="zh-CN" w:bidi="ar-SA"/>
              </w:rPr>
            </w:pPr>
            <w:r>
              <w:rPr>
                <w:rFonts w:hint="eastAsia" w:ascii="黑体" w:hAnsi="黑体" w:eastAsia="黑体" w:cs="宋体"/>
                <w:snapToGrid w:val="0"/>
                <w:color w:val="auto"/>
                <w:spacing w:val="-6"/>
                <w:kern w:val="21"/>
                <w:sz w:val="21"/>
                <w:szCs w:val="21"/>
                <w:highlight w:val="none"/>
                <w:lang w:val="en-US" w:eastAsia="zh-CN" w:bidi="ar-SA"/>
              </w:rPr>
              <w:t>项目</w:t>
            </w:r>
          </w:p>
          <w:p w14:paraId="56522E5E">
            <w:pPr>
              <w:widowControl w:val="0"/>
              <w:adjustRightInd/>
              <w:snapToGrid/>
              <w:spacing w:before="0" w:beforeLines="0" w:after="0" w:afterLines="0" w:line="240" w:lineRule="auto"/>
              <w:ind w:right="0"/>
              <w:jc w:val="center"/>
              <w:rPr>
                <w:rFonts w:hint="eastAsia" w:ascii="黑体" w:hAnsi="黑体" w:eastAsia="黑体" w:cs="宋体"/>
                <w:snapToGrid w:val="0"/>
                <w:color w:val="auto"/>
                <w:spacing w:val="-6"/>
                <w:kern w:val="21"/>
                <w:sz w:val="21"/>
                <w:szCs w:val="21"/>
                <w:highlight w:val="none"/>
                <w:lang w:val="en-US" w:eastAsia="zh-CN" w:bidi="ar-SA"/>
              </w:rPr>
            </w:pPr>
            <w:r>
              <w:rPr>
                <w:rFonts w:hint="eastAsia" w:ascii="黑体" w:hAnsi="黑体" w:eastAsia="黑体" w:cs="宋体"/>
                <w:snapToGrid w:val="0"/>
                <w:color w:val="auto"/>
                <w:spacing w:val="-6"/>
                <w:kern w:val="21"/>
                <w:sz w:val="21"/>
                <w:szCs w:val="21"/>
                <w:highlight w:val="none"/>
                <w:lang w:val="en-US" w:eastAsia="zh-CN" w:bidi="ar-SA"/>
              </w:rPr>
              <w:t>分类</w:t>
            </w:r>
          </w:p>
        </w:tc>
        <w:tc>
          <w:tcPr>
            <w:tcW w:w="1707" w:type="dxa"/>
            <w:noWrap w:val="0"/>
            <w:tcMar>
              <w:left w:w="28" w:type="dxa"/>
              <w:right w:w="28" w:type="dxa"/>
            </w:tcMar>
            <w:vAlign w:val="center"/>
          </w:tcPr>
          <w:p w14:paraId="327F20D0">
            <w:pPr>
              <w:widowControl w:val="0"/>
              <w:adjustRightInd/>
              <w:snapToGrid/>
              <w:spacing w:before="0" w:beforeLines="0" w:after="0" w:afterLines="0" w:line="240" w:lineRule="auto"/>
              <w:ind w:right="0"/>
              <w:jc w:val="center"/>
              <w:rPr>
                <w:rFonts w:hint="eastAsia" w:ascii="黑体" w:hAnsi="黑体" w:eastAsia="黑体" w:cs="宋体"/>
                <w:snapToGrid w:val="0"/>
                <w:color w:val="auto"/>
                <w:spacing w:val="-6"/>
                <w:kern w:val="21"/>
                <w:sz w:val="21"/>
                <w:szCs w:val="21"/>
                <w:highlight w:val="none"/>
                <w:lang w:val="en-US" w:eastAsia="zh-CN" w:bidi="ar-SA"/>
              </w:rPr>
            </w:pPr>
            <w:r>
              <w:rPr>
                <w:rFonts w:hint="eastAsia" w:ascii="黑体" w:hAnsi="黑体" w:eastAsia="黑体" w:cs="宋体"/>
                <w:snapToGrid w:val="0"/>
                <w:color w:val="auto"/>
                <w:spacing w:val="-6"/>
                <w:kern w:val="21"/>
                <w:sz w:val="21"/>
                <w:szCs w:val="21"/>
                <w:highlight w:val="none"/>
                <w:lang w:val="en-US" w:eastAsia="zh-CN" w:bidi="ar-SA"/>
              </w:rPr>
              <w:t>污染物名称</w:t>
            </w:r>
          </w:p>
        </w:tc>
        <w:tc>
          <w:tcPr>
            <w:tcW w:w="1701" w:type="dxa"/>
            <w:noWrap w:val="0"/>
            <w:tcMar>
              <w:left w:w="28" w:type="dxa"/>
              <w:right w:w="28" w:type="dxa"/>
            </w:tcMar>
            <w:vAlign w:val="center"/>
          </w:tcPr>
          <w:p w14:paraId="61EC92F6">
            <w:pPr>
              <w:widowControl w:val="0"/>
              <w:adjustRightInd/>
              <w:snapToGrid/>
              <w:spacing w:before="0" w:beforeLines="0" w:after="0" w:afterLines="0" w:line="240" w:lineRule="auto"/>
              <w:ind w:right="0"/>
              <w:jc w:val="center"/>
              <w:rPr>
                <w:rFonts w:hint="eastAsia"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现有工程</w:t>
            </w:r>
          </w:p>
          <w:p w14:paraId="01E28A42">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排放量（固</w:t>
            </w:r>
            <w:r>
              <w:rPr>
                <w:rFonts w:hint="eastAsia" w:ascii="黑体" w:hAnsi="黑体" w:eastAsia="黑体" w:cs="Times New Roman"/>
                <w:snapToGrid w:val="0"/>
                <w:color w:val="auto"/>
                <w:spacing w:val="-6"/>
                <w:kern w:val="21"/>
                <w:sz w:val="21"/>
                <w:szCs w:val="21"/>
                <w:highlight w:val="none"/>
                <w:lang w:val="en-US" w:eastAsia="zh-CN" w:bidi="ar-SA"/>
              </w:rPr>
              <w:t>体</w:t>
            </w:r>
            <w:r>
              <w:rPr>
                <w:rFonts w:ascii="黑体" w:hAnsi="黑体" w:eastAsia="黑体" w:cs="Times New Roman"/>
                <w:snapToGrid w:val="0"/>
                <w:color w:val="auto"/>
                <w:spacing w:val="-6"/>
                <w:kern w:val="21"/>
                <w:sz w:val="21"/>
                <w:szCs w:val="21"/>
                <w:highlight w:val="none"/>
                <w:lang w:val="en-US" w:eastAsia="zh-CN" w:bidi="ar-SA"/>
              </w:rPr>
              <w:t>废</w:t>
            </w:r>
            <w:r>
              <w:rPr>
                <w:rFonts w:hint="eastAsia" w:ascii="黑体" w:hAnsi="黑体" w:eastAsia="黑体" w:cs="Times New Roman"/>
                <w:snapToGrid w:val="0"/>
                <w:color w:val="auto"/>
                <w:spacing w:val="-6"/>
                <w:kern w:val="21"/>
                <w:sz w:val="21"/>
                <w:szCs w:val="21"/>
                <w:highlight w:val="none"/>
                <w:lang w:val="en-US" w:eastAsia="zh-CN" w:bidi="ar-SA"/>
              </w:rPr>
              <w:t>物</w:t>
            </w:r>
            <w:r>
              <w:rPr>
                <w:rFonts w:ascii="黑体" w:hAnsi="黑体" w:eastAsia="黑体" w:cs="Times New Roman"/>
                <w:snapToGrid w:val="0"/>
                <w:color w:val="auto"/>
                <w:spacing w:val="-6"/>
                <w:kern w:val="21"/>
                <w:sz w:val="21"/>
                <w:szCs w:val="21"/>
                <w:highlight w:val="none"/>
                <w:lang w:val="en-US" w:eastAsia="zh-CN" w:bidi="ar-SA"/>
              </w:rPr>
              <w:t>产生量）</w:t>
            </w:r>
            <w:r>
              <w:rPr>
                <w:rFonts w:ascii="黑体" w:hAnsi="黑体" w:eastAsia="黑体" w:cs="Times New Roman"/>
                <w:snapToGrid w:val="0"/>
                <w:color w:val="auto"/>
                <w:spacing w:val="-6"/>
                <w:kern w:val="21"/>
                <w:sz w:val="21"/>
                <w:szCs w:val="21"/>
                <w:highlight w:val="none"/>
                <w:lang w:val="en-US" w:eastAsia="zh-CN" w:bidi="ar-SA"/>
              </w:rPr>
              <w:fldChar w:fldCharType="begin"/>
            </w:r>
            <w:r>
              <w:rPr>
                <w:rFonts w:ascii="黑体" w:hAnsi="黑体" w:eastAsia="黑体" w:cs="Times New Roman"/>
                <w:snapToGrid w:val="0"/>
                <w:color w:val="auto"/>
                <w:spacing w:val="-6"/>
                <w:kern w:val="21"/>
                <w:sz w:val="21"/>
                <w:szCs w:val="21"/>
                <w:highlight w:val="none"/>
                <w:lang w:val="en-US" w:eastAsia="zh-CN" w:bidi="ar-SA"/>
              </w:rPr>
              <w:instrText xml:space="preserve"> = 1 \* GB3 \* MERGEFORMAT </w:instrText>
            </w:r>
            <w:r>
              <w:rPr>
                <w:rFonts w:ascii="黑体" w:hAnsi="黑体" w:eastAsia="黑体" w:cs="Times New Roman"/>
                <w:snapToGrid w:val="0"/>
                <w:color w:val="auto"/>
                <w:spacing w:val="-6"/>
                <w:kern w:val="21"/>
                <w:sz w:val="21"/>
                <w:szCs w:val="21"/>
                <w:highlight w:val="none"/>
                <w:lang w:val="en-US" w:eastAsia="zh-CN" w:bidi="ar-SA"/>
              </w:rPr>
              <w:fldChar w:fldCharType="separate"/>
            </w:r>
            <w:r>
              <w:rPr>
                <w:rFonts w:hint="eastAsia" w:ascii="黑体" w:hAnsi="黑体" w:eastAsia="黑体" w:cs="宋体"/>
                <w:color w:val="auto"/>
                <w:kern w:val="2"/>
                <w:sz w:val="21"/>
                <w:szCs w:val="21"/>
                <w:highlight w:val="none"/>
                <w:lang w:val="en-US" w:eastAsia="zh-CN" w:bidi="ar-SA"/>
              </w:rPr>
              <w:t>①</w:t>
            </w:r>
            <w:r>
              <w:rPr>
                <w:rFonts w:ascii="黑体" w:hAnsi="黑体" w:eastAsia="黑体" w:cs="Times New Roman"/>
                <w:snapToGrid w:val="0"/>
                <w:color w:val="auto"/>
                <w:spacing w:val="-6"/>
                <w:kern w:val="21"/>
                <w:sz w:val="21"/>
                <w:szCs w:val="21"/>
                <w:highlight w:val="none"/>
                <w:lang w:val="en-US" w:eastAsia="zh-CN" w:bidi="ar-SA"/>
              </w:rPr>
              <w:fldChar w:fldCharType="end"/>
            </w:r>
          </w:p>
        </w:tc>
        <w:tc>
          <w:tcPr>
            <w:tcW w:w="1276" w:type="dxa"/>
            <w:noWrap w:val="0"/>
            <w:tcMar>
              <w:left w:w="28" w:type="dxa"/>
              <w:right w:w="28" w:type="dxa"/>
            </w:tcMar>
            <w:vAlign w:val="center"/>
          </w:tcPr>
          <w:p w14:paraId="128377A9">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现有工程</w:t>
            </w:r>
          </w:p>
          <w:p w14:paraId="738C5C86">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许可排放量</w:t>
            </w:r>
          </w:p>
          <w:p w14:paraId="7066A8BC">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fldChar w:fldCharType="begin"/>
            </w:r>
            <w:r>
              <w:rPr>
                <w:rFonts w:ascii="黑体" w:hAnsi="黑体" w:eastAsia="黑体" w:cs="Times New Roman"/>
                <w:snapToGrid w:val="0"/>
                <w:color w:val="auto"/>
                <w:spacing w:val="-6"/>
                <w:kern w:val="21"/>
                <w:sz w:val="21"/>
                <w:szCs w:val="21"/>
                <w:highlight w:val="none"/>
                <w:lang w:val="en-US" w:eastAsia="zh-CN" w:bidi="ar-SA"/>
              </w:rPr>
              <w:instrText xml:space="preserve"> = 2 \* GB3 \* MERGEFORMAT </w:instrText>
            </w:r>
            <w:r>
              <w:rPr>
                <w:rFonts w:ascii="黑体" w:hAnsi="黑体" w:eastAsia="黑体" w:cs="Times New Roman"/>
                <w:snapToGrid w:val="0"/>
                <w:color w:val="auto"/>
                <w:spacing w:val="-6"/>
                <w:kern w:val="21"/>
                <w:sz w:val="21"/>
                <w:szCs w:val="21"/>
                <w:highlight w:val="none"/>
                <w:lang w:val="en-US" w:eastAsia="zh-CN" w:bidi="ar-SA"/>
              </w:rPr>
              <w:fldChar w:fldCharType="separate"/>
            </w:r>
            <w:r>
              <w:rPr>
                <w:rFonts w:hint="eastAsia" w:ascii="黑体" w:hAnsi="黑体" w:eastAsia="黑体" w:cs="宋体"/>
                <w:snapToGrid w:val="0"/>
                <w:color w:val="auto"/>
                <w:spacing w:val="-6"/>
                <w:kern w:val="21"/>
                <w:sz w:val="21"/>
                <w:szCs w:val="21"/>
                <w:highlight w:val="none"/>
                <w:lang w:val="en-US" w:eastAsia="zh-CN" w:bidi="ar-SA"/>
              </w:rPr>
              <w:t>②</w:t>
            </w:r>
            <w:r>
              <w:rPr>
                <w:rFonts w:ascii="黑体" w:hAnsi="黑体" w:eastAsia="黑体" w:cs="Times New Roman"/>
                <w:snapToGrid w:val="0"/>
                <w:color w:val="auto"/>
                <w:spacing w:val="-6"/>
                <w:kern w:val="21"/>
                <w:sz w:val="21"/>
                <w:szCs w:val="21"/>
                <w:highlight w:val="none"/>
                <w:lang w:val="en-US" w:eastAsia="zh-CN" w:bidi="ar-SA"/>
              </w:rPr>
              <w:fldChar w:fldCharType="end"/>
            </w:r>
          </w:p>
        </w:tc>
        <w:tc>
          <w:tcPr>
            <w:tcW w:w="1701" w:type="dxa"/>
            <w:noWrap w:val="0"/>
            <w:tcMar>
              <w:left w:w="28" w:type="dxa"/>
              <w:right w:w="28" w:type="dxa"/>
            </w:tcMar>
            <w:vAlign w:val="center"/>
          </w:tcPr>
          <w:p w14:paraId="65006A96">
            <w:pPr>
              <w:widowControl w:val="0"/>
              <w:adjustRightInd/>
              <w:snapToGrid/>
              <w:spacing w:before="0" w:beforeLines="0" w:after="0" w:afterLines="0" w:line="240" w:lineRule="auto"/>
              <w:ind w:right="0"/>
              <w:jc w:val="center"/>
              <w:rPr>
                <w:rFonts w:hint="eastAsia"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在建工程</w:t>
            </w:r>
          </w:p>
          <w:p w14:paraId="3A1B9F37">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排放量（固</w:t>
            </w:r>
            <w:r>
              <w:rPr>
                <w:rFonts w:hint="eastAsia" w:ascii="黑体" w:hAnsi="黑体" w:eastAsia="黑体" w:cs="Times New Roman"/>
                <w:snapToGrid w:val="0"/>
                <w:color w:val="auto"/>
                <w:spacing w:val="-6"/>
                <w:kern w:val="21"/>
                <w:sz w:val="21"/>
                <w:szCs w:val="21"/>
                <w:highlight w:val="none"/>
                <w:lang w:val="en-US" w:eastAsia="zh-CN" w:bidi="ar-SA"/>
              </w:rPr>
              <w:t>体</w:t>
            </w:r>
            <w:r>
              <w:rPr>
                <w:rFonts w:ascii="黑体" w:hAnsi="黑体" w:eastAsia="黑体" w:cs="Times New Roman"/>
                <w:snapToGrid w:val="0"/>
                <w:color w:val="auto"/>
                <w:spacing w:val="-6"/>
                <w:kern w:val="21"/>
                <w:sz w:val="21"/>
                <w:szCs w:val="21"/>
                <w:highlight w:val="none"/>
                <w:lang w:val="en-US" w:eastAsia="zh-CN" w:bidi="ar-SA"/>
              </w:rPr>
              <w:t>废</w:t>
            </w:r>
            <w:r>
              <w:rPr>
                <w:rFonts w:hint="eastAsia" w:ascii="黑体" w:hAnsi="黑体" w:eastAsia="黑体" w:cs="Times New Roman"/>
                <w:snapToGrid w:val="0"/>
                <w:color w:val="auto"/>
                <w:spacing w:val="-6"/>
                <w:kern w:val="21"/>
                <w:sz w:val="21"/>
                <w:szCs w:val="21"/>
                <w:highlight w:val="none"/>
                <w:lang w:val="en-US" w:eastAsia="zh-CN" w:bidi="ar-SA"/>
              </w:rPr>
              <w:t>物</w:t>
            </w:r>
            <w:r>
              <w:rPr>
                <w:rFonts w:ascii="黑体" w:hAnsi="黑体" w:eastAsia="黑体" w:cs="Times New Roman"/>
                <w:snapToGrid w:val="0"/>
                <w:color w:val="auto"/>
                <w:spacing w:val="-6"/>
                <w:kern w:val="21"/>
                <w:sz w:val="21"/>
                <w:szCs w:val="21"/>
                <w:highlight w:val="none"/>
                <w:lang w:val="en-US" w:eastAsia="zh-CN" w:bidi="ar-SA"/>
              </w:rPr>
              <w:t>产生量）</w:t>
            </w:r>
            <w:r>
              <w:rPr>
                <w:rFonts w:ascii="黑体" w:hAnsi="黑体" w:eastAsia="黑体" w:cs="Times New Roman"/>
                <w:snapToGrid w:val="0"/>
                <w:color w:val="auto"/>
                <w:spacing w:val="-6"/>
                <w:kern w:val="21"/>
                <w:sz w:val="21"/>
                <w:szCs w:val="21"/>
                <w:highlight w:val="none"/>
                <w:lang w:val="en-US" w:eastAsia="zh-CN" w:bidi="ar-SA"/>
              </w:rPr>
              <w:fldChar w:fldCharType="begin"/>
            </w:r>
            <w:r>
              <w:rPr>
                <w:rFonts w:ascii="黑体" w:hAnsi="黑体" w:eastAsia="黑体" w:cs="Times New Roman"/>
                <w:snapToGrid w:val="0"/>
                <w:color w:val="auto"/>
                <w:spacing w:val="-6"/>
                <w:kern w:val="21"/>
                <w:sz w:val="21"/>
                <w:szCs w:val="21"/>
                <w:highlight w:val="none"/>
                <w:lang w:val="en-US" w:eastAsia="zh-CN" w:bidi="ar-SA"/>
              </w:rPr>
              <w:instrText xml:space="preserve"> = 3 \* GB3 \* MERGEFORMAT </w:instrText>
            </w:r>
            <w:r>
              <w:rPr>
                <w:rFonts w:ascii="黑体" w:hAnsi="黑体" w:eastAsia="黑体" w:cs="Times New Roman"/>
                <w:snapToGrid w:val="0"/>
                <w:color w:val="auto"/>
                <w:spacing w:val="-6"/>
                <w:kern w:val="21"/>
                <w:sz w:val="21"/>
                <w:szCs w:val="21"/>
                <w:highlight w:val="none"/>
                <w:lang w:val="en-US" w:eastAsia="zh-CN" w:bidi="ar-SA"/>
              </w:rPr>
              <w:fldChar w:fldCharType="separate"/>
            </w:r>
            <w:r>
              <w:rPr>
                <w:rFonts w:hint="eastAsia" w:ascii="黑体" w:hAnsi="黑体" w:eastAsia="黑体" w:cs="宋体"/>
                <w:color w:val="auto"/>
                <w:kern w:val="2"/>
                <w:sz w:val="21"/>
                <w:szCs w:val="21"/>
                <w:highlight w:val="none"/>
                <w:lang w:val="en-US" w:eastAsia="zh-CN" w:bidi="ar-SA"/>
              </w:rPr>
              <w:t>③</w:t>
            </w:r>
            <w:r>
              <w:rPr>
                <w:rFonts w:ascii="黑体" w:hAnsi="黑体" w:eastAsia="黑体" w:cs="Times New Roman"/>
                <w:snapToGrid w:val="0"/>
                <w:color w:val="auto"/>
                <w:spacing w:val="-6"/>
                <w:kern w:val="21"/>
                <w:sz w:val="21"/>
                <w:szCs w:val="21"/>
                <w:highlight w:val="none"/>
                <w:lang w:val="en-US" w:eastAsia="zh-CN" w:bidi="ar-SA"/>
              </w:rPr>
              <w:fldChar w:fldCharType="end"/>
            </w:r>
          </w:p>
        </w:tc>
        <w:tc>
          <w:tcPr>
            <w:tcW w:w="1465" w:type="dxa"/>
            <w:noWrap w:val="0"/>
            <w:tcMar>
              <w:left w:w="28" w:type="dxa"/>
              <w:right w:w="28" w:type="dxa"/>
            </w:tcMar>
            <w:vAlign w:val="center"/>
          </w:tcPr>
          <w:p w14:paraId="5DD39916">
            <w:pPr>
              <w:widowControl w:val="0"/>
              <w:adjustRightInd/>
              <w:snapToGrid/>
              <w:spacing w:before="0" w:beforeLines="0" w:after="0" w:afterLines="0" w:line="240" w:lineRule="auto"/>
              <w:ind w:right="0"/>
              <w:jc w:val="center"/>
              <w:rPr>
                <w:rFonts w:hint="eastAsia"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本项目</w:t>
            </w:r>
          </w:p>
          <w:p w14:paraId="34276072">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排放量（固</w:t>
            </w:r>
            <w:r>
              <w:rPr>
                <w:rFonts w:hint="eastAsia" w:ascii="黑体" w:hAnsi="黑体" w:eastAsia="黑体" w:cs="Times New Roman"/>
                <w:snapToGrid w:val="0"/>
                <w:color w:val="auto"/>
                <w:spacing w:val="-6"/>
                <w:kern w:val="21"/>
                <w:sz w:val="21"/>
                <w:szCs w:val="21"/>
                <w:highlight w:val="none"/>
                <w:lang w:val="en-US" w:eastAsia="zh-CN" w:bidi="ar-SA"/>
              </w:rPr>
              <w:t>体</w:t>
            </w:r>
            <w:r>
              <w:rPr>
                <w:rFonts w:ascii="黑体" w:hAnsi="黑体" w:eastAsia="黑体" w:cs="Times New Roman"/>
                <w:snapToGrid w:val="0"/>
                <w:color w:val="auto"/>
                <w:spacing w:val="-6"/>
                <w:kern w:val="21"/>
                <w:sz w:val="21"/>
                <w:szCs w:val="21"/>
                <w:highlight w:val="none"/>
                <w:lang w:val="en-US" w:eastAsia="zh-CN" w:bidi="ar-SA"/>
              </w:rPr>
              <w:t>废</w:t>
            </w:r>
            <w:r>
              <w:rPr>
                <w:rFonts w:hint="eastAsia" w:ascii="黑体" w:hAnsi="黑体" w:eastAsia="黑体" w:cs="Times New Roman"/>
                <w:snapToGrid w:val="0"/>
                <w:color w:val="auto"/>
                <w:spacing w:val="-6"/>
                <w:kern w:val="21"/>
                <w:sz w:val="21"/>
                <w:szCs w:val="21"/>
                <w:highlight w:val="none"/>
                <w:lang w:val="en-US" w:eastAsia="zh-CN" w:bidi="ar-SA"/>
              </w:rPr>
              <w:t>物</w:t>
            </w:r>
            <w:r>
              <w:rPr>
                <w:rFonts w:ascii="黑体" w:hAnsi="黑体" w:eastAsia="黑体" w:cs="Times New Roman"/>
                <w:snapToGrid w:val="0"/>
                <w:color w:val="auto"/>
                <w:spacing w:val="-6"/>
                <w:kern w:val="21"/>
                <w:sz w:val="21"/>
                <w:szCs w:val="21"/>
                <w:highlight w:val="none"/>
                <w:lang w:val="en-US" w:eastAsia="zh-CN" w:bidi="ar-SA"/>
              </w:rPr>
              <w:t>产生量）</w:t>
            </w:r>
            <w:r>
              <w:rPr>
                <w:rFonts w:ascii="黑体" w:hAnsi="黑体" w:eastAsia="黑体" w:cs="Times New Roman"/>
                <w:snapToGrid w:val="0"/>
                <w:color w:val="auto"/>
                <w:spacing w:val="-6"/>
                <w:kern w:val="21"/>
                <w:sz w:val="21"/>
                <w:szCs w:val="21"/>
                <w:highlight w:val="none"/>
                <w:lang w:val="en-US" w:eastAsia="zh-CN" w:bidi="ar-SA"/>
              </w:rPr>
              <w:fldChar w:fldCharType="begin"/>
            </w:r>
            <w:r>
              <w:rPr>
                <w:rFonts w:ascii="黑体" w:hAnsi="黑体" w:eastAsia="黑体" w:cs="Times New Roman"/>
                <w:snapToGrid w:val="0"/>
                <w:color w:val="auto"/>
                <w:spacing w:val="-6"/>
                <w:kern w:val="21"/>
                <w:sz w:val="21"/>
                <w:szCs w:val="21"/>
                <w:highlight w:val="none"/>
                <w:lang w:val="en-US" w:eastAsia="zh-CN" w:bidi="ar-SA"/>
              </w:rPr>
              <w:instrText xml:space="preserve"> = 4 \* GB3 \* MERGEFORMAT </w:instrText>
            </w:r>
            <w:r>
              <w:rPr>
                <w:rFonts w:ascii="黑体" w:hAnsi="黑体" w:eastAsia="黑体" w:cs="Times New Roman"/>
                <w:snapToGrid w:val="0"/>
                <w:color w:val="auto"/>
                <w:spacing w:val="-6"/>
                <w:kern w:val="21"/>
                <w:sz w:val="21"/>
                <w:szCs w:val="21"/>
                <w:highlight w:val="none"/>
                <w:lang w:val="en-US" w:eastAsia="zh-CN" w:bidi="ar-SA"/>
              </w:rPr>
              <w:fldChar w:fldCharType="separate"/>
            </w:r>
            <w:r>
              <w:rPr>
                <w:rFonts w:hint="eastAsia" w:ascii="黑体" w:hAnsi="黑体" w:eastAsia="黑体" w:cs="宋体"/>
                <w:color w:val="auto"/>
                <w:kern w:val="2"/>
                <w:sz w:val="21"/>
                <w:szCs w:val="21"/>
                <w:highlight w:val="none"/>
                <w:lang w:val="en-US" w:eastAsia="zh-CN" w:bidi="ar-SA"/>
              </w:rPr>
              <w:t>④</w:t>
            </w:r>
            <w:r>
              <w:rPr>
                <w:rFonts w:ascii="黑体" w:hAnsi="黑体" w:eastAsia="黑体" w:cs="Times New Roman"/>
                <w:snapToGrid w:val="0"/>
                <w:color w:val="auto"/>
                <w:spacing w:val="-6"/>
                <w:kern w:val="21"/>
                <w:sz w:val="21"/>
                <w:szCs w:val="21"/>
                <w:highlight w:val="none"/>
                <w:lang w:val="en-US" w:eastAsia="zh-CN" w:bidi="ar-SA"/>
              </w:rPr>
              <w:fldChar w:fldCharType="end"/>
            </w:r>
          </w:p>
        </w:tc>
        <w:tc>
          <w:tcPr>
            <w:tcW w:w="1575" w:type="dxa"/>
            <w:noWrap w:val="0"/>
            <w:tcMar>
              <w:left w:w="28" w:type="dxa"/>
              <w:right w:w="28" w:type="dxa"/>
            </w:tcMar>
            <w:vAlign w:val="center"/>
          </w:tcPr>
          <w:p w14:paraId="3252FF12">
            <w:pPr>
              <w:widowControl w:val="0"/>
              <w:adjustRightInd/>
              <w:snapToGrid/>
              <w:spacing w:before="0" w:beforeLines="0" w:after="0" w:afterLines="0" w:line="240" w:lineRule="auto"/>
              <w:ind w:right="0"/>
              <w:jc w:val="center"/>
              <w:rPr>
                <w:rFonts w:hint="eastAsia" w:ascii="黑体" w:hAnsi="黑体" w:eastAsia="黑体" w:cs="Times New Roman"/>
                <w:snapToGrid w:val="0"/>
                <w:color w:val="auto"/>
                <w:spacing w:val="-16"/>
                <w:kern w:val="21"/>
                <w:sz w:val="21"/>
                <w:szCs w:val="21"/>
                <w:highlight w:val="none"/>
                <w:lang w:val="en-US" w:eastAsia="zh-CN" w:bidi="ar-SA"/>
              </w:rPr>
            </w:pPr>
            <w:r>
              <w:rPr>
                <w:rFonts w:ascii="黑体" w:hAnsi="黑体" w:eastAsia="黑体" w:cs="Times New Roman"/>
                <w:snapToGrid w:val="0"/>
                <w:color w:val="auto"/>
                <w:spacing w:val="-16"/>
                <w:kern w:val="21"/>
                <w:sz w:val="21"/>
                <w:szCs w:val="21"/>
                <w:highlight w:val="none"/>
                <w:lang w:val="en-US" w:eastAsia="zh-CN" w:bidi="ar-SA"/>
              </w:rPr>
              <w:t>以新带老削减量</w:t>
            </w:r>
          </w:p>
          <w:p w14:paraId="210F3E7F">
            <w:pPr>
              <w:widowControl w:val="0"/>
              <w:adjustRightInd/>
              <w:snapToGrid/>
              <w:spacing w:before="0" w:beforeLines="0" w:after="0" w:afterLines="0" w:line="240" w:lineRule="auto"/>
              <w:ind w:right="0"/>
              <w:jc w:val="center"/>
              <w:rPr>
                <w:rFonts w:ascii="黑体" w:hAnsi="黑体" w:eastAsia="黑体" w:cs="Times New Roman"/>
                <w:snapToGrid w:val="0"/>
                <w:color w:val="auto"/>
                <w:spacing w:val="-16"/>
                <w:kern w:val="21"/>
                <w:sz w:val="21"/>
                <w:szCs w:val="21"/>
                <w:highlight w:val="none"/>
                <w:lang w:val="en-US" w:eastAsia="zh-CN" w:bidi="ar-SA"/>
              </w:rPr>
            </w:pPr>
            <w:r>
              <w:rPr>
                <w:rFonts w:ascii="黑体" w:hAnsi="黑体" w:eastAsia="黑体" w:cs="Times New Roman"/>
                <w:snapToGrid w:val="0"/>
                <w:color w:val="auto"/>
                <w:spacing w:val="-16"/>
                <w:kern w:val="21"/>
                <w:sz w:val="21"/>
                <w:szCs w:val="21"/>
                <w:highlight w:val="none"/>
                <w:lang w:val="en-US" w:eastAsia="zh-CN" w:bidi="ar-SA"/>
              </w:rPr>
              <w:t>（新建项目不填）</w:t>
            </w:r>
            <w:r>
              <w:rPr>
                <w:rFonts w:ascii="黑体" w:hAnsi="黑体" w:eastAsia="黑体" w:cs="Times New Roman"/>
                <w:snapToGrid w:val="0"/>
                <w:color w:val="auto"/>
                <w:spacing w:val="-16"/>
                <w:kern w:val="21"/>
                <w:sz w:val="21"/>
                <w:szCs w:val="21"/>
                <w:highlight w:val="none"/>
                <w:lang w:val="en-US" w:eastAsia="zh-CN" w:bidi="ar-SA"/>
              </w:rPr>
              <w:fldChar w:fldCharType="begin"/>
            </w:r>
            <w:r>
              <w:rPr>
                <w:rFonts w:ascii="黑体" w:hAnsi="黑体" w:eastAsia="黑体" w:cs="Times New Roman"/>
                <w:snapToGrid w:val="0"/>
                <w:color w:val="auto"/>
                <w:spacing w:val="-16"/>
                <w:kern w:val="21"/>
                <w:sz w:val="21"/>
                <w:szCs w:val="21"/>
                <w:highlight w:val="none"/>
                <w:lang w:val="en-US" w:eastAsia="zh-CN" w:bidi="ar-SA"/>
              </w:rPr>
              <w:instrText xml:space="preserve"> = 5 \* GB3 \* MERGEFORMAT </w:instrText>
            </w:r>
            <w:r>
              <w:rPr>
                <w:rFonts w:ascii="黑体" w:hAnsi="黑体" w:eastAsia="黑体" w:cs="Times New Roman"/>
                <w:snapToGrid w:val="0"/>
                <w:color w:val="auto"/>
                <w:spacing w:val="-16"/>
                <w:kern w:val="21"/>
                <w:sz w:val="21"/>
                <w:szCs w:val="21"/>
                <w:highlight w:val="none"/>
                <w:lang w:val="en-US" w:eastAsia="zh-CN" w:bidi="ar-SA"/>
              </w:rPr>
              <w:fldChar w:fldCharType="separate"/>
            </w:r>
            <w:r>
              <w:rPr>
                <w:rFonts w:hint="eastAsia" w:ascii="黑体" w:hAnsi="黑体" w:eastAsia="黑体" w:cs="宋体"/>
                <w:color w:val="auto"/>
                <w:kern w:val="2"/>
                <w:sz w:val="21"/>
                <w:szCs w:val="21"/>
                <w:highlight w:val="none"/>
                <w:lang w:val="en-US" w:eastAsia="zh-CN" w:bidi="ar-SA"/>
              </w:rPr>
              <w:t>⑤</w:t>
            </w:r>
            <w:r>
              <w:rPr>
                <w:rFonts w:ascii="黑体" w:hAnsi="黑体" w:eastAsia="黑体" w:cs="Times New Roman"/>
                <w:snapToGrid w:val="0"/>
                <w:color w:val="auto"/>
                <w:spacing w:val="-16"/>
                <w:kern w:val="21"/>
                <w:sz w:val="21"/>
                <w:szCs w:val="21"/>
                <w:highlight w:val="none"/>
                <w:lang w:val="en-US" w:eastAsia="zh-CN" w:bidi="ar-SA"/>
              </w:rPr>
              <w:fldChar w:fldCharType="end"/>
            </w:r>
          </w:p>
        </w:tc>
        <w:tc>
          <w:tcPr>
            <w:tcW w:w="1705" w:type="dxa"/>
            <w:noWrap w:val="0"/>
            <w:tcMar>
              <w:left w:w="28" w:type="dxa"/>
              <w:right w:w="28" w:type="dxa"/>
            </w:tcMar>
            <w:vAlign w:val="center"/>
          </w:tcPr>
          <w:p w14:paraId="6E69ED48">
            <w:pPr>
              <w:widowControl w:val="0"/>
              <w:adjustRightInd/>
              <w:snapToGrid/>
              <w:spacing w:before="0" w:beforeLines="0" w:after="0" w:afterLines="0" w:line="240" w:lineRule="auto"/>
              <w:ind w:right="0"/>
              <w:jc w:val="center"/>
              <w:rPr>
                <w:rFonts w:hint="eastAsia" w:ascii="黑体" w:hAnsi="黑体" w:eastAsia="黑体" w:cs="Times New Roman"/>
                <w:snapToGrid w:val="0"/>
                <w:color w:val="auto"/>
                <w:spacing w:val="-16"/>
                <w:kern w:val="21"/>
                <w:sz w:val="21"/>
                <w:szCs w:val="21"/>
                <w:highlight w:val="none"/>
                <w:lang w:val="en-US" w:eastAsia="zh-CN" w:bidi="ar-SA"/>
              </w:rPr>
            </w:pPr>
            <w:r>
              <w:rPr>
                <w:rFonts w:ascii="黑体" w:hAnsi="黑体" w:eastAsia="黑体" w:cs="Times New Roman"/>
                <w:snapToGrid w:val="0"/>
                <w:color w:val="auto"/>
                <w:spacing w:val="-16"/>
                <w:kern w:val="21"/>
                <w:sz w:val="21"/>
                <w:szCs w:val="21"/>
                <w:highlight w:val="none"/>
                <w:lang w:val="en-US" w:eastAsia="zh-CN" w:bidi="ar-SA"/>
              </w:rPr>
              <w:t>本项目建成后</w:t>
            </w:r>
          </w:p>
          <w:p w14:paraId="1866E308">
            <w:pPr>
              <w:widowControl w:val="0"/>
              <w:adjustRightInd/>
              <w:snapToGrid/>
              <w:spacing w:before="0" w:beforeLines="0" w:after="0" w:afterLines="0" w:line="240" w:lineRule="auto"/>
              <w:ind w:right="0"/>
              <w:jc w:val="center"/>
              <w:rPr>
                <w:rFonts w:ascii="黑体" w:hAnsi="黑体" w:eastAsia="黑体" w:cs="Times New Roman"/>
                <w:snapToGrid w:val="0"/>
                <w:color w:val="auto"/>
                <w:spacing w:val="-16"/>
                <w:kern w:val="21"/>
                <w:sz w:val="21"/>
                <w:szCs w:val="21"/>
                <w:highlight w:val="none"/>
                <w:lang w:val="en-US" w:eastAsia="zh-CN" w:bidi="ar-SA"/>
              </w:rPr>
            </w:pPr>
            <w:r>
              <w:rPr>
                <w:rFonts w:hint="eastAsia" w:ascii="黑体" w:hAnsi="黑体" w:eastAsia="黑体" w:cs="Times New Roman"/>
                <w:snapToGrid w:val="0"/>
                <w:color w:val="auto"/>
                <w:spacing w:val="-16"/>
                <w:kern w:val="21"/>
                <w:sz w:val="21"/>
                <w:szCs w:val="21"/>
                <w:highlight w:val="none"/>
                <w:lang w:val="en-US" w:eastAsia="zh-CN" w:bidi="ar-SA"/>
              </w:rPr>
              <w:t>全厂</w:t>
            </w:r>
            <w:r>
              <w:rPr>
                <w:rFonts w:ascii="黑体" w:hAnsi="黑体" w:eastAsia="黑体" w:cs="Times New Roman"/>
                <w:snapToGrid w:val="0"/>
                <w:color w:val="auto"/>
                <w:spacing w:val="-16"/>
                <w:kern w:val="21"/>
                <w:sz w:val="21"/>
                <w:szCs w:val="21"/>
                <w:highlight w:val="none"/>
                <w:lang w:val="en-US" w:eastAsia="zh-CN" w:bidi="ar-SA"/>
              </w:rPr>
              <w:t>排放量（固</w:t>
            </w:r>
            <w:r>
              <w:rPr>
                <w:rFonts w:hint="eastAsia" w:ascii="黑体" w:hAnsi="黑体" w:eastAsia="黑体" w:cs="Times New Roman"/>
                <w:snapToGrid w:val="0"/>
                <w:color w:val="auto"/>
                <w:spacing w:val="-16"/>
                <w:kern w:val="21"/>
                <w:sz w:val="21"/>
                <w:szCs w:val="21"/>
                <w:highlight w:val="none"/>
                <w:lang w:val="en-US" w:eastAsia="zh-CN" w:bidi="ar-SA"/>
              </w:rPr>
              <w:t>体</w:t>
            </w:r>
            <w:r>
              <w:rPr>
                <w:rFonts w:ascii="黑体" w:hAnsi="黑体" w:eastAsia="黑体" w:cs="Times New Roman"/>
                <w:snapToGrid w:val="0"/>
                <w:color w:val="auto"/>
                <w:spacing w:val="-16"/>
                <w:kern w:val="21"/>
                <w:sz w:val="21"/>
                <w:szCs w:val="21"/>
                <w:highlight w:val="none"/>
                <w:lang w:val="en-US" w:eastAsia="zh-CN" w:bidi="ar-SA"/>
              </w:rPr>
              <w:t>废</w:t>
            </w:r>
            <w:r>
              <w:rPr>
                <w:rFonts w:hint="eastAsia" w:ascii="黑体" w:hAnsi="黑体" w:eastAsia="黑体" w:cs="Times New Roman"/>
                <w:snapToGrid w:val="0"/>
                <w:color w:val="auto"/>
                <w:spacing w:val="-16"/>
                <w:kern w:val="21"/>
                <w:sz w:val="21"/>
                <w:szCs w:val="21"/>
                <w:highlight w:val="none"/>
                <w:lang w:val="en-US" w:eastAsia="zh-CN" w:bidi="ar-SA"/>
              </w:rPr>
              <w:t>物</w:t>
            </w:r>
            <w:r>
              <w:rPr>
                <w:rFonts w:ascii="黑体" w:hAnsi="黑体" w:eastAsia="黑体" w:cs="Times New Roman"/>
                <w:snapToGrid w:val="0"/>
                <w:color w:val="auto"/>
                <w:spacing w:val="-16"/>
                <w:kern w:val="21"/>
                <w:sz w:val="21"/>
                <w:szCs w:val="21"/>
                <w:highlight w:val="none"/>
                <w:lang w:val="en-US" w:eastAsia="zh-CN" w:bidi="ar-SA"/>
              </w:rPr>
              <w:t>产生量）</w:t>
            </w:r>
            <w:r>
              <w:rPr>
                <w:rFonts w:ascii="黑体" w:hAnsi="黑体" w:eastAsia="黑体" w:cs="Times New Roman"/>
                <w:snapToGrid w:val="0"/>
                <w:color w:val="auto"/>
                <w:spacing w:val="-16"/>
                <w:kern w:val="21"/>
                <w:sz w:val="21"/>
                <w:szCs w:val="21"/>
                <w:highlight w:val="none"/>
                <w:lang w:val="en-US" w:eastAsia="zh-CN" w:bidi="ar-SA"/>
              </w:rPr>
              <w:fldChar w:fldCharType="begin"/>
            </w:r>
            <w:r>
              <w:rPr>
                <w:rFonts w:ascii="黑体" w:hAnsi="黑体" w:eastAsia="黑体" w:cs="Times New Roman"/>
                <w:snapToGrid w:val="0"/>
                <w:color w:val="auto"/>
                <w:spacing w:val="-16"/>
                <w:kern w:val="21"/>
                <w:sz w:val="21"/>
                <w:szCs w:val="21"/>
                <w:highlight w:val="none"/>
                <w:lang w:val="en-US" w:eastAsia="zh-CN" w:bidi="ar-SA"/>
              </w:rPr>
              <w:instrText xml:space="preserve"> = 6 \* GB3 \* MERGEFORMAT </w:instrText>
            </w:r>
            <w:r>
              <w:rPr>
                <w:rFonts w:ascii="黑体" w:hAnsi="黑体" w:eastAsia="黑体" w:cs="Times New Roman"/>
                <w:snapToGrid w:val="0"/>
                <w:color w:val="auto"/>
                <w:spacing w:val="-16"/>
                <w:kern w:val="21"/>
                <w:sz w:val="21"/>
                <w:szCs w:val="21"/>
                <w:highlight w:val="none"/>
                <w:lang w:val="en-US" w:eastAsia="zh-CN" w:bidi="ar-SA"/>
              </w:rPr>
              <w:fldChar w:fldCharType="separate"/>
            </w:r>
            <w:r>
              <w:rPr>
                <w:rFonts w:hint="eastAsia" w:ascii="黑体" w:hAnsi="黑体" w:eastAsia="黑体" w:cs="宋体"/>
                <w:color w:val="auto"/>
                <w:kern w:val="2"/>
                <w:sz w:val="21"/>
                <w:szCs w:val="21"/>
                <w:highlight w:val="none"/>
                <w:lang w:val="en-US" w:eastAsia="zh-CN" w:bidi="ar-SA"/>
              </w:rPr>
              <w:t>⑥</w:t>
            </w:r>
            <w:r>
              <w:rPr>
                <w:rFonts w:ascii="黑体" w:hAnsi="黑体" w:eastAsia="黑体" w:cs="Times New Roman"/>
                <w:snapToGrid w:val="0"/>
                <w:color w:val="auto"/>
                <w:spacing w:val="-16"/>
                <w:kern w:val="21"/>
                <w:sz w:val="21"/>
                <w:szCs w:val="21"/>
                <w:highlight w:val="none"/>
                <w:lang w:val="en-US" w:eastAsia="zh-CN" w:bidi="ar-SA"/>
              </w:rPr>
              <w:fldChar w:fldCharType="end"/>
            </w:r>
          </w:p>
        </w:tc>
        <w:tc>
          <w:tcPr>
            <w:tcW w:w="1360" w:type="dxa"/>
            <w:noWrap w:val="0"/>
            <w:tcMar>
              <w:left w:w="28" w:type="dxa"/>
              <w:right w:w="28" w:type="dxa"/>
            </w:tcMar>
            <w:vAlign w:val="center"/>
          </w:tcPr>
          <w:p w14:paraId="4CB3DCDF">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t>变化量</w:t>
            </w:r>
          </w:p>
          <w:p w14:paraId="025D29D7">
            <w:pPr>
              <w:widowControl w:val="0"/>
              <w:adjustRightInd/>
              <w:snapToGrid/>
              <w:spacing w:before="0" w:beforeLines="0" w:after="0" w:afterLines="0" w:line="240" w:lineRule="auto"/>
              <w:ind w:right="0"/>
              <w:jc w:val="center"/>
              <w:rPr>
                <w:rFonts w:ascii="黑体" w:hAnsi="黑体" w:eastAsia="黑体" w:cs="Times New Roman"/>
                <w:snapToGrid w:val="0"/>
                <w:color w:val="auto"/>
                <w:spacing w:val="-6"/>
                <w:kern w:val="21"/>
                <w:sz w:val="21"/>
                <w:szCs w:val="21"/>
                <w:highlight w:val="none"/>
                <w:lang w:val="en-US" w:eastAsia="zh-CN" w:bidi="ar-SA"/>
              </w:rPr>
            </w:pPr>
            <w:r>
              <w:rPr>
                <w:rFonts w:ascii="黑体" w:hAnsi="黑体" w:eastAsia="黑体" w:cs="Times New Roman"/>
                <w:snapToGrid w:val="0"/>
                <w:color w:val="auto"/>
                <w:spacing w:val="-6"/>
                <w:kern w:val="21"/>
                <w:sz w:val="21"/>
                <w:szCs w:val="21"/>
                <w:highlight w:val="none"/>
                <w:lang w:val="en-US" w:eastAsia="zh-CN" w:bidi="ar-SA"/>
              </w:rPr>
              <w:fldChar w:fldCharType="begin"/>
            </w:r>
            <w:r>
              <w:rPr>
                <w:rFonts w:ascii="黑体" w:hAnsi="黑体" w:eastAsia="黑体" w:cs="Times New Roman"/>
                <w:snapToGrid w:val="0"/>
                <w:color w:val="auto"/>
                <w:spacing w:val="-6"/>
                <w:kern w:val="21"/>
                <w:sz w:val="21"/>
                <w:szCs w:val="21"/>
                <w:highlight w:val="none"/>
                <w:lang w:val="en-US" w:eastAsia="zh-CN" w:bidi="ar-SA"/>
              </w:rPr>
              <w:instrText xml:space="preserve"> = 7 \* GB3 \* MERGEFORMAT </w:instrText>
            </w:r>
            <w:r>
              <w:rPr>
                <w:rFonts w:ascii="黑体" w:hAnsi="黑体" w:eastAsia="黑体" w:cs="Times New Roman"/>
                <w:snapToGrid w:val="0"/>
                <w:color w:val="auto"/>
                <w:spacing w:val="-6"/>
                <w:kern w:val="21"/>
                <w:sz w:val="21"/>
                <w:szCs w:val="21"/>
                <w:highlight w:val="none"/>
                <w:lang w:val="en-US" w:eastAsia="zh-CN" w:bidi="ar-SA"/>
              </w:rPr>
              <w:fldChar w:fldCharType="separate"/>
            </w:r>
            <w:r>
              <w:rPr>
                <w:rFonts w:hint="eastAsia" w:ascii="黑体" w:hAnsi="黑体" w:eastAsia="黑体" w:cs="宋体"/>
                <w:color w:val="auto"/>
                <w:kern w:val="2"/>
                <w:sz w:val="21"/>
                <w:szCs w:val="21"/>
                <w:highlight w:val="none"/>
                <w:lang w:val="en-US" w:eastAsia="zh-CN" w:bidi="ar-SA"/>
              </w:rPr>
              <w:t>⑦</w:t>
            </w:r>
            <w:r>
              <w:rPr>
                <w:rFonts w:ascii="黑体" w:hAnsi="黑体" w:eastAsia="黑体" w:cs="Times New Roman"/>
                <w:snapToGrid w:val="0"/>
                <w:color w:val="auto"/>
                <w:spacing w:val="-6"/>
                <w:kern w:val="21"/>
                <w:sz w:val="21"/>
                <w:szCs w:val="21"/>
                <w:highlight w:val="none"/>
                <w:lang w:val="en-US" w:eastAsia="zh-CN" w:bidi="ar-SA"/>
              </w:rPr>
              <w:fldChar w:fldCharType="end"/>
            </w:r>
          </w:p>
        </w:tc>
      </w:tr>
      <w:tr w14:paraId="036CDB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restart"/>
            <w:noWrap w:val="0"/>
            <w:vAlign w:val="center"/>
          </w:tcPr>
          <w:p w14:paraId="723E4F7A">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废气</w:t>
            </w:r>
          </w:p>
        </w:tc>
        <w:tc>
          <w:tcPr>
            <w:tcW w:w="1707" w:type="dxa"/>
            <w:noWrap w:val="0"/>
            <w:vAlign w:val="center"/>
          </w:tcPr>
          <w:p w14:paraId="0DCEAE99">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color w:val="auto"/>
                <w:spacing w:val="0"/>
                <w:w w:val="100"/>
                <w:position w:val="0"/>
                <w:sz w:val="21"/>
                <w:szCs w:val="21"/>
                <w:highlight w:val="none"/>
                <w:lang w:val="en-US" w:eastAsia="zh-CN"/>
              </w:rPr>
              <w:t>二氧化硫</w:t>
            </w:r>
          </w:p>
        </w:tc>
        <w:tc>
          <w:tcPr>
            <w:tcW w:w="1701" w:type="dxa"/>
            <w:noWrap w:val="0"/>
            <w:vAlign w:val="center"/>
          </w:tcPr>
          <w:p w14:paraId="2320081D">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0.155</w:t>
            </w:r>
          </w:p>
        </w:tc>
        <w:tc>
          <w:tcPr>
            <w:tcW w:w="1276" w:type="dxa"/>
            <w:noWrap w:val="0"/>
            <w:vAlign w:val="center"/>
          </w:tcPr>
          <w:p w14:paraId="7CA050F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5.94</w:t>
            </w:r>
          </w:p>
        </w:tc>
        <w:tc>
          <w:tcPr>
            <w:tcW w:w="1701" w:type="dxa"/>
            <w:noWrap w:val="0"/>
            <w:vAlign w:val="center"/>
          </w:tcPr>
          <w:p w14:paraId="093693D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C41FB4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575" w:type="dxa"/>
            <w:noWrap w:val="0"/>
            <w:vAlign w:val="center"/>
          </w:tcPr>
          <w:p w14:paraId="6A7CF67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0D39201C">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0.155</w:t>
            </w:r>
          </w:p>
        </w:tc>
        <w:tc>
          <w:tcPr>
            <w:tcW w:w="1360" w:type="dxa"/>
            <w:noWrap w:val="0"/>
            <w:vAlign w:val="center"/>
          </w:tcPr>
          <w:p w14:paraId="6797E4FA">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cs="Times New Roman"/>
                <w:i w:val="0"/>
                <w:iCs w:val="0"/>
                <w:color w:val="auto"/>
                <w:kern w:val="0"/>
                <w:sz w:val="21"/>
                <w:szCs w:val="21"/>
                <w:highlight w:val="none"/>
                <w:u w:val="none"/>
                <w:lang w:val="en-US" w:eastAsia="zh-CN" w:bidi="ar"/>
              </w:rPr>
              <w:t>0</w:t>
            </w:r>
          </w:p>
        </w:tc>
      </w:tr>
      <w:tr w14:paraId="0CD26F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98" w:type="dxa"/>
            <w:vMerge w:val="continue"/>
            <w:noWrap w:val="0"/>
            <w:vAlign w:val="center"/>
          </w:tcPr>
          <w:p w14:paraId="343930D9">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7CED042B">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color w:val="auto"/>
                <w:spacing w:val="0"/>
                <w:w w:val="100"/>
                <w:position w:val="0"/>
                <w:sz w:val="21"/>
                <w:szCs w:val="21"/>
                <w:highlight w:val="none"/>
                <w:lang w:val="en-US" w:eastAsia="zh-CN"/>
              </w:rPr>
              <w:t>氮氧化物</w:t>
            </w:r>
          </w:p>
        </w:tc>
        <w:tc>
          <w:tcPr>
            <w:tcW w:w="1701" w:type="dxa"/>
            <w:noWrap w:val="0"/>
            <w:vAlign w:val="center"/>
          </w:tcPr>
          <w:p w14:paraId="6D9ECC42">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276" w:type="dxa"/>
            <w:noWrap w:val="0"/>
            <w:vAlign w:val="center"/>
          </w:tcPr>
          <w:p w14:paraId="5A1790E3">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3A32524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195213E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575" w:type="dxa"/>
            <w:noWrap w:val="0"/>
            <w:vAlign w:val="center"/>
          </w:tcPr>
          <w:p w14:paraId="2160363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4AC69154">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w:t>
            </w:r>
          </w:p>
        </w:tc>
        <w:tc>
          <w:tcPr>
            <w:tcW w:w="1360" w:type="dxa"/>
            <w:noWrap w:val="0"/>
            <w:vAlign w:val="center"/>
          </w:tcPr>
          <w:p w14:paraId="5A9B28CE">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cs="Times New Roman"/>
                <w:i w:val="0"/>
                <w:iCs w:val="0"/>
                <w:color w:val="auto"/>
                <w:kern w:val="0"/>
                <w:sz w:val="21"/>
                <w:szCs w:val="21"/>
                <w:highlight w:val="none"/>
                <w:u w:val="none"/>
                <w:lang w:val="en-US" w:eastAsia="zh-CN" w:bidi="ar"/>
              </w:rPr>
              <w:t>0</w:t>
            </w:r>
          </w:p>
        </w:tc>
      </w:tr>
      <w:tr w14:paraId="02FBA8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609BEF80">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23FAED19">
            <w:pPr>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t>颗粒物</w:t>
            </w:r>
          </w:p>
        </w:tc>
        <w:tc>
          <w:tcPr>
            <w:tcW w:w="1701" w:type="dxa"/>
            <w:noWrap w:val="0"/>
            <w:vAlign w:val="center"/>
          </w:tcPr>
          <w:p w14:paraId="7A3C724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1.211</w:t>
            </w:r>
          </w:p>
        </w:tc>
        <w:tc>
          <w:tcPr>
            <w:tcW w:w="1276" w:type="dxa"/>
            <w:noWrap w:val="0"/>
            <w:vAlign w:val="center"/>
          </w:tcPr>
          <w:p w14:paraId="73F5F61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81.435</w:t>
            </w:r>
          </w:p>
        </w:tc>
        <w:tc>
          <w:tcPr>
            <w:tcW w:w="1701" w:type="dxa"/>
            <w:noWrap w:val="0"/>
            <w:vAlign w:val="center"/>
          </w:tcPr>
          <w:p w14:paraId="56EBB04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121996A0">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1.425</w:t>
            </w:r>
          </w:p>
        </w:tc>
        <w:tc>
          <w:tcPr>
            <w:tcW w:w="1575" w:type="dxa"/>
            <w:noWrap w:val="0"/>
            <w:vAlign w:val="center"/>
          </w:tcPr>
          <w:p w14:paraId="28DA060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bidi="ar-SA"/>
              </w:rPr>
              <w:t>0.355</w:t>
            </w:r>
          </w:p>
        </w:tc>
        <w:tc>
          <w:tcPr>
            <w:tcW w:w="1705" w:type="dxa"/>
            <w:noWrap w:val="0"/>
            <w:vAlign w:val="center"/>
          </w:tcPr>
          <w:p w14:paraId="7B778896">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2.281</w:t>
            </w:r>
          </w:p>
        </w:tc>
        <w:tc>
          <w:tcPr>
            <w:tcW w:w="1360" w:type="dxa"/>
            <w:noWrap w:val="0"/>
            <w:vAlign w:val="center"/>
          </w:tcPr>
          <w:p w14:paraId="77CAF3E7">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w:t>
            </w:r>
            <w:r>
              <w:rPr>
                <w:rFonts w:hint="default" w:ascii="Times New Roman" w:hAnsi="Times New Roman" w:eastAsia="宋体" w:cs="Times New Roman"/>
                <w:color w:val="auto"/>
                <w:spacing w:val="0"/>
                <w:w w:val="100"/>
                <w:kern w:val="2"/>
                <w:position w:val="0"/>
                <w:sz w:val="21"/>
                <w:szCs w:val="21"/>
                <w:highlight w:val="none"/>
                <w:lang w:val="en-US" w:eastAsia="zh-CN" w:bidi="ar-SA"/>
              </w:rPr>
              <w:t>1.07</w:t>
            </w:r>
          </w:p>
        </w:tc>
      </w:tr>
      <w:tr w14:paraId="619D6B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24E2B3DC">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41471D7E">
            <w:pPr>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t>非甲烷总烃</w:t>
            </w:r>
          </w:p>
        </w:tc>
        <w:tc>
          <w:tcPr>
            <w:tcW w:w="1701" w:type="dxa"/>
            <w:noWrap w:val="0"/>
            <w:vAlign w:val="center"/>
          </w:tcPr>
          <w:p w14:paraId="52C9391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6.529</w:t>
            </w:r>
          </w:p>
        </w:tc>
        <w:tc>
          <w:tcPr>
            <w:tcW w:w="1276" w:type="dxa"/>
            <w:noWrap w:val="0"/>
            <w:vAlign w:val="center"/>
          </w:tcPr>
          <w:p w14:paraId="3BEEB4E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122.95</w:t>
            </w:r>
          </w:p>
        </w:tc>
        <w:tc>
          <w:tcPr>
            <w:tcW w:w="1701" w:type="dxa"/>
            <w:noWrap w:val="0"/>
            <w:vAlign w:val="center"/>
          </w:tcPr>
          <w:p w14:paraId="5B68CE8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-0.029</w:t>
            </w:r>
          </w:p>
        </w:tc>
        <w:tc>
          <w:tcPr>
            <w:tcW w:w="1465" w:type="dxa"/>
            <w:noWrap w:val="0"/>
            <w:vAlign w:val="center"/>
          </w:tcPr>
          <w:p w14:paraId="03ABAEDA">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575" w:type="dxa"/>
            <w:noWrap w:val="0"/>
            <w:vAlign w:val="center"/>
          </w:tcPr>
          <w:p w14:paraId="5584A0F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31C9E2F9">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6.5</w:t>
            </w:r>
          </w:p>
        </w:tc>
        <w:tc>
          <w:tcPr>
            <w:tcW w:w="1360" w:type="dxa"/>
            <w:noWrap w:val="0"/>
            <w:vAlign w:val="center"/>
          </w:tcPr>
          <w:p w14:paraId="7A078D97">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-0.029</w:t>
            </w:r>
          </w:p>
        </w:tc>
      </w:tr>
      <w:tr w14:paraId="4E29D0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779C6093">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0239C4B9">
            <w:pPr>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t>甲醇</w:t>
            </w:r>
          </w:p>
        </w:tc>
        <w:tc>
          <w:tcPr>
            <w:tcW w:w="1701" w:type="dxa"/>
            <w:noWrap w:val="0"/>
            <w:vAlign w:val="center"/>
          </w:tcPr>
          <w:p w14:paraId="368A58F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2.474</w:t>
            </w:r>
          </w:p>
        </w:tc>
        <w:tc>
          <w:tcPr>
            <w:tcW w:w="1276" w:type="dxa"/>
            <w:noWrap w:val="0"/>
            <w:vAlign w:val="center"/>
          </w:tcPr>
          <w:p w14:paraId="0ACAAF2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5675C842">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1C30606">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575" w:type="dxa"/>
            <w:noWrap w:val="0"/>
            <w:vAlign w:val="center"/>
          </w:tcPr>
          <w:p w14:paraId="5A4ECF3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0FF590A5">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2.474</w:t>
            </w:r>
          </w:p>
        </w:tc>
        <w:tc>
          <w:tcPr>
            <w:tcW w:w="1360" w:type="dxa"/>
            <w:noWrap w:val="0"/>
            <w:vAlign w:val="center"/>
          </w:tcPr>
          <w:p w14:paraId="5BD49DD0">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w:t>
            </w:r>
          </w:p>
        </w:tc>
      </w:tr>
      <w:tr w14:paraId="3760B84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49D9C00F">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329679E3">
            <w:pPr>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t>氨</w:t>
            </w:r>
          </w:p>
        </w:tc>
        <w:tc>
          <w:tcPr>
            <w:tcW w:w="1701" w:type="dxa"/>
            <w:noWrap w:val="0"/>
            <w:vAlign w:val="center"/>
          </w:tcPr>
          <w:p w14:paraId="5E78A57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0.848</w:t>
            </w:r>
          </w:p>
        </w:tc>
        <w:tc>
          <w:tcPr>
            <w:tcW w:w="1276" w:type="dxa"/>
            <w:noWrap w:val="0"/>
            <w:vAlign w:val="center"/>
          </w:tcPr>
          <w:p w14:paraId="5D9DC0E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4E0D599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-0.009</w:t>
            </w:r>
          </w:p>
        </w:tc>
        <w:tc>
          <w:tcPr>
            <w:tcW w:w="1465" w:type="dxa"/>
            <w:noWrap w:val="0"/>
            <w:vAlign w:val="center"/>
          </w:tcPr>
          <w:p w14:paraId="697E5574">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0.003</w:t>
            </w:r>
          </w:p>
        </w:tc>
        <w:tc>
          <w:tcPr>
            <w:tcW w:w="1575" w:type="dxa"/>
            <w:noWrap w:val="0"/>
            <w:vAlign w:val="center"/>
          </w:tcPr>
          <w:p w14:paraId="22AF13F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0.002</w:t>
            </w:r>
          </w:p>
        </w:tc>
        <w:tc>
          <w:tcPr>
            <w:tcW w:w="1705" w:type="dxa"/>
            <w:noWrap w:val="0"/>
            <w:vAlign w:val="center"/>
          </w:tcPr>
          <w:p w14:paraId="6ECE5422">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kern w:val="2"/>
                <w:position w:val="0"/>
                <w:sz w:val="21"/>
                <w:szCs w:val="21"/>
                <w:highlight w:val="none"/>
                <w:lang w:val="en-US" w:eastAsia="zh-CN" w:bidi="ar-SA"/>
              </w:rPr>
              <w:t xml:space="preserve">0.849 </w:t>
            </w:r>
          </w:p>
        </w:tc>
        <w:tc>
          <w:tcPr>
            <w:tcW w:w="1360" w:type="dxa"/>
            <w:noWrap w:val="0"/>
            <w:vAlign w:val="center"/>
          </w:tcPr>
          <w:p w14:paraId="01F20F7F">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+0.001</w:t>
            </w:r>
          </w:p>
        </w:tc>
      </w:tr>
      <w:tr w14:paraId="0AC9B4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0FE17EC8">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29E8BD17">
            <w:pPr>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b w:val="0"/>
                <w:bCs w:val="0"/>
                <w:color w:val="auto"/>
                <w:spacing w:val="0"/>
                <w:w w:val="100"/>
                <w:kern w:val="2"/>
                <w:position w:val="0"/>
                <w:sz w:val="21"/>
                <w:szCs w:val="21"/>
                <w:highlight w:val="none"/>
                <w:lang w:val="en-US" w:eastAsia="zh-CN" w:bidi="ar-SA"/>
              </w:rPr>
            </w:pPr>
            <w:r>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t>甲醛</w:t>
            </w:r>
          </w:p>
        </w:tc>
        <w:tc>
          <w:tcPr>
            <w:tcW w:w="1701" w:type="dxa"/>
            <w:noWrap w:val="0"/>
            <w:vAlign w:val="center"/>
          </w:tcPr>
          <w:p w14:paraId="60DEF0E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1.290</w:t>
            </w:r>
          </w:p>
        </w:tc>
        <w:tc>
          <w:tcPr>
            <w:tcW w:w="1276" w:type="dxa"/>
            <w:noWrap w:val="0"/>
            <w:vAlign w:val="center"/>
          </w:tcPr>
          <w:p w14:paraId="50665103">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269C30A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B1E665E">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575" w:type="dxa"/>
            <w:noWrap w:val="0"/>
            <w:vAlign w:val="center"/>
          </w:tcPr>
          <w:p w14:paraId="6755F2FA">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2EBBD52A">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1.290</w:t>
            </w:r>
          </w:p>
        </w:tc>
        <w:tc>
          <w:tcPr>
            <w:tcW w:w="1360" w:type="dxa"/>
            <w:noWrap w:val="0"/>
            <w:vAlign w:val="center"/>
          </w:tcPr>
          <w:p w14:paraId="1380C484">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0</w:t>
            </w:r>
          </w:p>
        </w:tc>
      </w:tr>
      <w:tr w14:paraId="27A50D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1298" w:type="dxa"/>
            <w:vMerge w:val="continue"/>
            <w:noWrap w:val="0"/>
            <w:vAlign w:val="center"/>
          </w:tcPr>
          <w:p w14:paraId="5CD75C42">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59C5EB4D">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pPr>
            <w:r>
              <w:rPr>
                <w:rFonts w:hint="default" w:ascii="Times New Roman" w:hAnsi="Times New Roman" w:eastAsia="宋体" w:cs="Times New Roman"/>
                <w:b w:val="0"/>
                <w:bCs w:val="0"/>
                <w:color w:val="auto"/>
                <w:spacing w:val="0"/>
                <w:w w:val="100"/>
                <w:position w:val="0"/>
                <w:sz w:val="21"/>
                <w:szCs w:val="21"/>
                <w:highlight w:val="none"/>
                <w:lang w:val="en-US" w:eastAsia="zh-CN"/>
              </w:rPr>
              <w:t>硫化氢</w:t>
            </w:r>
          </w:p>
        </w:tc>
        <w:tc>
          <w:tcPr>
            <w:tcW w:w="1701" w:type="dxa"/>
            <w:noWrap w:val="0"/>
            <w:vAlign w:val="center"/>
          </w:tcPr>
          <w:p w14:paraId="0D91B78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0.189</w:t>
            </w:r>
          </w:p>
        </w:tc>
        <w:tc>
          <w:tcPr>
            <w:tcW w:w="1276" w:type="dxa"/>
            <w:noWrap w:val="0"/>
            <w:vAlign w:val="center"/>
          </w:tcPr>
          <w:p w14:paraId="14C47241">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6CDDA61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55B08312">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0.00006</w:t>
            </w:r>
          </w:p>
        </w:tc>
        <w:tc>
          <w:tcPr>
            <w:tcW w:w="1575" w:type="dxa"/>
            <w:noWrap w:val="0"/>
            <w:vAlign w:val="center"/>
          </w:tcPr>
          <w:p w14:paraId="7BD16C0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0.00003</w:t>
            </w:r>
          </w:p>
        </w:tc>
        <w:tc>
          <w:tcPr>
            <w:tcW w:w="1705" w:type="dxa"/>
            <w:noWrap w:val="0"/>
            <w:vAlign w:val="center"/>
          </w:tcPr>
          <w:p w14:paraId="4D7AF72D">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0.189</w:t>
            </w:r>
          </w:p>
        </w:tc>
        <w:tc>
          <w:tcPr>
            <w:tcW w:w="1360" w:type="dxa"/>
            <w:noWrap w:val="0"/>
            <w:vAlign w:val="center"/>
          </w:tcPr>
          <w:p w14:paraId="5B9DB226">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eastAsia" w:cs="Times New Roman"/>
                <w:i w:val="0"/>
                <w:iCs w:val="0"/>
                <w:color w:val="auto"/>
                <w:spacing w:val="0"/>
                <w:w w:val="100"/>
                <w:kern w:val="0"/>
                <w:position w:val="0"/>
                <w:sz w:val="21"/>
                <w:szCs w:val="21"/>
                <w:highlight w:val="none"/>
                <w:u w:val="none"/>
                <w:lang w:val="en-US" w:eastAsia="zh-CN" w:bidi="ar"/>
              </w:rPr>
              <w:t>+0.00003</w:t>
            </w:r>
          </w:p>
        </w:tc>
      </w:tr>
      <w:tr w14:paraId="4E2AB7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1726FEA7">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66DB8F88">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b w:val="0"/>
                <w:bCs w:val="0"/>
                <w:i w:val="0"/>
                <w:iCs w:val="0"/>
                <w:color w:val="auto"/>
                <w:spacing w:val="0"/>
                <w:w w:val="100"/>
                <w:kern w:val="0"/>
                <w:position w:val="0"/>
                <w:sz w:val="21"/>
                <w:szCs w:val="21"/>
                <w:highlight w:val="none"/>
                <w:u w:val="none"/>
                <w:lang w:val="en-US" w:eastAsia="zh-CN" w:bidi="ar"/>
              </w:rPr>
            </w:pPr>
            <w:r>
              <w:rPr>
                <w:rFonts w:hint="default" w:ascii="Times New Roman" w:hAnsi="Times New Roman" w:eastAsia="宋体" w:cs="Times New Roman"/>
                <w:b w:val="0"/>
                <w:bCs w:val="0"/>
                <w:color w:val="auto"/>
                <w:spacing w:val="0"/>
                <w:w w:val="100"/>
                <w:position w:val="0"/>
                <w:sz w:val="21"/>
                <w:szCs w:val="21"/>
                <w:highlight w:val="none"/>
                <w:lang w:val="en-US" w:eastAsia="zh-CN"/>
              </w:rPr>
              <w:t>氯化氢</w:t>
            </w:r>
          </w:p>
        </w:tc>
        <w:tc>
          <w:tcPr>
            <w:tcW w:w="1701" w:type="dxa"/>
            <w:noWrap w:val="0"/>
            <w:vAlign w:val="center"/>
          </w:tcPr>
          <w:p w14:paraId="17639CB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1.977</w:t>
            </w:r>
          </w:p>
        </w:tc>
        <w:tc>
          <w:tcPr>
            <w:tcW w:w="1276" w:type="dxa"/>
            <w:noWrap w:val="0"/>
            <w:vAlign w:val="center"/>
          </w:tcPr>
          <w:p w14:paraId="48ED228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244E35CD">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785EA747">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eastAsia" w:cs="Times New Roman"/>
                <w:snapToGrid w:val="0"/>
                <w:color w:val="auto"/>
                <w:kern w:val="21"/>
                <w:sz w:val="21"/>
                <w:szCs w:val="21"/>
                <w:highlight w:val="none"/>
                <w:lang w:val="en-US" w:eastAsia="zh-CN" w:bidi="ar-SA"/>
              </w:rPr>
              <w:t>0</w:t>
            </w:r>
          </w:p>
        </w:tc>
        <w:tc>
          <w:tcPr>
            <w:tcW w:w="1575" w:type="dxa"/>
            <w:noWrap w:val="0"/>
            <w:vAlign w:val="center"/>
          </w:tcPr>
          <w:p w14:paraId="2E23A792">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4FB48809">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1.977</w:t>
            </w:r>
          </w:p>
        </w:tc>
        <w:tc>
          <w:tcPr>
            <w:tcW w:w="1360" w:type="dxa"/>
            <w:noWrap w:val="0"/>
            <w:vAlign w:val="center"/>
          </w:tcPr>
          <w:p w14:paraId="4E04EFAB">
            <w:pPr>
              <w:keepNext w:val="0"/>
              <w:keepLines w:val="0"/>
              <w:pageBreakBefore w:val="0"/>
              <w:widowControl/>
              <w:suppressLineNumbers w:val="0"/>
              <w:kinsoku/>
              <w:wordWrap/>
              <w:overflowPunct/>
              <w:topLinePunct w:val="0"/>
              <w:bidi w:val="0"/>
              <w:adjustRightInd/>
              <w:snapToGrid/>
              <w:spacing w:before="0" w:beforeAutospacing="0" w:after="0" w:afterAutospacing="0" w:line="240" w:lineRule="auto"/>
              <w:ind w:left="0" w:leftChars="0" w:right="0" w:rightChars="0" w:firstLine="0" w:firstLineChars="0"/>
              <w:jc w:val="center"/>
              <w:textAlignment w:val="center"/>
              <w:rPr>
                <w:rFonts w:hint="eastAsia" w:ascii="Times New Roman" w:hAnsi="Times New Roman" w:eastAsia="宋体" w:cs="Times New Roman"/>
                <w:i w:val="0"/>
                <w:iCs w:val="0"/>
                <w:color w:val="auto"/>
                <w:spacing w:val="0"/>
                <w:w w:val="100"/>
                <w:kern w:val="0"/>
                <w:position w:val="0"/>
                <w:sz w:val="21"/>
                <w:szCs w:val="21"/>
                <w:highlight w:val="none"/>
                <w:u w:val="none"/>
                <w:lang w:val="en-US" w:eastAsia="zh-CN" w:bidi="ar"/>
              </w:rPr>
            </w:pPr>
            <w:r>
              <w:rPr>
                <w:rFonts w:hint="eastAsia" w:ascii="Times New Roman" w:hAnsi="Times New Roman" w:cs="Times New Roman"/>
                <w:i w:val="0"/>
                <w:iCs w:val="0"/>
                <w:color w:val="auto"/>
                <w:kern w:val="0"/>
                <w:sz w:val="21"/>
                <w:szCs w:val="21"/>
                <w:highlight w:val="none"/>
                <w:u w:val="none"/>
                <w:lang w:val="en-US" w:eastAsia="zh-CN" w:bidi="ar"/>
              </w:rPr>
              <w:t>0</w:t>
            </w:r>
          </w:p>
        </w:tc>
      </w:tr>
      <w:tr w14:paraId="6E77A4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restart"/>
            <w:noWrap w:val="0"/>
            <w:vAlign w:val="center"/>
          </w:tcPr>
          <w:p w14:paraId="2F8CC7F0">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color w:val="auto"/>
                <w:kern w:val="0"/>
                <w:sz w:val="21"/>
                <w:szCs w:val="21"/>
                <w:highlight w:val="none"/>
                <w:vertAlign w:val="baseline"/>
                <w:lang w:val="en-US" w:eastAsia="zh-CN" w:bidi="ar-SA"/>
              </w:rPr>
              <w:t>废水</w:t>
            </w:r>
          </w:p>
        </w:tc>
        <w:tc>
          <w:tcPr>
            <w:tcW w:w="1707" w:type="dxa"/>
            <w:noWrap w:val="0"/>
            <w:vAlign w:val="center"/>
          </w:tcPr>
          <w:p w14:paraId="6F3F60E4">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COD</w:t>
            </w:r>
          </w:p>
        </w:tc>
        <w:tc>
          <w:tcPr>
            <w:tcW w:w="1701" w:type="dxa"/>
            <w:noWrap w:val="0"/>
            <w:vAlign w:val="center"/>
          </w:tcPr>
          <w:p w14:paraId="301B817D">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13.310</w:t>
            </w:r>
          </w:p>
        </w:tc>
        <w:tc>
          <w:tcPr>
            <w:tcW w:w="1276" w:type="dxa"/>
            <w:noWrap w:val="0"/>
            <w:vAlign w:val="center"/>
          </w:tcPr>
          <w:p w14:paraId="73D5F0D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54.595</w:t>
            </w:r>
          </w:p>
        </w:tc>
        <w:tc>
          <w:tcPr>
            <w:tcW w:w="1701" w:type="dxa"/>
            <w:noWrap w:val="0"/>
            <w:vAlign w:val="center"/>
          </w:tcPr>
          <w:p w14:paraId="1C0A275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-0.003</w:t>
            </w:r>
          </w:p>
        </w:tc>
        <w:tc>
          <w:tcPr>
            <w:tcW w:w="1465" w:type="dxa"/>
            <w:noWrap w:val="0"/>
            <w:vAlign w:val="center"/>
          </w:tcPr>
          <w:p w14:paraId="6387440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default" w:ascii="Times New Roman" w:hAnsi="Times New Roman" w:eastAsia="宋体" w:cs="Times New Roman"/>
                <w:snapToGrid w:val="0"/>
                <w:color w:val="0000FF"/>
                <w:kern w:val="21"/>
                <w:sz w:val="21"/>
                <w:szCs w:val="21"/>
                <w:highlight w:val="none"/>
                <w:lang w:val="en-US" w:eastAsia="zh-CN" w:bidi="ar-SA"/>
              </w:rPr>
              <w:t>0.22</w:t>
            </w:r>
          </w:p>
        </w:tc>
        <w:tc>
          <w:tcPr>
            <w:tcW w:w="1575" w:type="dxa"/>
            <w:noWrap w:val="0"/>
            <w:vAlign w:val="center"/>
          </w:tcPr>
          <w:p w14:paraId="2208817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default" w:ascii="Times New Roman" w:hAnsi="Times New Roman" w:eastAsia="宋体" w:cs="Times New Roman"/>
                <w:snapToGrid w:val="0"/>
                <w:color w:val="0000FF"/>
                <w:kern w:val="21"/>
                <w:sz w:val="21"/>
                <w:szCs w:val="21"/>
                <w:highlight w:val="none"/>
                <w:lang w:val="en-US" w:eastAsia="zh-CN" w:bidi="ar-SA"/>
              </w:rPr>
              <w:t>0.093</w:t>
            </w:r>
          </w:p>
        </w:tc>
        <w:tc>
          <w:tcPr>
            <w:tcW w:w="1705" w:type="dxa"/>
            <w:noWrap w:val="0"/>
            <w:vAlign w:val="center"/>
          </w:tcPr>
          <w:p w14:paraId="742F012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default" w:ascii="Times New Roman" w:hAnsi="Times New Roman" w:eastAsia="宋体" w:cs="Times New Roman"/>
                <w:snapToGrid w:val="0"/>
                <w:color w:val="0000FF"/>
                <w:kern w:val="21"/>
                <w:sz w:val="21"/>
                <w:szCs w:val="21"/>
                <w:highlight w:val="none"/>
                <w:lang w:val="en-US" w:eastAsia="zh-CN" w:bidi="ar-SA"/>
              </w:rPr>
              <w:t>13.434</w:t>
            </w:r>
          </w:p>
        </w:tc>
        <w:tc>
          <w:tcPr>
            <w:tcW w:w="1360" w:type="dxa"/>
            <w:noWrap w:val="0"/>
            <w:vAlign w:val="center"/>
          </w:tcPr>
          <w:p w14:paraId="74E39BD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eastAsia" w:ascii="Times New Roman" w:hAnsi="Times New Roman" w:eastAsia="宋体" w:cs="Times New Roman"/>
                <w:snapToGrid w:val="0"/>
                <w:color w:val="0000FF"/>
                <w:kern w:val="21"/>
                <w:sz w:val="21"/>
                <w:szCs w:val="21"/>
                <w:highlight w:val="none"/>
                <w:lang w:val="en-US" w:eastAsia="zh-CN" w:bidi="ar-SA"/>
              </w:rPr>
              <w:t>+</w:t>
            </w:r>
            <w:r>
              <w:rPr>
                <w:rFonts w:hint="default" w:ascii="Times New Roman" w:hAnsi="Times New Roman" w:eastAsia="宋体" w:cs="Times New Roman"/>
                <w:snapToGrid w:val="0"/>
                <w:color w:val="0000FF"/>
                <w:kern w:val="21"/>
                <w:sz w:val="21"/>
                <w:szCs w:val="21"/>
                <w:highlight w:val="none"/>
                <w:lang w:val="en-US" w:eastAsia="zh-CN" w:bidi="ar-SA"/>
              </w:rPr>
              <w:t>0.124</w:t>
            </w:r>
          </w:p>
        </w:tc>
      </w:tr>
      <w:tr w14:paraId="2A0A9A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6DC90377">
            <w:pPr>
              <w:widowControl w:val="0"/>
              <w:adjustRightInd/>
              <w:snapToGrid/>
              <w:spacing w:before="0" w:beforeLines="0" w:after="0" w:afterLines="0" w:line="240" w:lineRule="auto"/>
              <w:ind w:right="0"/>
              <w:jc w:val="center"/>
              <w:rPr>
                <w:rFonts w:hint="eastAsia" w:ascii="Times New Roman" w:hAnsi="Times New Roman" w:eastAsia="宋体" w:cs="Times New Roman"/>
                <w:color w:val="auto"/>
                <w:kern w:val="0"/>
                <w:sz w:val="21"/>
                <w:szCs w:val="21"/>
                <w:highlight w:val="none"/>
                <w:vertAlign w:val="baseline"/>
                <w:lang w:val="en-US" w:eastAsia="zh-CN" w:bidi="ar-SA"/>
              </w:rPr>
            </w:pPr>
          </w:p>
        </w:tc>
        <w:tc>
          <w:tcPr>
            <w:tcW w:w="1707" w:type="dxa"/>
            <w:noWrap w:val="0"/>
            <w:vAlign w:val="center"/>
          </w:tcPr>
          <w:p w14:paraId="4278988A">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氨氮</w:t>
            </w:r>
          </w:p>
        </w:tc>
        <w:tc>
          <w:tcPr>
            <w:tcW w:w="1701" w:type="dxa"/>
            <w:noWrap w:val="0"/>
            <w:vAlign w:val="center"/>
          </w:tcPr>
          <w:p w14:paraId="60D5BDB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0.721</w:t>
            </w:r>
          </w:p>
        </w:tc>
        <w:tc>
          <w:tcPr>
            <w:tcW w:w="1276" w:type="dxa"/>
            <w:noWrap w:val="0"/>
            <w:vAlign w:val="center"/>
          </w:tcPr>
          <w:p w14:paraId="5731AAA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5.887</w:t>
            </w:r>
          </w:p>
        </w:tc>
        <w:tc>
          <w:tcPr>
            <w:tcW w:w="1701" w:type="dxa"/>
            <w:noWrap w:val="0"/>
            <w:vAlign w:val="center"/>
          </w:tcPr>
          <w:p w14:paraId="61A51223">
            <w:pPr>
              <w:widowControl w:val="0"/>
              <w:adjustRightInd/>
              <w:snapToGrid/>
              <w:spacing w:before="0" w:beforeLines="0" w:after="0" w:afterLines="0" w:line="240" w:lineRule="auto"/>
              <w:ind w:right="0" w:rightChars="0"/>
              <w:jc w:val="center"/>
              <w:rPr>
                <w:rFonts w:hint="eastAsia"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76C940E1">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default" w:ascii="Times New Roman" w:hAnsi="Times New Roman" w:eastAsia="宋体" w:cs="Times New Roman"/>
                <w:snapToGrid w:val="0"/>
                <w:color w:val="0000FF"/>
                <w:kern w:val="21"/>
                <w:sz w:val="21"/>
                <w:szCs w:val="21"/>
                <w:highlight w:val="none"/>
                <w:lang w:val="en-US" w:eastAsia="zh-CN" w:bidi="ar-SA"/>
              </w:rPr>
              <w:t>0.006</w:t>
            </w:r>
          </w:p>
        </w:tc>
        <w:tc>
          <w:tcPr>
            <w:tcW w:w="1575" w:type="dxa"/>
            <w:noWrap w:val="0"/>
            <w:vAlign w:val="center"/>
          </w:tcPr>
          <w:p w14:paraId="1DBEBDF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default" w:ascii="Times New Roman" w:hAnsi="Times New Roman" w:eastAsia="宋体" w:cs="Times New Roman"/>
                <w:snapToGrid w:val="0"/>
                <w:color w:val="0000FF"/>
                <w:kern w:val="21"/>
                <w:sz w:val="21"/>
                <w:szCs w:val="21"/>
                <w:highlight w:val="none"/>
                <w:lang w:val="en-US" w:eastAsia="zh-CN" w:bidi="ar-SA"/>
              </w:rPr>
              <w:t>0.002</w:t>
            </w:r>
          </w:p>
        </w:tc>
        <w:tc>
          <w:tcPr>
            <w:tcW w:w="1705" w:type="dxa"/>
            <w:noWrap w:val="0"/>
            <w:vAlign w:val="center"/>
          </w:tcPr>
          <w:p w14:paraId="4447E37D">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default" w:ascii="Times New Roman" w:hAnsi="Times New Roman" w:eastAsia="宋体" w:cs="Times New Roman"/>
                <w:snapToGrid w:val="0"/>
                <w:color w:val="0000FF"/>
                <w:kern w:val="21"/>
                <w:sz w:val="21"/>
                <w:szCs w:val="21"/>
                <w:highlight w:val="none"/>
                <w:lang w:val="en-US" w:eastAsia="zh-CN" w:bidi="ar-SA"/>
              </w:rPr>
              <w:t>0.725</w:t>
            </w:r>
          </w:p>
        </w:tc>
        <w:tc>
          <w:tcPr>
            <w:tcW w:w="1360" w:type="dxa"/>
            <w:noWrap w:val="0"/>
            <w:vAlign w:val="center"/>
          </w:tcPr>
          <w:p w14:paraId="03936D6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0000FF"/>
                <w:kern w:val="21"/>
                <w:sz w:val="21"/>
                <w:szCs w:val="21"/>
                <w:highlight w:val="none"/>
                <w:lang w:val="en-US" w:eastAsia="zh-CN" w:bidi="ar-SA"/>
              </w:rPr>
            </w:pPr>
            <w:r>
              <w:rPr>
                <w:rFonts w:hint="eastAsia" w:ascii="Times New Roman" w:hAnsi="Times New Roman" w:eastAsia="宋体" w:cs="Times New Roman"/>
                <w:snapToGrid w:val="0"/>
                <w:color w:val="0000FF"/>
                <w:kern w:val="21"/>
                <w:sz w:val="21"/>
                <w:szCs w:val="21"/>
                <w:highlight w:val="none"/>
                <w:lang w:val="en-US" w:eastAsia="zh-CN" w:bidi="ar-SA"/>
              </w:rPr>
              <w:t>+</w:t>
            </w:r>
            <w:r>
              <w:rPr>
                <w:rFonts w:hint="default" w:ascii="Times New Roman" w:hAnsi="Times New Roman" w:eastAsia="宋体" w:cs="Times New Roman"/>
                <w:snapToGrid w:val="0"/>
                <w:color w:val="0000FF"/>
                <w:kern w:val="21"/>
                <w:sz w:val="21"/>
                <w:szCs w:val="21"/>
                <w:highlight w:val="none"/>
                <w:lang w:val="en-US" w:eastAsia="zh-CN" w:bidi="ar-SA"/>
              </w:rPr>
              <w:t>0.004</w:t>
            </w:r>
          </w:p>
        </w:tc>
      </w:tr>
      <w:tr w14:paraId="016469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restart"/>
            <w:noWrap w:val="0"/>
            <w:vAlign w:val="center"/>
          </w:tcPr>
          <w:p w14:paraId="765597C1">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一般工业</w:t>
            </w:r>
          </w:p>
          <w:p w14:paraId="5365E435">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固体废物</w:t>
            </w:r>
          </w:p>
        </w:tc>
        <w:tc>
          <w:tcPr>
            <w:tcW w:w="1707" w:type="dxa"/>
            <w:noWrap w:val="0"/>
            <w:vAlign w:val="center"/>
          </w:tcPr>
          <w:p w14:paraId="5FC81FE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污泥</w:t>
            </w:r>
          </w:p>
        </w:tc>
        <w:tc>
          <w:tcPr>
            <w:tcW w:w="1701" w:type="dxa"/>
            <w:noWrap w:val="0"/>
            <w:vAlign w:val="center"/>
          </w:tcPr>
          <w:p w14:paraId="0850634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500</w:t>
            </w:r>
          </w:p>
        </w:tc>
        <w:tc>
          <w:tcPr>
            <w:tcW w:w="1276" w:type="dxa"/>
            <w:noWrap w:val="0"/>
            <w:vAlign w:val="center"/>
          </w:tcPr>
          <w:p w14:paraId="5D54B48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2B66CA5D">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216A6C7B">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cs="Times New Roman"/>
                <w:color w:val="auto"/>
                <w:spacing w:val="0"/>
                <w:w w:val="100"/>
                <w:kern w:val="2"/>
                <w:position w:val="0"/>
                <w:sz w:val="21"/>
                <w:szCs w:val="21"/>
                <w:highlight w:val="none"/>
                <w:lang w:val="en-US" w:eastAsia="zh-CN" w:bidi="ar-SA"/>
              </w:rPr>
              <w:t>1.48</w:t>
            </w:r>
          </w:p>
        </w:tc>
        <w:tc>
          <w:tcPr>
            <w:tcW w:w="1575" w:type="dxa"/>
            <w:noWrap w:val="0"/>
            <w:vAlign w:val="center"/>
          </w:tcPr>
          <w:p w14:paraId="7C0CA696">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4E4FE55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501.48</w:t>
            </w:r>
          </w:p>
        </w:tc>
        <w:tc>
          <w:tcPr>
            <w:tcW w:w="1360" w:type="dxa"/>
            <w:noWrap w:val="0"/>
            <w:vAlign w:val="center"/>
          </w:tcPr>
          <w:p w14:paraId="2138B01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+1.48</w:t>
            </w:r>
          </w:p>
        </w:tc>
      </w:tr>
      <w:tr w14:paraId="35B02D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111EB108">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2238AFE8">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生产工艺脱色废活性炭</w:t>
            </w:r>
            <w:r>
              <w:rPr>
                <w:rFonts w:hint="eastAsia" w:cs="Times New Roman"/>
                <w:color w:val="auto"/>
                <w:spacing w:val="0"/>
                <w:w w:val="100"/>
                <w:position w:val="0"/>
                <w:sz w:val="21"/>
                <w:szCs w:val="21"/>
                <w:highlight w:val="none"/>
                <w:lang w:val="en-US" w:eastAsia="zh-CN"/>
              </w:rPr>
              <w:t>（精制脱色工序）</w:t>
            </w:r>
          </w:p>
        </w:tc>
        <w:tc>
          <w:tcPr>
            <w:tcW w:w="1701" w:type="dxa"/>
            <w:noWrap w:val="0"/>
            <w:vAlign w:val="center"/>
          </w:tcPr>
          <w:p w14:paraId="41A57B5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168</w:t>
            </w:r>
          </w:p>
        </w:tc>
        <w:tc>
          <w:tcPr>
            <w:tcW w:w="1276" w:type="dxa"/>
            <w:noWrap w:val="0"/>
            <w:vAlign w:val="center"/>
          </w:tcPr>
          <w:p w14:paraId="73D9AB2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5C6D08F5">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B512EF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5F9F9F5A">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09CC83D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168</w:t>
            </w:r>
          </w:p>
        </w:tc>
        <w:tc>
          <w:tcPr>
            <w:tcW w:w="1360" w:type="dxa"/>
            <w:noWrap w:val="0"/>
            <w:vAlign w:val="center"/>
          </w:tcPr>
          <w:p w14:paraId="52C171E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r>
      <w:tr w14:paraId="7E45AA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396A7D9D">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3BB1B0B8">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废外包装材料</w:t>
            </w:r>
          </w:p>
        </w:tc>
        <w:tc>
          <w:tcPr>
            <w:tcW w:w="1701" w:type="dxa"/>
            <w:noWrap w:val="0"/>
            <w:vAlign w:val="center"/>
          </w:tcPr>
          <w:p w14:paraId="0B1E7F1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20.5</w:t>
            </w:r>
          </w:p>
        </w:tc>
        <w:tc>
          <w:tcPr>
            <w:tcW w:w="1276" w:type="dxa"/>
            <w:noWrap w:val="0"/>
            <w:vAlign w:val="center"/>
          </w:tcPr>
          <w:p w14:paraId="38924163">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02522AD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0882767D">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0.28</w:t>
            </w:r>
          </w:p>
        </w:tc>
        <w:tc>
          <w:tcPr>
            <w:tcW w:w="1575" w:type="dxa"/>
            <w:noWrap w:val="0"/>
            <w:vAlign w:val="center"/>
          </w:tcPr>
          <w:p w14:paraId="0B022A9D">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0.045</w:t>
            </w:r>
          </w:p>
        </w:tc>
        <w:tc>
          <w:tcPr>
            <w:tcW w:w="1705" w:type="dxa"/>
            <w:noWrap w:val="0"/>
            <w:vAlign w:val="center"/>
          </w:tcPr>
          <w:p w14:paraId="5285191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20.735</w:t>
            </w:r>
          </w:p>
        </w:tc>
        <w:tc>
          <w:tcPr>
            <w:tcW w:w="1360" w:type="dxa"/>
            <w:noWrap w:val="0"/>
            <w:vAlign w:val="center"/>
          </w:tcPr>
          <w:p w14:paraId="41011BA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w:t>
            </w:r>
            <w:r>
              <w:rPr>
                <w:rFonts w:hint="default" w:ascii="Times New Roman" w:hAnsi="Times New Roman" w:eastAsia="宋体" w:cs="Times New Roman"/>
                <w:snapToGrid w:val="0"/>
                <w:color w:val="auto"/>
                <w:kern w:val="21"/>
                <w:sz w:val="21"/>
                <w:szCs w:val="21"/>
                <w:highlight w:val="none"/>
                <w:lang w:val="en-US" w:eastAsia="zh-CN" w:bidi="ar-SA"/>
              </w:rPr>
              <w:t>0.235</w:t>
            </w:r>
          </w:p>
        </w:tc>
      </w:tr>
      <w:tr w14:paraId="6853933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1298" w:type="dxa"/>
            <w:vMerge w:val="continue"/>
            <w:noWrap w:val="0"/>
            <w:vAlign w:val="center"/>
          </w:tcPr>
          <w:p w14:paraId="0D321398">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701FD09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废反渗透膜</w:t>
            </w:r>
          </w:p>
        </w:tc>
        <w:tc>
          <w:tcPr>
            <w:tcW w:w="1701" w:type="dxa"/>
            <w:noWrap w:val="0"/>
            <w:vAlign w:val="center"/>
          </w:tcPr>
          <w:p w14:paraId="759E697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0.2</w:t>
            </w:r>
          </w:p>
        </w:tc>
        <w:tc>
          <w:tcPr>
            <w:tcW w:w="1276" w:type="dxa"/>
            <w:noWrap w:val="0"/>
            <w:vAlign w:val="center"/>
          </w:tcPr>
          <w:p w14:paraId="2F80EFC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7F0DDF32">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6FE288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0.2</w:t>
            </w:r>
          </w:p>
        </w:tc>
        <w:tc>
          <w:tcPr>
            <w:tcW w:w="1575" w:type="dxa"/>
            <w:noWrap w:val="0"/>
            <w:vAlign w:val="center"/>
          </w:tcPr>
          <w:p w14:paraId="57AA499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0.03</w:t>
            </w:r>
          </w:p>
        </w:tc>
        <w:tc>
          <w:tcPr>
            <w:tcW w:w="1705" w:type="dxa"/>
            <w:noWrap w:val="0"/>
            <w:vAlign w:val="center"/>
          </w:tcPr>
          <w:p w14:paraId="6AF9F621">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0.37</w:t>
            </w:r>
          </w:p>
        </w:tc>
        <w:tc>
          <w:tcPr>
            <w:tcW w:w="1360" w:type="dxa"/>
            <w:noWrap w:val="0"/>
            <w:vAlign w:val="center"/>
          </w:tcPr>
          <w:p w14:paraId="673698F3">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w:t>
            </w:r>
            <w:r>
              <w:rPr>
                <w:rFonts w:hint="default" w:ascii="Times New Roman" w:hAnsi="Times New Roman" w:eastAsia="宋体" w:cs="Times New Roman"/>
                <w:snapToGrid w:val="0"/>
                <w:color w:val="auto"/>
                <w:kern w:val="21"/>
                <w:sz w:val="21"/>
                <w:szCs w:val="21"/>
                <w:highlight w:val="none"/>
                <w:lang w:val="en-US" w:eastAsia="zh-CN" w:bidi="ar-SA"/>
              </w:rPr>
              <w:t>0.17</w:t>
            </w:r>
          </w:p>
        </w:tc>
      </w:tr>
      <w:tr w14:paraId="6F1C13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0950DE54">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307B38C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废布袋</w:t>
            </w:r>
          </w:p>
        </w:tc>
        <w:tc>
          <w:tcPr>
            <w:tcW w:w="1701" w:type="dxa"/>
            <w:noWrap w:val="0"/>
            <w:vAlign w:val="center"/>
          </w:tcPr>
          <w:p w14:paraId="69383513">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0.2</w:t>
            </w:r>
          </w:p>
        </w:tc>
        <w:tc>
          <w:tcPr>
            <w:tcW w:w="1276" w:type="dxa"/>
            <w:noWrap w:val="0"/>
            <w:vAlign w:val="center"/>
          </w:tcPr>
          <w:p w14:paraId="0AC939E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51A2F04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681CB20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0.05</w:t>
            </w:r>
          </w:p>
        </w:tc>
        <w:tc>
          <w:tcPr>
            <w:tcW w:w="1575" w:type="dxa"/>
            <w:noWrap w:val="0"/>
            <w:vAlign w:val="center"/>
          </w:tcPr>
          <w:p w14:paraId="6C7C8AFA">
            <w:pPr>
              <w:widowControl w:val="0"/>
              <w:adjustRightInd/>
              <w:snapToGrid/>
              <w:spacing w:before="0" w:beforeLines="0" w:after="0" w:afterLines="0" w:line="240" w:lineRule="auto"/>
              <w:ind w:right="0" w:rightChars="0"/>
              <w:jc w:val="center"/>
              <w:rPr>
                <w:rFonts w:hint="default"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0.01</w:t>
            </w:r>
          </w:p>
        </w:tc>
        <w:tc>
          <w:tcPr>
            <w:tcW w:w="1705" w:type="dxa"/>
            <w:noWrap w:val="0"/>
            <w:vAlign w:val="center"/>
          </w:tcPr>
          <w:p w14:paraId="42F7A1E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0.24</w:t>
            </w:r>
          </w:p>
        </w:tc>
        <w:tc>
          <w:tcPr>
            <w:tcW w:w="1360" w:type="dxa"/>
            <w:noWrap w:val="0"/>
            <w:vAlign w:val="center"/>
          </w:tcPr>
          <w:p w14:paraId="343932C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w:t>
            </w:r>
            <w:r>
              <w:rPr>
                <w:rFonts w:hint="default" w:ascii="Times New Roman" w:hAnsi="Times New Roman" w:eastAsia="宋体" w:cs="Times New Roman"/>
                <w:snapToGrid w:val="0"/>
                <w:color w:val="auto"/>
                <w:kern w:val="21"/>
                <w:sz w:val="21"/>
                <w:szCs w:val="21"/>
                <w:highlight w:val="none"/>
                <w:lang w:val="en-US" w:eastAsia="zh-CN" w:bidi="ar-SA"/>
              </w:rPr>
              <w:t>0.04</w:t>
            </w:r>
          </w:p>
        </w:tc>
      </w:tr>
      <w:tr w14:paraId="07F91A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7" w:hRule="atLeast"/>
          <w:jc w:val="center"/>
        </w:trPr>
        <w:tc>
          <w:tcPr>
            <w:tcW w:w="1298" w:type="dxa"/>
            <w:vMerge w:val="continue"/>
            <w:noWrap w:val="0"/>
            <w:vAlign w:val="center"/>
          </w:tcPr>
          <w:p w14:paraId="066C83A3">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7C241B7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eastAsia" w:cs="Times New Roman"/>
                <w:color w:val="auto"/>
                <w:sz w:val="21"/>
                <w:szCs w:val="21"/>
                <w:highlight w:val="none"/>
                <w:lang w:val="en-US" w:eastAsia="zh-CN"/>
              </w:rPr>
              <w:t>除尘灰</w:t>
            </w:r>
          </w:p>
        </w:tc>
        <w:tc>
          <w:tcPr>
            <w:tcW w:w="1701" w:type="dxa"/>
            <w:noWrap w:val="0"/>
            <w:vAlign w:val="center"/>
          </w:tcPr>
          <w:p w14:paraId="155CEA0A">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3.866</w:t>
            </w:r>
          </w:p>
        </w:tc>
        <w:tc>
          <w:tcPr>
            <w:tcW w:w="1276" w:type="dxa"/>
            <w:noWrap w:val="0"/>
            <w:vAlign w:val="center"/>
          </w:tcPr>
          <w:p w14:paraId="279073A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4A26A25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1A395711">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0</w:t>
            </w:r>
          </w:p>
        </w:tc>
        <w:tc>
          <w:tcPr>
            <w:tcW w:w="1575" w:type="dxa"/>
            <w:noWrap w:val="0"/>
            <w:vAlign w:val="center"/>
          </w:tcPr>
          <w:p w14:paraId="1D7FB473">
            <w:pPr>
              <w:keepNext w:val="0"/>
              <w:keepLines w:val="0"/>
              <w:pageBreakBefore w:val="0"/>
              <w:widowControl/>
              <w:suppressLineNumbers w:val="0"/>
              <w:shd w:val="clear"/>
              <w:kinsoku w:val="0"/>
              <w:wordWrap/>
              <w:overflowPunct/>
              <w:topLinePunct w:val="0"/>
              <w:autoSpaceDE w:val="0"/>
              <w:autoSpaceDN w:val="0"/>
              <w:bidi w:val="0"/>
              <w:adjustRightInd w:val="0"/>
              <w:snapToGrid w:val="0"/>
              <w:spacing w:before="0" w:beforeAutospacing="0" w:after="0" w:afterAutospacing="0" w:line="240" w:lineRule="auto"/>
              <w:ind w:left="0" w:leftChars="0" w:right="0" w:rightChars="0" w:firstLine="0" w:firstLineChars="0"/>
              <w:jc w:val="center"/>
              <w:textAlignment w:val="baseline"/>
              <w:rPr>
                <w:rFonts w:hint="default" w:ascii="Times New Roman" w:hAnsi="Times New Roman" w:eastAsia="宋体" w:cs="Times New Roman"/>
                <w:color w:val="auto"/>
                <w:spacing w:val="0"/>
                <w:w w:val="100"/>
                <w:kern w:val="2"/>
                <w:position w:val="0"/>
                <w:sz w:val="21"/>
                <w:szCs w:val="21"/>
                <w:highlight w:val="none"/>
                <w:lang w:val="en-US" w:eastAsia="zh-CN" w:bidi="ar-SA"/>
              </w:rPr>
            </w:pPr>
            <w:r>
              <w:rPr>
                <w:rFonts w:hint="eastAsia" w:ascii="Times New Roman" w:hAnsi="Times New Roman" w:eastAsia="宋体" w:cs="Times New Roman"/>
                <w:color w:val="auto"/>
                <w:spacing w:val="0"/>
                <w:w w:val="100"/>
                <w:kern w:val="2"/>
                <w:position w:val="0"/>
                <w:sz w:val="21"/>
                <w:szCs w:val="21"/>
                <w:highlight w:val="none"/>
                <w:lang w:val="en-US" w:eastAsia="zh-CN" w:bidi="ar-SA"/>
              </w:rPr>
              <w:t>0</w:t>
            </w:r>
          </w:p>
        </w:tc>
        <w:tc>
          <w:tcPr>
            <w:tcW w:w="1705" w:type="dxa"/>
            <w:noWrap w:val="0"/>
            <w:vAlign w:val="center"/>
          </w:tcPr>
          <w:p w14:paraId="4FE7DE1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3.866</w:t>
            </w:r>
          </w:p>
        </w:tc>
        <w:tc>
          <w:tcPr>
            <w:tcW w:w="1360" w:type="dxa"/>
            <w:noWrap w:val="0"/>
            <w:vAlign w:val="center"/>
          </w:tcPr>
          <w:p w14:paraId="075F5BD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45DAC7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noWrap w:val="0"/>
            <w:vAlign w:val="center"/>
          </w:tcPr>
          <w:p w14:paraId="56042E0F">
            <w:pPr>
              <w:widowControl w:val="0"/>
              <w:adjustRightInd/>
              <w:snapToGrid/>
              <w:spacing w:before="0" w:beforeLines="0" w:after="0" w:afterLines="0" w:line="240" w:lineRule="auto"/>
              <w:ind w:right="0"/>
              <w:jc w:val="center"/>
              <w:rPr>
                <w:rFonts w:hint="eastAsia"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固体废物</w:t>
            </w:r>
          </w:p>
        </w:tc>
        <w:tc>
          <w:tcPr>
            <w:tcW w:w="1707" w:type="dxa"/>
            <w:noWrap w:val="0"/>
            <w:vAlign w:val="center"/>
          </w:tcPr>
          <w:p w14:paraId="72EB3D81">
            <w:pPr>
              <w:keepNext w:val="0"/>
              <w:keepLines w:val="0"/>
              <w:widowControl w:val="0"/>
              <w:suppressLineNumbers w:val="0"/>
              <w:spacing w:before="0" w:beforeLines="0" w:beforeAutospacing="0" w:after="0" w:afterLines="0" w:afterAutospacing="0" w:line="240" w:lineRule="auto"/>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eastAsia="宋体"/>
                <w:color w:val="auto"/>
                <w:sz w:val="21"/>
                <w:szCs w:val="21"/>
                <w:highlight w:val="none"/>
                <w:lang w:val="en-US" w:eastAsia="zh-CN"/>
              </w:rPr>
              <w:t>生活垃圾</w:t>
            </w:r>
          </w:p>
        </w:tc>
        <w:tc>
          <w:tcPr>
            <w:tcW w:w="1701" w:type="dxa"/>
            <w:noWrap w:val="0"/>
            <w:vAlign w:val="center"/>
          </w:tcPr>
          <w:p w14:paraId="1AD936F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135</w:t>
            </w:r>
          </w:p>
        </w:tc>
        <w:tc>
          <w:tcPr>
            <w:tcW w:w="1276" w:type="dxa"/>
            <w:noWrap w:val="0"/>
            <w:vAlign w:val="center"/>
          </w:tcPr>
          <w:p w14:paraId="43B1CA0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3C1D293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2C88F7A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7932687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612E05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135</w:t>
            </w:r>
          </w:p>
        </w:tc>
        <w:tc>
          <w:tcPr>
            <w:tcW w:w="1360" w:type="dxa"/>
            <w:noWrap w:val="0"/>
            <w:vAlign w:val="center"/>
          </w:tcPr>
          <w:p w14:paraId="1DD1DB0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2616EF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restart"/>
            <w:noWrap w:val="0"/>
            <w:vAlign w:val="center"/>
          </w:tcPr>
          <w:p w14:paraId="0CDD62EA">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default" w:ascii="Times New Roman" w:hAnsi="Times New Roman" w:eastAsia="宋体" w:cs="Times New Roman"/>
                <w:snapToGrid w:val="0"/>
                <w:color w:val="auto"/>
                <w:kern w:val="21"/>
                <w:sz w:val="21"/>
                <w:szCs w:val="21"/>
                <w:highlight w:val="none"/>
                <w:lang w:val="en-US" w:eastAsia="zh-CN" w:bidi="ar-SA"/>
              </w:rPr>
              <w:t>危险废物</w:t>
            </w:r>
          </w:p>
        </w:tc>
        <w:tc>
          <w:tcPr>
            <w:tcW w:w="1707" w:type="dxa"/>
            <w:noWrap w:val="0"/>
            <w:vAlign w:val="center"/>
          </w:tcPr>
          <w:p w14:paraId="0B2DA8C1">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氯乙酸内包装</w:t>
            </w:r>
          </w:p>
        </w:tc>
        <w:tc>
          <w:tcPr>
            <w:tcW w:w="1701" w:type="dxa"/>
            <w:noWrap w:val="0"/>
            <w:vAlign w:val="center"/>
          </w:tcPr>
          <w:p w14:paraId="7B4F942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5</w:t>
            </w:r>
          </w:p>
        </w:tc>
        <w:tc>
          <w:tcPr>
            <w:tcW w:w="1276" w:type="dxa"/>
            <w:noWrap w:val="0"/>
            <w:vAlign w:val="center"/>
          </w:tcPr>
          <w:p w14:paraId="66E1DCD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7161CFF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5BA53FC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2F20C4A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7676AD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5</w:t>
            </w:r>
          </w:p>
        </w:tc>
        <w:tc>
          <w:tcPr>
            <w:tcW w:w="1360" w:type="dxa"/>
            <w:noWrap w:val="0"/>
            <w:vAlign w:val="center"/>
          </w:tcPr>
          <w:p w14:paraId="7E0D438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027BCB3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2EF558B6">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70D870E9">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在线监测废试剂</w:t>
            </w:r>
          </w:p>
        </w:tc>
        <w:tc>
          <w:tcPr>
            <w:tcW w:w="1701" w:type="dxa"/>
            <w:noWrap w:val="0"/>
            <w:vAlign w:val="center"/>
          </w:tcPr>
          <w:p w14:paraId="0D69483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0.72</w:t>
            </w:r>
          </w:p>
        </w:tc>
        <w:tc>
          <w:tcPr>
            <w:tcW w:w="1276" w:type="dxa"/>
            <w:noWrap w:val="0"/>
            <w:vAlign w:val="center"/>
          </w:tcPr>
          <w:p w14:paraId="5098E0A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09586E5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0936FA6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7A6DC6D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7A336E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0.72</w:t>
            </w:r>
          </w:p>
        </w:tc>
        <w:tc>
          <w:tcPr>
            <w:tcW w:w="1360" w:type="dxa"/>
            <w:noWrap w:val="0"/>
            <w:vAlign w:val="center"/>
          </w:tcPr>
          <w:p w14:paraId="775665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34F1DEC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4F8425A2">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6E72918F">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废矿物油</w:t>
            </w:r>
          </w:p>
        </w:tc>
        <w:tc>
          <w:tcPr>
            <w:tcW w:w="1701" w:type="dxa"/>
            <w:noWrap w:val="0"/>
            <w:vAlign w:val="center"/>
          </w:tcPr>
          <w:p w14:paraId="450E628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3.5</w:t>
            </w:r>
          </w:p>
        </w:tc>
        <w:tc>
          <w:tcPr>
            <w:tcW w:w="1276" w:type="dxa"/>
            <w:noWrap w:val="0"/>
            <w:vAlign w:val="center"/>
          </w:tcPr>
          <w:p w14:paraId="280E90B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0761B44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34CA92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645D474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4710B6A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3.5</w:t>
            </w:r>
          </w:p>
        </w:tc>
        <w:tc>
          <w:tcPr>
            <w:tcW w:w="1360" w:type="dxa"/>
            <w:noWrap w:val="0"/>
            <w:vAlign w:val="center"/>
          </w:tcPr>
          <w:p w14:paraId="4608C16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2207B2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0E6F8636">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6956374B">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废润滑油</w:t>
            </w:r>
          </w:p>
        </w:tc>
        <w:tc>
          <w:tcPr>
            <w:tcW w:w="1701" w:type="dxa"/>
            <w:noWrap w:val="0"/>
            <w:vAlign w:val="center"/>
          </w:tcPr>
          <w:p w14:paraId="2160D847">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1.51</w:t>
            </w:r>
          </w:p>
        </w:tc>
        <w:tc>
          <w:tcPr>
            <w:tcW w:w="1276" w:type="dxa"/>
            <w:noWrap w:val="0"/>
            <w:vAlign w:val="center"/>
          </w:tcPr>
          <w:p w14:paraId="789BBBD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10D91295">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05FE481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0.01</w:t>
            </w:r>
          </w:p>
        </w:tc>
        <w:tc>
          <w:tcPr>
            <w:tcW w:w="1575" w:type="dxa"/>
            <w:noWrap w:val="0"/>
            <w:vAlign w:val="center"/>
          </w:tcPr>
          <w:p w14:paraId="7CEA28D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0.002</w:t>
            </w:r>
          </w:p>
        </w:tc>
        <w:tc>
          <w:tcPr>
            <w:tcW w:w="1705" w:type="dxa"/>
            <w:noWrap w:val="0"/>
            <w:vAlign w:val="center"/>
          </w:tcPr>
          <w:p w14:paraId="263AC2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1.518</w:t>
            </w:r>
          </w:p>
        </w:tc>
        <w:tc>
          <w:tcPr>
            <w:tcW w:w="1360" w:type="dxa"/>
            <w:noWrap w:val="0"/>
            <w:vAlign w:val="center"/>
          </w:tcPr>
          <w:p w14:paraId="371A202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0.008</w:t>
            </w:r>
          </w:p>
        </w:tc>
      </w:tr>
      <w:tr w14:paraId="36579C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6A9FB1F7">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6C4FA0E6">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废润滑油桶</w:t>
            </w:r>
          </w:p>
        </w:tc>
        <w:tc>
          <w:tcPr>
            <w:tcW w:w="1701" w:type="dxa"/>
            <w:noWrap w:val="0"/>
            <w:vAlign w:val="center"/>
          </w:tcPr>
          <w:p w14:paraId="371A6982">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0.002</w:t>
            </w:r>
          </w:p>
        </w:tc>
        <w:tc>
          <w:tcPr>
            <w:tcW w:w="1276" w:type="dxa"/>
            <w:noWrap w:val="0"/>
            <w:vAlign w:val="center"/>
          </w:tcPr>
          <w:p w14:paraId="05771643">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4A50314D">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3BB1256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0.002</w:t>
            </w:r>
          </w:p>
        </w:tc>
        <w:tc>
          <w:tcPr>
            <w:tcW w:w="1575" w:type="dxa"/>
            <w:noWrap w:val="0"/>
            <w:vAlign w:val="center"/>
          </w:tcPr>
          <w:p w14:paraId="379FEA9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0.001</w:t>
            </w:r>
          </w:p>
        </w:tc>
        <w:tc>
          <w:tcPr>
            <w:tcW w:w="1705" w:type="dxa"/>
            <w:noWrap w:val="0"/>
            <w:vAlign w:val="center"/>
          </w:tcPr>
          <w:p w14:paraId="6F8B9AD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0.003</w:t>
            </w:r>
          </w:p>
        </w:tc>
        <w:tc>
          <w:tcPr>
            <w:tcW w:w="1360" w:type="dxa"/>
            <w:noWrap w:val="0"/>
            <w:vAlign w:val="center"/>
          </w:tcPr>
          <w:p w14:paraId="3959325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none"/>
                <w:lang w:val="en-US" w:eastAsia="zh-CN" w:bidi="ar-SA"/>
              </w:rPr>
              <w:t>0.001</w:t>
            </w:r>
          </w:p>
        </w:tc>
      </w:tr>
      <w:tr w14:paraId="294307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3DB41C3F">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4218B7EB">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废气处理设施废活性炭</w:t>
            </w:r>
          </w:p>
        </w:tc>
        <w:tc>
          <w:tcPr>
            <w:tcW w:w="1701" w:type="dxa"/>
            <w:noWrap w:val="0"/>
            <w:vAlign w:val="center"/>
          </w:tcPr>
          <w:p w14:paraId="64BC5F1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52</w:t>
            </w:r>
          </w:p>
        </w:tc>
        <w:tc>
          <w:tcPr>
            <w:tcW w:w="1276" w:type="dxa"/>
            <w:noWrap w:val="0"/>
            <w:vAlign w:val="center"/>
          </w:tcPr>
          <w:p w14:paraId="36AB3C5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38E73D4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eastAsia="等线" w:cs="Times New Roman"/>
                <w:i w:val="0"/>
                <w:iCs w:val="0"/>
                <w:color w:val="auto"/>
                <w:kern w:val="0"/>
                <w:sz w:val="21"/>
                <w:szCs w:val="21"/>
                <w:highlight w:val="none"/>
                <w:u w:val="none"/>
                <w:lang w:val="en-US" w:eastAsia="zh-CN" w:bidi="ar"/>
              </w:rPr>
              <w:t>-0.168</w:t>
            </w:r>
          </w:p>
        </w:tc>
        <w:tc>
          <w:tcPr>
            <w:tcW w:w="1465" w:type="dxa"/>
            <w:noWrap w:val="0"/>
            <w:vAlign w:val="center"/>
          </w:tcPr>
          <w:p w14:paraId="508A326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2F98EE7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5F50BE4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51.832</w:t>
            </w:r>
          </w:p>
        </w:tc>
        <w:tc>
          <w:tcPr>
            <w:tcW w:w="1360" w:type="dxa"/>
            <w:noWrap w:val="0"/>
            <w:vAlign w:val="center"/>
          </w:tcPr>
          <w:p w14:paraId="3D38C22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eastAsia="等线" w:cs="Times New Roman"/>
                <w:i w:val="0"/>
                <w:iCs w:val="0"/>
                <w:color w:val="auto"/>
                <w:kern w:val="0"/>
                <w:sz w:val="21"/>
                <w:szCs w:val="21"/>
                <w:highlight w:val="none"/>
                <w:u w:val="none"/>
                <w:lang w:val="en-US" w:eastAsia="zh-CN" w:bidi="ar"/>
              </w:rPr>
              <w:t>-0.168</w:t>
            </w:r>
          </w:p>
        </w:tc>
      </w:tr>
      <w:tr w14:paraId="4ADB61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2287CC01">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1D262C8E">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实验室废液、废试剂（含未按实验室管理的清洗试剂包装物、容器）</w:t>
            </w:r>
          </w:p>
        </w:tc>
        <w:tc>
          <w:tcPr>
            <w:tcW w:w="1701" w:type="dxa"/>
            <w:noWrap w:val="0"/>
            <w:vAlign w:val="center"/>
          </w:tcPr>
          <w:p w14:paraId="5D568F7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8</w:t>
            </w:r>
          </w:p>
        </w:tc>
        <w:tc>
          <w:tcPr>
            <w:tcW w:w="1276" w:type="dxa"/>
            <w:noWrap w:val="0"/>
            <w:vAlign w:val="center"/>
          </w:tcPr>
          <w:p w14:paraId="1DAF0601">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3215470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45A8048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p>
        </w:tc>
        <w:tc>
          <w:tcPr>
            <w:tcW w:w="1575" w:type="dxa"/>
            <w:noWrap w:val="0"/>
            <w:vAlign w:val="center"/>
          </w:tcPr>
          <w:p w14:paraId="1DB9276B">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0B10AE6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8</w:t>
            </w:r>
          </w:p>
        </w:tc>
        <w:tc>
          <w:tcPr>
            <w:tcW w:w="1360" w:type="dxa"/>
            <w:noWrap w:val="0"/>
            <w:vAlign w:val="center"/>
          </w:tcPr>
          <w:p w14:paraId="65E7499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4220CEF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4D4B2FF5">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4444A019">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废铅酸蓄电池</w:t>
            </w:r>
          </w:p>
        </w:tc>
        <w:tc>
          <w:tcPr>
            <w:tcW w:w="1701" w:type="dxa"/>
            <w:noWrap w:val="0"/>
            <w:vAlign w:val="center"/>
          </w:tcPr>
          <w:p w14:paraId="36B527D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1</w:t>
            </w:r>
          </w:p>
        </w:tc>
        <w:tc>
          <w:tcPr>
            <w:tcW w:w="1276" w:type="dxa"/>
            <w:noWrap w:val="0"/>
            <w:vAlign w:val="center"/>
          </w:tcPr>
          <w:p w14:paraId="30B83D5A">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0C4EFA0C">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660DC8C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72E41A9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0D0E5F1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1</w:t>
            </w:r>
          </w:p>
        </w:tc>
        <w:tc>
          <w:tcPr>
            <w:tcW w:w="1360" w:type="dxa"/>
            <w:noWrap w:val="0"/>
            <w:vAlign w:val="center"/>
          </w:tcPr>
          <w:p w14:paraId="59774F8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6633CA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1298" w:type="dxa"/>
            <w:vMerge w:val="continue"/>
            <w:noWrap w:val="0"/>
            <w:vAlign w:val="center"/>
          </w:tcPr>
          <w:p w14:paraId="54CF5A7D">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4FEF09F1">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废油漆桶</w:t>
            </w:r>
          </w:p>
        </w:tc>
        <w:tc>
          <w:tcPr>
            <w:tcW w:w="1701" w:type="dxa"/>
            <w:noWrap w:val="0"/>
            <w:vAlign w:val="center"/>
          </w:tcPr>
          <w:p w14:paraId="68DC1EF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2</w:t>
            </w:r>
          </w:p>
        </w:tc>
        <w:tc>
          <w:tcPr>
            <w:tcW w:w="1276" w:type="dxa"/>
            <w:noWrap w:val="0"/>
            <w:vAlign w:val="center"/>
          </w:tcPr>
          <w:p w14:paraId="11EFA96E">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4D9D9E1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0B4C12B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0834A095">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5C727F2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w:t>
            </w:r>
          </w:p>
        </w:tc>
        <w:tc>
          <w:tcPr>
            <w:tcW w:w="1360" w:type="dxa"/>
            <w:noWrap w:val="0"/>
            <w:vAlign w:val="center"/>
          </w:tcPr>
          <w:p w14:paraId="4BB2889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5CC945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noWrap w:val="0"/>
            <w:vAlign w:val="center"/>
          </w:tcPr>
          <w:p w14:paraId="27613163">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noWrap w:val="0"/>
            <w:vAlign w:val="center"/>
          </w:tcPr>
          <w:p w14:paraId="72F661A7">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废切削液</w:t>
            </w:r>
          </w:p>
        </w:tc>
        <w:tc>
          <w:tcPr>
            <w:tcW w:w="1701" w:type="dxa"/>
            <w:noWrap w:val="0"/>
            <w:vAlign w:val="center"/>
          </w:tcPr>
          <w:p w14:paraId="20C22470">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0.01</w:t>
            </w:r>
          </w:p>
        </w:tc>
        <w:tc>
          <w:tcPr>
            <w:tcW w:w="1276" w:type="dxa"/>
            <w:noWrap w:val="0"/>
            <w:vAlign w:val="center"/>
          </w:tcPr>
          <w:p w14:paraId="2BA2F8A8">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noWrap w:val="0"/>
            <w:vAlign w:val="center"/>
          </w:tcPr>
          <w:p w14:paraId="7D3DAA05">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noWrap w:val="0"/>
            <w:vAlign w:val="center"/>
          </w:tcPr>
          <w:p w14:paraId="07F7B2E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noWrap w:val="0"/>
            <w:vAlign w:val="center"/>
          </w:tcPr>
          <w:p w14:paraId="4409C46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noWrap w:val="0"/>
            <w:vAlign w:val="center"/>
          </w:tcPr>
          <w:p w14:paraId="24A41E0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0.01</w:t>
            </w:r>
          </w:p>
        </w:tc>
        <w:tc>
          <w:tcPr>
            <w:tcW w:w="1360" w:type="dxa"/>
            <w:noWrap w:val="0"/>
            <w:vAlign w:val="center"/>
          </w:tcPr>
          <w:p w14:paraId="1682C0E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1E87F70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vAlign w:val="center"/>
          </w:tcPr>
          <w:p w14:paraId="254A9B7E">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vAlign w:val="center"/>
          </w:tcPr>
          <w:p w14:paraId="60407DA3">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纤维过滤棉</w:t>
            </w:r>
          </w:p>
        </w:tc>
        <w:tc>
          <w:tcPr>
            <w:tcW w:w="1701" w:type="dxa"/>
            <w:vAlign w:val="center"/>
          </w:tcPr>
          <w:p w14:paraId="55947B2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0.03</w:t>
            </w:r>
          </w:p>
        </w:tc>
        <w:tc>
          <w:tcPr>
            <w:tcW w:w="1276" w:type="dxa"/>
            <w:vAlign w:val="center"/>
          </w:tcPr>
          <w:p w14:paraId="702A40D6">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vAlign w:val="center"/>
          </w:tcPr>
          <w:p w14:paraId="06B81D59">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vAlign w:val="center"/>
          </w:tcPr>
          <w:p w14:paraId="6C43EBE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vAlign w:val="center"/>
          </w:tcPr>
          <w:p w14:paraId="2462E704">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vAlign w:val="center"/>
          </w:tcPr>
          <w:p w14:paraId="32DA8A0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0.03</w:t>
            </w:r>
          </w:p>
        </w:tc>
        <w:tc>
          <w:tcPr>
            <w:tcW w:w="1360" w:type="dxa"/>
            <w:vAlign w:val="center"/>
          </w:tcPr>
          <w:p w14:paraId="75507BB8">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r w14:paraId="5CF3325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98" w:type="dxa"/>
            <w:vMerge w:val="continue"/>
            <w:vAlign w:val="center"/>
          </w:tcPr>
          <w:p w14:paraId="349860CD">
            <w:pPr>
              <w:widowControl w:val="0"/>
              <w:adjustRightInd/>
              <w:snapToGrid/>
              <w:spacing w:before="0" w:beforeLines="0" w:after="0" w:afterLines="0" w:line="240" w:lineRule="auto"/>
              <w:ind w:right="0"/>
              <w:jc w:val="center"/>
              <w:rPr>
                <w:rFonts w:hint="default" w:ascii="Times New Roman" w:hAnsi="Times New Roman" w:eastAsia="宋体" w:cs="Times New Roman"/>
                <w:snapToGrid w:val="0"/>
                <w:color w:val="auto"/>
                <w:kern w:val="21"/>
                <w:sz w:val="21"/>
                <w:szCs w:val="21"/>
                <w:highlight w:val="none"/>
                <w:lang w:val="en-US" w:eastAsia="zh-CN" w:bidi="ar-SA"/>
              </w:rPr>
            </w:pPr>
          </w:p>
        </w:tc>
        <w:tc>
          <w:tcPr>
            <w:tcW w:w="1707" w:type="dxa"/>
            <w:vAlign w:val="center"/>
          </w:tcPr>
          <w:p w14:paraId="545D15EC">
            <w:pPr>
              <w:keepNext w:val="0"/>
              <w:keepLines w:val="0"/>
              <w:suppressLineNumbers w:val="0"/>
              <w:shd w:val="clear"/>
              <w:snapToGrid w:val="0"/>
              <w:spacing w:before="0" w:beforeAutospacing="0" w:after="0" w:afterAutospacing="0" w:line="280" w:lineRule="exact"/>
              <w:ind w:left="-10" w:leftChars="-4" w:right="0" w:rightChars="0" w:firstLine="0" w:firstLineChars="0"/>
              <w:jc w:val="center"/>
              <w:rPr>
                <w:rFonts w:hint="default" w:ascii="Times New Roman" w:hAnsi="Times New Roman" w:eastAsia="宋体" w:cs="Times New Roman"/>
                <w:color w:val="auto"/>
                <w:spacing w:val="-10"/>
                <w:kern w:val="2"/>
                <w:sz w:val="21"/>
                <w:szCs w:val="21"/>
                <w:highlight w:val="none"/>
                <w:lang w:val="en-US" w:eastAsia="zh-CN" w:bidi="ar-SA"/>
              </w:rPr>
            </w:pPr>
            <w:r>
              <w:rPr>
                <w:rFonts w:hint="default" w:ascii="Times New Roman" w:hAnsi="Times New Roman" w:eastAsia="宋体" w:cs="Times New Roman"/>
                <w:color w:val="auto"/>
                <w:spacing w:val="0"/>
                <w:w w:val="100"/>
                <w:position w:val="0"/>
                <w:sz w:val="21"/>
                <w:szCs w:val="21"/>
                <w:highlight w:val="none"/>
                <w:lang w:val="en-US" w:eastAsia="zh-CN"/>
              </w:rPr>
              <w:t>生产工艺脱色废活性炭（新工艺氨基乙酸车间工序）</w:t>
            </w:r>
          </w:p>
        </w:tc>
        <w:tc>
          <w:tcPr>
            <w:tcW w:w="1701" w:type="dxa"/>
            <w:vAlign w:val="center"/>
          </w:tcPr>
          <w:p w14:paraId="5396049F">
            <w:pPr>
              <w:widowControl w:val="0"/>
              <w:adjustRightInd/>
              <w:snapToGrid/>
              <w:spacing w:before="0" w:beforeLines="0" w:after="0" w:afterLines="0" w:line="240" w:lineRule="auto"/>
              <w:ind w:right="0" w:rightChars="0"/>
              <w:jc w:val="center"/>
              <w:rPr>
                <w:rFonts w:hint="default"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20</w:t>
            </w:r>
          </w:p>
        </w:tc>
        <w:tc>
          <w:tcPr>
            <w:tcW w:w="1276" w:type="dxa"/>
            <w:vAlign w:val="center"/>
          </w:tcPr>
          <w:p w14:paraId="52545B1A">
            <w:pPr>
              <w:widowControl w:val="0"/>
              <w:adjustRightInd/>
              <w:snapToGrid/>
              <w:spacing w:before="0" w:beforeLines="0" w:after="0" w:afterLines="0" w:line="240" w:lineRule="auto"/>
              <w:ind w:right="0" w:rightChars="0"/>
              <w:jc w:val="center"/>
              <w:rPr>
                <w:rFonts w:hint="eastAsia"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701" w:type="dxa"/>
            <w:vAlign w:val="center"/>
          </w:tcPr>
          <w:p w14:paraId="799F64F3">
            <w:pPr>
              <w:widowControl w:val="0"/>
              <w:adjustRightInd/>
              <w:snapToGrid/>
              <w:spacing w:before="0" w:beforeLines="0" w:after="0" w:afterLines="0" w:line="240" w:lineRule="auto"/>
              <w:ind w:right="0" w:rightChars="0"/>
              <w:jc w:val="center"/>
              <w:rPr>
                <w:rFonts w:hint="eastAsia" w:ascii="Times New Roman" w:hAnsi="Times New Roman" w:eastAsia="宋体" w:cs="Times New Roman"/>
                <w:snapToGrid w:val="0"/>
                <w:color w:val="auto"/>
                <w:kern w:val="21"/>
                <w:sz w:val="21"/>
                <w:szCs w:val="21"/>
                <w:highlight w:val="none"/>
                <w:lang w:val="en-US" w:eastAsia="zh-CN" w:bidi="ar-SA"/>
              </w:rPr>
            </w:pPr>
            <w:r>
              <w:rPr>
                <w:rFonts w:hint="eastAsia" w:ascii="Times New Roman" w:hAnsi="Times New Roman" w:eastAsia="宋体" w:cs="Times New Roman"/>
                <w:snapToGrid w:val="0"/>
                <w:color w:val="auto"/>
                <w:kern w:val="21"/>
                <w:sz w:val="21"/>
                <w:szCs w:val="21"/>
                <w:highlight w:val="none"/>
                <w:lang w:val="en-US" w:eastAsia="zh-CN" w:bidi="ar-SA"/>
              </w:rPr>
              <w:t>0</w:t>
            </w:r>
          </w:p>
        </w:tc>
        <w:tc>
          <w:tcPr>
            <w:tcW w:w="1465" w:type="dxa"/>
            <w:vAlign w:val="center"/>
          </w:tcPr>
          <w:p w14:paraId="67655E9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cs="Times New Roman"/>
                <w:color w:val="auto"/>
                <w:kern w:val="2"/>
                <w:sz w:val="21"/>
                <w:szCs w:val="21"/>
                <w:highlight w:val="none"/>
                <w:lang w:val="en-US" w:eastAsia="zh-CN" w:bidi="ar-SA"/>
              </w:rPr>
              <w:t>0</w:t>
            </w:r>
          </w:p>
        </w:tc>
        <w:tc>
          <w:tcPr>
            <w:tcW w:w="1575" w:type="dxa"/>
            <w:vAlign w:val="center"/>
          </w:tcPr>
          <w:p w14:paraId="6B9E4B72">
            <w:pPr>
              <w:widowControl w:val="0"/>
              <w:adjustRightInd/>
              <w:snapToGrid/>
              <w:spacing w:before="0" w:beforeLines="0" w:after="0" w:afterLines="0" w:line="240" w:lineRule="auto"/>
              <w:ind w:right="0" w:rightChars="0"/>
              <w:jc w:val="center"/>
              <w:rPr>
                <w:rFonts w:hint="eastAsia" w:ascii="Times New Roman" w:hAnsi="Times New Roman" w:eastAsia="宋体" w:cs="Times New Roman"/>
                <w:snapToGrid w:val="0"/>
                <w:color w:val="auto"/>
                <w:kern w:val="21"/>
                <w:sz w:val="21"/>
                <w:szCs w:val="21"/>
                <w:highlight w:val="none"/>
                <w:lang w:val="en-US" w:eastAsia="zh-CN" w:bidi="ar-SA"/>
              </w:rPr>
            </w:pPr>
            <w:r>
              <w:rPr>
                <w:rFonts w:hint="eastAsia" w:cs="Times New Roman"/>
                <w:snapToGrid w:val="0"/>
                <w:color w:val="auto"/>
                <w:kern w:val="21"/>
                <w:sz w:val="21"/>
                <w:szCs w:val="21"/>
                <w:highlight w:val="none"/>
                <w:lang w:val="en-US" w:eastAsia="zh-CN" w:bidi="ar-SA"/>
              </w:rPr>
              <w:t>0</w:t>
            </w:r>
          </w:p>
        </w:tc>
        <w:tc>
          <w:tcPr>
            <w:tcW w:w="1705" w:type="dxa"/>
            <w:vAlign w:val="center"/>
          </w:tcPr>
          <w:p w14:paraId="797F71B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20</w:t>
            </w:r>
          </w:p>
        </w:tc>
        <w:tc>
          <w:tcPr>
            <w:tcW w:w="1360" w:type="dxa"/>
            <w:vAlign w:val="center"/>
          </w:tcPr>
          <w:p w14:paraId="49003DA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0</w:t>
            </w:r>
          </w:p>
        </w:tc>
      </w:tr>
    </w:tbl>
    <w:p w14:paraId="0C290EAD">
      <w:pPr>
        <w:rPr>
          <w:rFonts w:hint="default"/>
          <w:color w:val="auto"/>
          <w:highlight w:val="none"/>
          <w:lang w:val="en-US"/>
        </w:rPr>
      </w:pPr>
      <w:r>
        <w:rPr>
          <w:rFonts w:hAnsi="宋体"/>
          <w:snapToGrid w:val="0"/>
          <w:color w:val="auto"/>
          <w:kern w:val="21"/>
          <w:sz w:val="21"/>
          <w:szCs w:val="21"/>
          <w:highlight w:val="none"/>
        </w:rPr>
        <w:t>注：</w:t>
      </w:r>
      <w:r>
        <w:rPr>
          <w:rFonts w:hAnsi="宋体"/>
          <w:snapToGrid w:val="0"/>
          <w:color w:val="auto"/>
          <w:spacing w:val="-16"/>
          <w:kern w:val="21"/>
          <w:sz w:val="21"/>
          <w:szCs w:val="21"/>
          <w:highlight w:val="none"/>
        </w:rPr>
        <w:fldChar w:fldCharType="begin"/>
      </w:r>
      <w:r>
        <w:rPr>
          <w:rFonts w:hAnsi="宋体"/>
          <w:snapToGrid w:val="0"/>
          <w:color w:val="auto"/>
          <w:spacing w:val="-16"/>
          <w:kern w:val="21"/>
          <w:sz w:val="21"/>
          <w:szCs w:val="21"/>
          <w:highlight w:val="none"/>
        </w:rPr>
        <w:instrText xml:space="preserve"> = 6 \* GB3 \* MERGEFORMAT </w:instrText>
      </w:r>
      <w:r>
        <w:rPr>
          <w:rFonts w:hAnsi="宋体"/>
          <w:snapToGrid w:val="0"/>
          <w:color w:val="auto"/>
          <w:spacing w:val="-16"/>
          <w:kern w:val="21"/>
          <w:sz w:val="21"/>
          <w:szCs w:val="21"/>
          <w:highlight w:val="none"/>
        </w:rPr>
        <w:fldChar w:fldCharType="separate"/>
      </w:r>
      <w:r>
        <w:rPr>
          <w:rFonts w:hint="eastAsia" w:hAnsi="宋体"/>
          <w:color w:val="auto"/>
          <w:sz w:val="21"/>
          <w:szCs w:val="21"/>
          <w:highlight w:val="none"/>
        </w:rPr>
        <w:t>⑥</w:t>
      </w:r>
      <w:r>
        <w:rPr>
          <w:rFonts w:hAnsi="宋体"/>
          <w:snapToGrid w:val="0"/>
          <w:color w:val="auto"/>
          <w:spacing w:val="-16"/>
          <w:kern w:val="21"/>
          <w:sz w:val="21"/>
          <w:szCs w:val="21"/>
          <w:highlight w:val="none"/>
        </w:rPr>
        <w:fldChar w:fldCharType="end"/>
      </w:r>
      <w:r>
        <w:rPr>
          <w:rFonts w:hAnsi="宋体"/>
          <w:snapToGrid w:val="0"/>
          <w:color w:val="auto"/>
          <w:spacing w:val="-16"/>
          <w:kern w:val="21"/>
          <w:sz w:val="21"/>
          <w:szCs w:val="21"/>
          <w:highlight w:val="none"/>
        </w:rPr>
        <w:t>=</w:t>
      </w:r>
      <w:r>
        <w:rPr>
          <w:rFonts w:hAnsi="宋体"/>
          <w:snapToGrid w:val="0"/>
          <w:color w:val="auto"/>
          <w:spacing w:val="-6"/>
          <w:kern w:val="21"/>
          <w:sz w:val="21"/>
          <w:szCs w:val="21"/>
          <w:highlight w:val="none"/>
        </w:rPr>
        <w:fldChar w:fldCharType="begin"/>
      </w:r>
      <w:r>
        <w:rPr>
          <w:rFonts w:hAnsi="宋体"/>
          <w:snapToGrid w:val="0"/>
          <w:color w:val="auto"/>
          <w:spacing w:val="-6"/>
          <w:kern w:val="21"/>
          <w:sz w:val="21"/>
          <w:szCs w:val="21"/>
          <w:highlight w:val="none"/>
        </w:rPr>
        <w:instrText xml:space="preserve"> = 1 \* GB3 \* MERGEFORMAT </w:instrText>
      </w:r>
      <w:r>
        <w:rPr>
          <w:rFonts w:hAnsi="宋体"/>
          <w:snapToGrid w:val="0"/>
          <w:color w:val="auto"/>
          <w:spacing w:val="-6"/>
          <w:kern w:val="21"/>
          <w:sz w:val="21"/>
          <w:szCs w:val="21"/>
          <w:highlight w:val="none"/>
        </w:rPr>
        <w:fldChar w:fldCharType="separate"/>
      </w:r>
      <w:r>
        <w:rPr>
          <w:rFonts w:hint="eastAsia" w:hAnsi="宋体"/>
          <w:color w:val="auto"/>
          <w:sz w:val="21"/>
          <w:szCs w:val="21"/>
          <w:highlight w:val="none"/>
        </w:rPr>
        <w:t>①</w:t>
      </w:r>
      <w:r>
        <w:rPr>
          <w:rFonts w:hAnsi="宋体"/>
          <w:snapToGrid w:val="0"/>
          <w:color w:val="auto"/>
          <w:spacing w:val="-6"/>
          <w:kern w:val="21"/>
          <w:sz w:val="21"/>
          <w:szCs w:val="21"/>
          <w:highlight w:val="none"/>
        </w:rPr>
        <w:fldChar w:fldCharType="end"/>
      </w:r>
      <w:r>
        <w:rPr>
          <w:rFonts w:hAnsi="宋体"/>
          <w:snapToGrid w:val="0"/>
          <w:color w:val="auto"/>
          <w:spacing w:val="-6"/>
          <w:kern w:val="21"/>
          <w:sz w:val="21"/>
          <w:szCs w:val="21"/>
          <w:highlight w:val="none"/>
        </w:rPr>
        <w:t>+</w:t>
      </w:r>
      <w:r>
        <w:rPr>
          <w:rFonts w:hAnsi="宋体"/>
          <w:snapToGrid w:val="0"/>
          <w:color w:val="auto"/>
          <w:spacing w:val="-6"/>
          <w:kern w:val="21"/>
          <w:sz w:val="21"/>
          <w:szCs w:val="21"/>
          <w:highlight w:val="none"/>
        </w:rPr>
        <w:fldChar w:fldCharType="begin"/>
      </w:r>
      <w:r>
        <w:rPr>
          <w:rFonts w:hAnsi="宋体"/>
          <w:snapToGrid w:val="0"/>
          <w:color w:val="auto"/>
          <w:spacing w:val="-6"/>
          <w:kern w:val="21"/>
          <w:sz w:val="21"/>
          <w:szCs w:val="21"/>
          <w:highlight w:val="none"/>
        </w:rPr>
        <w:instrText xml:space="preserve"> = 3 \* GB3 \* MERGEFORMAT </w:instrText>
      </w:r>
      <w:r>
        <w:rPr>
          <w:rFonts w:hAnsi="宋体"/>
          <w:snapToGrid w:val="0"/>
          <w:color w:val="auto"/>
          <w:spacing w:val="-6"/>
          <w:kern w:val="21"/>
          <w:sz w:val="21"/>
          <w:szCs w:val="21"/>
          <w:highlight w:val="none"/>
        </w:rPr>
        <w:fldChar w:fldCharType="separate"/>
      </w:r>
      <w:r>
        <w:rPr>
          <w:rFonts w:hint="eastAsia" w:hAnsi="宋体"/>
          <w:color w:val="auto"/>
          <w:sz w:val="21"/>
          <w:szCs w:val="21"/>
          <w:highlight w:val="none"/>
        </w:rPr>
        <w:t>③</w:t>
      </w:r>
      <w:r>
        <w:rPr>
          <w:rFonts w:hAnsi="宋体"/>
          <w:snapToGrid w:val="0"/>
          <w:color w:val="auto"/>
          <w:spacing w:val="-6"/>
          <w:kern w:val="21"/>
          <w:sz w:val="21"/>
          <w:szCs w:val="21"/>
          <w:highlight w:val="none"/>
        </w:rPr>
        <w:fldChar w:fldCharType="end"/>
      </w:r>
      <w:r>
        <w:rPr>
          <w:rFonts w:hAnsi="宋体"/>
          <w:snapToGrid w:val="0"/>
          <w:color w:val="auto"/>
          <w:spacing w:val="-6"/>
          <w:kern w:val="21"/>
          <w:sz w:val="21"/>
          <w:szCs w:val="21"/>
          <w:highlight w:val="none"/>
        </w:rPr>
        <w:t>+</w:t>
      </w:r>
      <w:r>
        <w:rPr>
          <w:rFonts w:hAnsi="宋体"/>
          <w:snapToGrid w:val="0"/>
          <w:color w:val="auto"/>
          <w:spacing w:val="-6"/>
          <w:kern w:val="21"/>
          <w:sz w:val="21"/>
          <w:szCs w:val="21"/>
          <w:highlight w:val="none"/>
        </w:rPr>
        <w:fldChar w:fldCharType="begin"/>
      </w:r>
      <w:r>
        <w:rPr>
          <w:rFonts w:hAnsi="宋体"/>
          <w:snapToGrid w:val="0"/>
          <w:color w:val="auto"/>
          <w:spacing w:val="-6"/>
          <w:kern w:val="21"/>
          <w:sz w:val="21"/>
          <w:szCs w:val="21"/>
          <w:highlight w:val="none"/>
        </w:rPr>
        <w:instrText xml:space="preserve"> = 4 \* GB3 \* MERGEFORMAT </w:instrText>
      </w:r>
      <w:r>
        <w:rPr>
          <w:rFonts w:hAnsi="宋体"/>
          <w:snapToGrid w:val="0"/>
          <w:color w:val="auto"/>
          <w:spacing w:val="-6"/>
          <w:kern w:val="21"/>
          <w:sz w:val="21"/>
          <w:szCs w:val="21"/>
          <w:highlight w:val="none"/>
        </w:rPr>
        <w:fldChar w:fldCharType="separate"/>
      </w:r>
      <w:r>
        <w:rPr>
          <w:rFonts w:hint="eastAsia" w:hAnsi="宋体"/>
          <w:color w:val="auto"/>
          <w:sz w:val="21"/>
          <w:szCs w:val="21"/>
          <w:highlight w:val="none"/>
        </w:rPr>
        <w:t>④</w:t>
      </w:r>
      <w:r>
        <w:rPr>
          <w:rFonts w:hAnsi="宋体"/>
          <w:snapToGrid w:val="0"/>
          <w:color w:val="auto"/>
          <w:spacing w:val="-6"/>
          <w:kern w:val="21"/>
          <w:sz w:val="21"/>
          <w:szCs w:val="21"/>
          <w:highlight w:val="none"/>
        </w:rPr>
        <w:fldChar w:fldCharType="end"/>
      </w:r>
      <w:r>
        <w:rPr>
          <w:rFonts w:hAnsi="宋体"/>
          <w:snapToGrid w:val="0"/>
          <w:color w:val="auto"/>
          <w:spacing w:val="-6"/>
          <w:kern w:val="21"/>
          <w:sz w:val="21"/>
          <w:szCs w:val="21"/>
          <w:highlight w:val="none"/>
        </w:rPr>
        <w:t>-</w:t>
      </w:r>
      <w:r>
        <w:rPr>
          <w:rFonts w:hAnsi="宋体"/>
          <w:snapToGrid w:val="0"/>
          <w:color w:val="auto"/>
          <w:spacing w:val="-16"/>
          <w:kern w:val="21"/>
          <w:sz w:val="21"/>
          <w:szCs w:val="21"/>
          <w:highlight w:val="none"/>
        </w:rPr>
        <w:fldChar w:fldCharType="begin"/>
      </w:r>
      <w:r>
        <w:rPr>
          <w:rFonts w:hAnsi="宋体"/>
          <w:snapToGrid w:val="0"/>
          <w:color w:val="auto"/>
          <w:spacing w:val="-16"/>
          <w:kern w:val="21"/>
          <w:sz w:val="21"/>
          <w:szCs w:val="21"/>
          <w:highlight w:val="none"/>
        </w:rPr>
        <w:instrText xml:space="preserve"> = 5 \* GB3 \* MERGEFORMAT </w:instrText>
      </w:r>
      <w:r>
        <w:rPr>
          <w:rFonts w:hAnsi="宋体"/>
          <w:snapToGrid w:val="0"/>
          <w:color w:val="auto"/>
          <w:spacing w:val="-16"/>
          <w:kern w:val="21"/>
          <w:sz w:val="21"/>
          <w:szCs w:val="21"/>
          <w:highlight w:val="none"/>
        </w:rPr>
        <w:fldChar w:fldCharType="separate"/>
      </w:r>
      <w:r>
        <w:rPr>
          <w:rFonts w:hint="eastAsia" w:hAnsi="宋体"/>
          <w:color w:val="auto"/>
          <w:sz w:val="21"/>
          <w:szCs w:val="21"/>
          <w:highlight w:val="none"/>
        </w:rPr>
        <w:t>⑤</w:t>
      </w:r>
      <w:r>
        <w:rPr>
          <w:rFonts w:hAnsi="宋体"/>
          <w:snapToGrid w:val="0"/>
          <w:color w:val="auto"/>
          <w:spacing w:val="-16"/>
          <w:kern w:val="21"/>
          <w:sz w:val="21"/>
          <w:szCs w:val="21"/>
          <w:highlight w:val="none"/>
        </w:rPr>
        <w:fldChar w:fldCharType="end"/>
      </w:r>
      <w:r>
        <w:rPr>
          <w:rFonts w:hAnsi="宋体"/>
          <w:snapToGrid w:val="0"/>
          <w:color w:val="auto"/>
          <w:spacing w:val="-16"/>
          <w:kern w:val="21"/>
          <w:sz w:val="21"/>
          <w:szCs w:val="21"/>
          <w:highlight w:val="none"/>
        </w:rPr>
        <w:t>；</w:t>
      </w:r>
      <w:r>
        <w:rPr>
          <w:rFonts w:hAnsi="宋体"/>
          <w:snapToGrid w:val="0"/>
          <w:color w:val="auto"/>
          <w:spacing w:val="-6"/>
          <w:kern w:val="21"/>
          <w:sz w:val="21"/>
          <w:szCs w:val="21"/>
          <w:highlight w:val="none"/>
        </w:rPr>
        <w:fldChar w:fldCharType="begin"/>
      </w:r>
      <w:r>
        <w:rPr>
          <w:rFonts w:hAnsi="宋体"/>
          <w:snapToGrid w:val="0"/>
          <w:color w:val="auto"/>
          <w:spacing w:val="-6"/>
          <w:kern w:val="21"/>
          <w:sz w:val="21"/>
          <w:szCs w:val="21"/>
          <w:highlight w:val="none"/>
        </w:rPr>
        <w:instrText xml:space="preserve"> = 7 \* GB3 \* MERGEFORMAT </w:instrText>
      </w:r>
      <w:r>
        <w:rPr>
          <w:rFonts w:hAnsi="宋体"/>
          <w:snapToGrid w:val="0"/>
          <w:color w:val="auto"/>
          <w:spacing w:val="-6"/>
          <w:kern w:val="21"/>
          <w:sz w:val="21"/>
          <w:szCs w:val="21"/>
          <w:highlight w:val="none"/>
        </w:rPr>
        <w:fldChar w:fldCharType="separate"/>
      </w:r>
      <w:r>
        <w:rPr>
          <w:rFonts w:hint="eastAsia" w:hAnsi="宋体"/>
          <w:color w:val="auto"/>
          <w:sz w:val="21"/>
          <w:szCs w:val="21"/>
          <w:highlight w:val="none"/>
        </w:rPr>
        <w:t>⑦</w:t>
      </w:r>
      <w:r>
        <w:rPr>
          <w:rFonts w:hAnsi="宋体"/>
          <w:snapToGrid w:val="0"/>
          <w:color w:val="auto"/>
          <w:spacing w:val="-6"/>
          <w:kern w:val="21"/>
          <w:sz w:val="21"/>
          <w:szCs w:val="21"/>
          <w:highlight w:val="none"/>
        </w:rPr>
        <w:fldChar w:fldCharType="end"/>
      </w:r>
      <w:r>
        <w:rPr>
          <w:rFonts w:hAnsi="宋体"/>
          <w:snapToGrid w:val="0"/>
          <w:color w:val="auto"/>
          <w:spacing w:val="-6"/>
          <w:kern w:val="21"/>
          <w:sz w:val="21"/>
          <w:szCs w:val="21"/>
          <w:highlight w:val="none"/>
        </w:rPr>
        <w:t>=</w:t>
      </w:r>
      <w:r>
        <w:rPr>
          <w:rFonts w:hAnsi="宋体"/>
          <w:snapToGrid w:val="0"/>
          <w:color w:val="auto"/>
          <w:spacing w:val="-16"/>
          <w:kern w:val="21"/>
          <w:sz w:val="21"/>
          <w:szCs w:val="21"/>
          <w:highlight w:val="none"/>
        </w:rPr>
        <w:fldChar w:fldCharType="begin"/>
      </w:r>
      <w:r>
        <w:rPr>
          <w:rFonts w:hAnsi="宋体"/>
          <w:snapToGrid w:val="0"/>
          <w:color w:val="auto"/>
          <w:spacing w:val="-16"/>
          <w:kern w:val="21"/>
          <w:sz w:val="21"/>
          <w:szCs w:val="21"/>
          <w:highlight w:val="none"/>
        </w:rPr>
        <w:instrText xml:space="preserve"> = 6 \* GB3 \* MERGEFORMAT </w:instrText>
      </w:r>
      <w:r>
        <w:rPr>
          <w:rFonts w:hAnsi="宋体"/>
          <w:snapToGrid w:val="0"/>
          <w:color w:val="auto"/>
          <w:spacing w:val="-16"/>
          <w:kern w:val="21"/>
          <w:sz w:val="21"/>
          <w:szCs w:val="21"/>
          <w:highlight w:val="none"/>
        </w:rPr>
        <w:fldChar w:fldCharType="separate"/>
      </w:r>
      <w:r>
        <w:rPr>
          <w:rFonts w:hint="eastAsia" w:hAnsi="宋体"/>
          <w:color w:val="auto"/>
          <w:sz w:val="21"/>
          <w:szCs w:val="21"/>
          <w:highlight w:val="none"/>
        </w:rPr>
        <w:t>⑥</w:t>
      </w:r>
      <w:r>
        <w:rPr>
          <w:rFonts w:hAnsi="宋体"/>
          <w:snapToGrid w:val="0"/>
          <w:color w:val="auto"/>
          <w:spacing w:val="-16"/>
          <w:kern w:val="21"/>
          <w:sz w:val="21"/>
          <w:szCs w:val="21"/>
          <w:highlight w:val="none"/>
        </w:rPr>
        <w:fldChar w:fldCharType="end"/>
      </w:r>
      <w:r>
        <w:rPr>
          <w:rFonts w:hAnsi="宋体"/>
          <w:snapToGrid w:val="0"/>
          <w:color w:val="auto"/>
          <w:spacing w:val="-16"/>
          <w:kern w:val="21"/>
          <w:sz w:val="21"/>
          <w:szCs w:val="21"/>
          <w:highlight w:val="none"/>
        </w:rPr>
        <w:t>-</w:t>
      </w:r>
      <w:r>
        <w:rPr>
          <w:rFonts w:hAnsi="宋体"/>
          <w:snapToGrid w:val="0"/>
          <w:color w:val="auto"/>
          <w:spacing w:val="-6"/>
          <w:kern w:val="21"/>
          <w:sz w:val="21"/>
          <w:szCs w:val="21"/>
          <w:highlight w:val="none"/>
        </w:rPr>
        <w:fldChar w:fldCharType="begin"/>
      </w:r>
      <w:r>
        <w:rPr>
          <w:rFonts w:hAnsi="宋体"/>
          <w:snapToGrid w:val="0"/>
          <w:color w:val="auto"/>
          <w:spacing w:val="-6"/>
          <w:kern w:val="21"/>
          <w:sz w:val="21"/>
          <w:szCs w:val="21"/>
          <w:highlight w:val="none"/>
        </w:rPr>
        <w:instrText xml:space="preserve"> = 1 \* GB3 \* MERGEFORMAT </w:instrText>
      </w:r>
      <w:r>
        <w:rPr>
          <w:rFonts w:hAnsi="宋体"/>
          <w:snapToGrid w:val="0"/>
          <w:color w:val="auto"/>
          <w:spacing w:val="-6"/>
          <w:kern w:val="21"/>
          <w:sz w:val="21"/>
          <w:szCs w:val="21"/>
          <w:highlight w:val="none"/>
        </w:rPr>
        <w:fldChar w:fldCharType="separate"/>
      </w:r>
      <w:r>
        <w:rPr>
          <w:rFonts w:hint="eastAsia" w:hAnsi="宋体"/>
          <w:color w:val="auto"/>
          <w:sz w:val="21"/>
          <w:szCs w:val="21"/>
          <w:highlight w:val="none"/>
        </w:rPr>
        <w:t>①</w:t>
      </w:r>
      <w:r>
        <w:rPr>
          <w:rFonts w:hAnsi="宋体"/>
          <w:snapToGrid w:val="0"/>
          <w:color w:val="auto"/>
          <w:spacing w:val="-6"/>
          <w:kern w:val="21"/>
          <w:sz w:val="21"/>
          <w:szCs w:val="21"/>
          <w:highlight w:val="none"/>
        </w:rPr>
        <w:fldChar w:fldCharType="end"/>
      </w:r>
      <w:r>
        <w:rPr>
          <w:rFonts w:hint="eastAsia" w:hAnsi="宋体"/>
          <w:snapToGrid w:val="0"/>
          <w:color w:val="auto"/>
          <w:spacing w:val="-6"/>
          <w:kern w:val="21"/>
          <w:sz w:val="21"/>
          <w:szCs w:val="21"/>
          <w:highlight w:val="none"/>
          <w:lang w:eastAsia="zh-CN"/>
        </w:rPr>
        <w:t>；单位：</w:t>
      </w:r>
      <w:r>
        <w:rPr>
          <w:rFonts w:hint="eastAsia" w:hAnsi="宋体"/>
          <w:snapToGrid w:val="0"/>
          <w:color w:val="auto"/>
          <w:spacing w:val="-6"/>
          <w:kern w:val="21"/>
          <w:sz w:val="21"/>
          <w:szCs w:val="21"/>
          <w:highlight w:val="none"/>
          <w:lang w:val="en-US" w:eastAsia="zh-CN"/>
        </w:rPr>
        <w:t>t/a。</w:t>
      </w:r>
    </w:p>
    <w:sectPr>
      <w:footerReference r:id="rId12" w:type="default"/>
      <w:pgSz w:w="16838" w:h="11906" w:orient="landscape"/>
      <w:pgMar w:top="1531" w:right="1701" w:bottom="1531" w:left="1701" w:header="851" w:footer="851" w:gutter="0"/>
      <w:pgBorders>
        <w:top w:val="none" w:sz="0" w:space="0"/>
        <w:left w:val="none" w:sz="0" w:space="0"/>
        <w:bottom w:val="none" w:sz="0" w:space="0"/>
        <w:right w:val="none" w:sz="0" w:space="0"/>
      </w:pgBorders>
      <w:pgNumType w:fmt="numberInDash"/>
      <w:cols w:space="720" w:num="1"/>
      <w:docGrid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席绍添" w:date="2026-07-27T15:00:12Z" w:initials="">
    <w:p w14:paraId="5739059A">
      <w:pPr>
        <w:pStyle w:val="13"/>
        <w:rPr>
          <w:rFonts w:hint="default" w:eastAsia="宋体"/>
          <w:lang w:val="en-US" w:eastAsia="zh-CN"/>
        </w:rPr>
      </w:pPr>
      <w:r>
        <w:rPr>
          <w:rFonts w:hint="eastAsia"/>
          <w:lang w:val="en-US" w:eastAsia="zh-CN"/>
        </w:rPr>
        <w:t>甘氨酸亚铁为什么符合精细化工，细化说明</w:t>
      </w:r>
    </w:p>
  </w:comment>
  <w:comment w:id="1" w:author="席绍添" w:date="2026-07-27T15:50:49Z" w:initials="">
    <w:p w14:paraId="0C7C785C">
      <w:pPr>
        <w:pStyle w:val="13"/>
        <w:rPr>
          <w:rFonts w:hint="default" w:eastAsia="宋体"/>
          <w:lang w:val="en-US" w:eastAsia="zh-CN"/>
        </w:rPr>
      </w:pPr>
      <w:r>
        <w:rPr>
          <w:rFonts w:hint="eastAsia"/>
          <w:lang w:val="en-US" w:eastAsia="zh-CN"/>
        </w:rPr>
        <w:t>不是精细化工项目在精细化工片区？</w:t>
      </w:r>
    </w:p>
  </w:comment>
  <w:comment w:id="2" w:author="席绍添" w:date="2026-07-27T15:54:04Z" w:initials="">
    <w:p w14:paraId="07704DA2">
      <w:pPr>
        <w:pStyle w:val="13"/>
        <w:rPr>
          <w:rFonts w:hint="eastAsia" w:eastAsia="宋体"/>
          <w:lang w:val="en-US" w:eastAsia="zh-CN"/>
        </w:rPr>
      </w:pPr>
      <w:r>
        <w:rPr>
          <w:rFonts w:hint="eastAsia"/>
          <w:lang w:val="en-US" w:eastAsia="zh-CN"/>
        </w:rPr>
        <w:t>核实</w:t>
      </w:r>
    </w:p>
  </w:comment>
  <w:comment w:id="3" w:author="席绍添" w:date="2026-07-27T15:58:12Z" w:initials="">
    <w:p w14:paraId="0B0ADDD5">
      <w:pPr>
        <w:pStyle w:val="13"/>
        <w:rPr>
          <w:rFonts w:hint="eastAsia" w:eastAsia="宋体"/>
          <w:lang w:eastAsia="zh-CN"/>
        </w:rPr>
      </w:pPr>
      <w:r>
        <w:rPr>
          <w:rFonts w:hint="eastAsia"/>
          <w:lang w:eastAsia="zh-CN"/>
        </w:rPr>
        <w:t>？</w:t>
      </w:r>
    </w:p>
  </w:comment>
  <w:comment w:id="4" w:author="席绍添" w:date="2026-07-27T15:58:08Z" w:initials="">
    <w:p w14:paraId="5B4ACB10">
      <w:pPr>
        <w:pStyle w:val="13"/>
        <w:rPr>
          <w:rFonts w:hint="default" w:eastAsia="宋体"/>
          <w:lang w:val="en-US" w:eastAsia="zh-CN"/>
        </w:rPr>
      </w:pPr>
      <w:r>
        <w:rPr>
          <w:rFonts w:hint="eastAsia"/>
          <w:lang w:eastAsia="zh-CN"/>
        </w:rPr>
        <w:t>？</w:t>
      </w:r>
      <w:r>
        <w:rPr>
          <w:rFonts w:hint="eastAsia"/>
          <w:lang w:val="en-US" w:eastAsia="zh-CN"/>
        </w:rPr>
        <w:t>全文错字</w:t>
      </w:r>
    </w:p>
  </w:comment>
  <w:comment w:id="5" w:author="席绍添" w:date="2026-07-27T15:59:20Z" w:initials="">
    <w:p w14:paraId="73E52367">
      <w:pPr>
        <w:pStyle w:val="13"/>
        <w:rPr>
          <w:rFonts w:hint="default" w:eastAsia="宋体"/>
          <w:lang w:val="en-US" w:eastAsia="zh-CN"/>
        </w:rPr>
      </w:pPr>
      <w:r>
        <w:rPr>
          <w:rFonts w:hint="eastAsia"/>
          <w:lang w:val="en-US" w:eastAsia="zh-CN"/>
        </w:rPr>
        <w:t>名称错误</w:t>
      </w:r>
    </w:p>
  </w:comment>
  <w:comment w:id="6" w:author="席绍添" w:date="2026-07-27T15:59:49Z" w:initials="">
    <w:p w14:paraId="67E32651">
      <w:pPr>
        <w:pStyle w:val="13"/>
        <w:rPr>
          <w:rFonts w:hint="eastAsia" w:eastAsia="宋体"/>
          <w:lang w:eastAsia="zh-CN"/>
        </w:rPr>
      </w:pPr>
      <w:r>
        <w:rPr>
          <w:rFonts w:hint="eastAsia"/>
          <w:lang w:eastAsia="zh-CN"/>
        </w:rPr>
        <w:t>？</w:t>
      </w:r>
    </w:p>
  </w:comment>
  <w:comment w:id="7" w:author="席绍添" w:date="2026-07-27T16:29:58Z" w:initials="">
    <w:p w14:paraId="5313715B">
      <w:pPr>
        <w:pStyle w:val="13"/>
      </w:pPr>
      <w:r>
        <w:rPr>
          <w:rFonts w:hint="default" w:ascii="Times New Roman" w:hAnsi="Times New Roman" w:eastAsia="宋体" w:cs="Times New Roman"/>
          <w:b w:val="0"/>
          <w:bCs w:val="0"/>
          <w:color w:val="auto"/>
          <w:spacing w:val="0"/>
          <w:w w:val="100"/>
          <w:position w:val="0"/>
          <w:sz w:val="21"/>
          <w:szCs w:val="21"/>
          <w:highlight w:val="none"/>
          <w:lang w:val="en-US" w:eastAsia="zh-CN"/>
        </w:rPr>
        <w:t>80.481</w:t>
      </w:r>
    </w:p>
  </w:comment>
  <w:comment w:id="8" w:author="席绍添" w:date="2026-07-27T16:44:10Z" w:initials="">
    <w:p w14:paraId="1F682B9B">
      <w:pPr>
        <w:pStyle w:val="13"/>
        <w:rPr>
          <w:rFonts w:hint="default" w:eastAsia="宋体"/>
          <w:lang w:val="en-US" w:eastAsia="zh-CN"/>
        </w:rPr>
      </w:pPr>
      <w:r>
        <w:rPr>
          <w:rFonts w:hint="eastAsia"/>
          <w:lang w:val="en-US" w:eastAsia="zh-CN"/>
        </w:rPr>
        <w:t>描述重复</w:t>
      </w:r>
    </w:p>
  </w:comment>
  <w:comment w:id="9" w:author="席绍添" w:date="2026-07-27T16:50:06Z" w:initials="">
    <w:p w14:paraId="24942E06">
      <w:pPr>
        <w:pStyle w:val="13"/>
        <w:rPr>
          <w:rFonts w:hint="eastAsia" w:eastAsia="宋体"/>
          <w:lang w:val="en-US" w:eastAsia="zh-CN"/>
        </w:rPr>
      </w:pPr>
      <w:r>
        <w:rPr>
          <w:rFonts w:hint="eastAsia"/>
          <w:lang w:val="en-US" w:eastAsia="zh-CN"/>
        </w:rPr>
        <w:t>有人要？</w:t>
      </w:r>
    </w:p>
  </w:comment>
  <w:comment w:id="10" w:author="席绍添" w:date="2026-07-27T16:50:27Z" w:initials="">
    <w:p w14:paraId="719A48DA">
      <w:pPr>
        <w:pStyle w:val="13"/>
        <w:rPr>
          <w:rFonts w:hint="eastAsia" w:eastAsia="宋体"/>
          <w:lang w:val="en-US" w:eastAsia="zh-CN"/>
        </w:rPr>
      </w:pPr>
      <w:r>
        <w:rPr>
          <w:rFonts w:hint="eastAsia"/>
          <w:lang w:val="en-US" w:eastAsia="zh-CN"/>
        </w:rPr>
        <w:t>同上</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739059A" w15:done="0"/>
  <w15:commentEx w15:paraId="0C7C785C" w15:done="0"/>
  <w15:commentEx w15:paraId="07704DA2" w15:done="0"/>
  <w15:commentEx w15:paraId="0B0ADDD5" w15:done="0"/>
  <w15:commentEx w15:paraId="5B4ACB10" w15:done="0"/>
  <w15:commentEx w15:paraId="73E52367" w15:done="0"/>
  <w15:commentEx w15:paraId="67E32651" w15:done="0"/>
  <w15:commentEx w15:paraId="5313715B" w15:done="0"/>
  <w15:commentEx w15:paraId="1F682B9B" w15:done="0"/>
  <w15:commentEx w15:paraId="24942E06" w15:done="0"/>
  <w15:commentEx w15:paraId="719A48D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065DE94A-0E3E-4ABC-AABA-37429CB1F668}"/>
  </w:font>
  <w:font w:name="黑体">
    <w:panose1 w:val="02010609060101010101"/>
    <w:charset w:val="86"/>
    <w:family w:val="auto"/>
    <w:pitch w:val="default"/>
    <w:sig w:usb0="800002BF" w:usb1="38CF7CFA" w:usb2="00000016" w:usb3="00000000" w:csb0="00040001" w:csb1="00000000"/>
    <w:embedRegular r:id="rId2" w:fontKey="{FD5FF2BD-2EF0-4618-A2A2-BE75C820AD2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36476D79-5049-4458-9994-AC6F8F2280FB}"/>
  </w:font>
  <w:font w:name="MingLiU">
    <w:altName w:val="PMingLiU-ExtB"/>
    <w:panose1 w:val="02020509000000000000"/>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仿宋_GB2312">
    <w:panose1 w:val="02010609030101010101"/>
    <w:charset w:val="86"/>
    <w:family w:val="modern"/>
    <w:pitch w:val="default"/>
    <w:sig w:usb0="00000001" w:usb1="080E0000" w:usb2="00000000" w:usb3="00000000" w:csb0="00040000" w:csb1="00000000"/>
    <w:embedRegular r:id="rId4" w:fontKey="{7D039D03-8958-4103-8D65-9D95B4C722A5}"/>
  </w:font>
  <w:font w:name="方正小标宋_GBK">
    <w:panose1 w:val="02000000000000000000"/>
    <w:charset w:val="86"/>
    <w:family w:val="script"/>
    <w:pitch w:val="default"/>
    <w:sig w:usb0="A00002BF" w:usb1="38CF7CFA" w:usb2="00082016" w:usb3="00000000" w:csb0="00040001" w:csb1="00000000"/>
    <w:embedRegular r:id="rId5" w:fontKey="{A819EFD3-AD42-4FAF-A6DE-352DC06AF218}"/>
  </w:font>
  <w:font w:name="楷体_GB2312">
    <w:panose1 w:val="02010609030101010101"/>
    <w:charset w:val="86"/>
    <w:family w:val="modern"/>
    <w:pitch w:val="default"/>
    <w:sig w:usb0="00000001" w:usb1="080E0000" w:usb2="00000000" w:usb3="00000000" w:csb0="00040000" w:csb1="00000000"/>
    <w:embedRegular r:id="rId6" w:fontKey="{6F8D4ED5-0F7E-4CB9-9665-B825BC971291}"/>
  </w:font>
  <w:font w:name="仿宋">
    <w:panose1 w:val="02010609060101010101"/>
    <w:charset w:val="86"/>
    <w:family w:val="auto"/>
    <w:pitch w:val="default"/>
    <w:sig w:usb0="800002BF" w:usb1="38CF7CFA" w:usb2="00000016" w:usb3="00000000" w:csb0="00040001" w:csb1="00000000"/>
    <w:embedRegular r:id="rId7" w:fontKey="{8A006440-7859-4DB4-967D-21B143A101BA}"/>
  </w:font>
  <w:font w:name="Wingdings 2">
    <w:panose1 w:val="05020102010507070707"/>
    <w:charset w:val="02"/>
    <w:family w:val="auto"/>
    <w:pitch w:val="default"/>
    <w:sig w:usb0="00000000" w:usb1="00000000" w:usb2="00000000" w:usb3="00000000" w:csb0="80000000" w:csb1="00000000"/>
    <w:embedRegular r:id="rId8" w:fontKey="{5944B2E0-2716-4D19-B935-18553C813445}"/>
  </w:font>
  <w:font w:name="Helvetica">
    <w:altName w:val="Arial"/>
    <w:panose1 w:val="00000000000000000000"/>
    <w:charset w:val="00"/>
    <w:family w:val="auto"/>
    <w:pitch w:val="default"/>
    <w:sig w:usb0="00000000" w:usb1="00000000" w:usb2="00000000" w:usb3="00000000" w:csb0="00000000" w:csb1="00000000"/>
    <w:embedRegular r:id="rId9" w:fontKey="{E99FDD70-C8AB-4CA8-B10C-D5D8445ABEE2}"/>
  </w:font>
  <w:font w:name="等线">
    <w:panose1 w:val="02010600030101010101"/>
    <w:charset w:val="86"/>
    <w:family w:val="auto"/>
    <w:pitch w:val="default"/>
    <w:sig w:usb0="A00002BF" w:usb1="38CF7CFA" w:usb2="00000016" w:usb3="00000000" w:csb0="0004000F" w:csb1="00000000"/>
    <w:embedRegular r:id="rId10" w:fontKey="{D7073C47-8F0C-4A4D-9252-19D5A9033E02}"/>
  </w:font>
  <w:font w:name="微软雅黑">
    <w:panose1 w:val="020B0503020204020204"/>
    <w:charset w:val="86"/>
    <w:family w:val="auto"/>
    <w:pitch w:val="default"/>
    <w:sig w:usb0="80000287" w:usb1="2ACF3C50" w:usb2="00000016" w:usb3="00000000" w:csb0="0004001F" w:csb1="00000000"/>
    <w:embedRegular r:id="rId11" w:fontKey="{7DAE798E-16D0-4BE6-9844-5D56DCCD2C56}"/>
  </w:font>
  <w:font w:name="TimesNewRomanPSMT">
    <w:altName w:val="Times New Roman"/>
    <w:panose1 w:val="00000000000000000000"/>
    <w:charset w:val="80"/>
    <w:family w:val="auto"/>
    <w:pitch w:val="default"/>
    <w:sig w:usb0="00000000" w:usb1="00000000" w:usb2="00000000" w:usb3="00000000" w:csb0="00020000" w:csb1="00000000"/>
    <w:embedRegular r:id="rId12" w:fontKey="{EF8063A5-BE0D-457B-82CF-29178D27C186}"/>
  </w:font>
  <w:font w:name="WPSEMBED3">
    <w:panose1 w:val="02000000000000000000"/>
    <w:charset w:val="86"/>
    <w:family w:val="auto"/>
    <w:pitch w:val="default"/>
    <w:sig w:usb0="A00002BF" w:usb1="38CF7CFA" w:usb2="00082016" w:usb3="00000000" w:csb0="00040001" w:csb1="00000000"/>
  </w:font>
  <w:font w:name="WPSEMBED4">
    <w:panose1 w:val="02010609030101010101"/>
    <w:charset w:val="86"/>
    <w:family w:val="auto"/>
    <w:pitch w:val="default"/>
    <w:sig w:usb0="00000001" w:usb1="080E0000" w:usb2="00000000" w:usb3="00000000" w:csb0="0004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DD3BC3">
    <w:pPr>
      <w:widowControl w:val="0"/>
      <w:snapToGrid w:val="0"/>
      <w:spacing w:line="360" w:lineRule="auto"/>
      <w:ind w:right="360" w:firstLine="360"/>
      <w:jc w:val="left"/>
      <w:rPr>
        <w:rFonts w:ascii="Times New Roman" w:hAnsi="Times New Roman" w:eastAsia="宋体" w:cs="Times New Roman"/>
        <w:kern w:val="0"/>
        <w:sz w:val="18"/>
        <w:szCs w:val="20"/>
        <w:lang w:val="en-US" w:eastAsia="zh-CN" w:bidi="ar-S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EE3F2">
    <w:pPr>
      <w:framePr w:wrap="around" w:vAnchor="text" w:hAnchor="margin" w:xAlign="center" w:y="1"/>
      <w:widowControl w:val="0"/>
      <w:snapToGrid w:val="0"/>
      <w:spacing w:line="360" w:lineRule="auto"/>
      <w:jc w:val="left"/>
      <w:rPr>
        <w:rStyle w:val="29"/>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Style w:val="29"/>
        <w:rFonts w:ascii="Times New Roman" w:hAnsi="Times New Roman" w:eastAsia="宋体" w:cs="Times New Roman"/>
        <w:kern w:val="2"/>
        <w:sz w:val="24"/>
        <w:szCs w:val="24"/>
        <w:lang w:val="en-US" w:eastAsia="zh-CN" w:bidi="ar-SA"/>
      </w:rPr>
      <w:instrText xml:space="preserve">PAGE  </w:instrText>
    </w:r>
    <w:r>
      <w:rPr>
        <w:rFonts w:ascii="Times New Roman" w:hAnsi="Times New Roman" w:eastAsia="宋体" w:cs="Times New Roman"/>
        <w:kern w:val="0"/>
        <w:sz w:val="18"/>
        <w:szCs w:val="20"/>
        <w:lang w:val="en-US" w:eastAsia="zh-CN" w:bidi="ar-SA"/>
      </w:rPr>
      <w:fldChar w:fldCharType="end"/>
    </w:r>
  </w:p>
  <w:p w14:paraId="78C80B09">
    <w:pPr>
      <w:widowControl w:val="0"/>
      <w:snapToGrid w:val="0"/>
      <w:spacing w:line="360" w:lineRule="auto"/>
      <w:ind w:right="360" w:firstLine="360"/>
      <w:jc w:val="left"/>
      <w:rPr>
        <w:rFonts w:ascii="Times New Roman" w:hAnsi="Times New Roman" w:eastAsia="宋体" w:cs="Times New Roman"/>
        <w:kern w:val="0"/>
        <w:sz w:val="18"/>
        <w:szCs w:val="20"/>
        <w:lang w:val="en-US" w:eastAsia="zh-CN" w:bidi="ar-S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CEDA7">
    <w:pPr>
      <w:widowControl w:val="0"/>
      <w:snapToGrid w:val="0"/>
      <w:spacing w:line="360" w:lineRule="auto"/>
      <w:ind w:right="360" w:firstLine="360"/>
      <w:jc w:val="center"/>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68" name="文本框 26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B1F7E8A">
                          <w:pPr>
                            <w:widowControl w:val="0"/>
                            <w:snapToGrid w:val="0"/>
                            <w:spacing w:line="360" w:lineRule="auto"/>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Fonts w:ascii="Times New Roman" w:hAnsi="Times New Roman" w:eastAsia="宋体" w:cs="Times New Roman"/>
                              <w:kern w:val="0"/>
                              <w:sz w:val="18"/>
                              <w:szCs w:val="20"/>
                              <w:lang w:val="en-US" w:eastAsia="zh-CN" w:bidi="ar-SA"/>
                            </w:rPr>
                            <w:instrText xml:space="preserve"> PAGE  \* MERGEFORMAT </w:instrText>
                          </w:r>
                          <w:r>
                            <w:rPr>
                              <w:rFonts w:ascii="Times New Roman" w:hAnsi="Times New Roman" w:eastAsia="宋体" w:cs="Times New Roman"/>
                              <w:kern w:val="0"/>
                              <w:sz w:val="18"/>
                              <w:szCs w:val="20"/>
                              <w:lang w:val="en-US" w:eastAsia="zh-CN" w:bidi="ar-SA"/>
                            </w:rPr>
                            <w:fldChar w:fldCharType="separate"/>
                          </w:r>
                          <w:r>
                            <w:rPr>
                              <w:rFonts w:ascii="Times New Roman" w:hAnsi="Times New Roman" w:eastAsia="宋体" w:cs="Times New Roman"/>
                              <w:kern w:val="0"/>
                              <w:sz w:val="18"/>
                              <w:szCs w:val="20"/>
                              <w:lang w:val="en-US" w:eastAsia="zh-CN" w:bidi="ar-SA"/>
                            </w:rPr>
                            <w:t>1</w:t>
                          </w:r>
                          <w:r>
                            <w:rPr>
                              <w:rFonts w:ascii="Times New Roman" w:hAnsi="Times New Roman" w:eastAsia="宋体" w:cs="Times New Roman"/>
                              <w:kern w:val="0"/>
                              <w:sz w:val="18"/>
                              <w:szCs w:val="20"/>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eKn9coBAACd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i2octrHLzjFkd+/vnj/OvP+fd3&#10;kp0oUR+gxsyHgLlp+OAHXJzZD+jMzAcVbf4iJ4JxFPh0EVgOiYj8aLVcrSoMCYzNF8Rnj89DhPRR&#10;ekuy0dCIEyzC8uMdpDF1TsnVnL/VxpQpGvefAzGzh+Xexx6zlYbdMBHa+faEfHocfkMd7jol5pND&#10;bfOezEacjd1sHELU+64sUq4H4f0hYROlt1xhhJ0K49QKu2nD8lr8ey9Zj3/V5i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eeKn9coBAACdAwAADgAAAAAAAAABACAAAAAeAQAAZHJzL2Uyb0Rv&#10;Yy54bWxQSwUGAAAAAAYABgBZAQAAWgUAAAAA&#10;">
              <v:fill on="f" focussize="0,0"/>
              <v:stroke on="f"/>
              <v:imagedata o:title=""/>
              <o:lock v:ext="edit" aspectratio="f"/>
              <v:textbox inset="0mm,0mm,0mm,0mm" style="mso-fit-shape-to-text:t;">
                <w:txbxContent>
                  <w:p w14:paraId="3B1F7E8A">
                    <w:pPr>
                      <w:widowControl w:val="0"/>
                      <w:snapToGrid w:val="0"/>
                      <w:spacing w:line="360" w:lineRule="auto"/>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Fonts w:ascii="Times New Roman" w:hAnsi="Times New Roman" w:eastAsia="宋体" w:cs="Times New Roman"/>
                        <w:kern w:val="0"/>
                        <w:sz w:val="18"/>
                        <w:szCs w:val="20"/>
                        <w:lang w:val="en-US" w:eastAsia="zh-CN" w:bidi="ar-SA"/>
                      </w:rPr>
                      <w:instrText xml:space="preserve"> PAGE  \* MERGEFORMAT </w:instrText>
                    </w:r>
                    <w:r>
                      <w:rPr>
                        <w:rFonts w:ascii="Times New Roman" w:hAnsi="Times New Roman" w:eastAsia="宋体" w:cs="Times New Roman"/>
                        <w:kern w:val="0"/>
                        <w:sz w:val="18"/>
                        <w:szCs w:val="20"/>
                        <w:lang w:val="en-US" w:eastAsia="zh-CN" w:bidi="ar-SA"/>
                      </w:rPr>
                      <w:fldChar w:fldCharType="separate"/>
                    </w:r>
                    <w:r>
                      <w:rPr>
                        <w:rFonts w:ascii="Times New Roman" w:hAnsi="Times New Roman" w:eastAsia="宋体" w:cs="Times New Roman"/>
                        <w:kern w:val="0"/>
                        <w:sz w:val="18"/>
                        <w:szCs w:val="20"/>
                        <w:lang w:val="en-US" w:eastAsia="zh-CN" w:bidi="ar-SA"/>
                      </w:rPr>
                      <w:t>1</w:t>
                    </w:r>
                    <w:r>
                      <w:rPr>
                        <w:rFonts w:ascii="Times New Roman" w:hAnsi="Times New Roman" w:eastAsia="宋体" w:cs="Times New Roman"/>
                        <w:kern w:val="0"/>
                        <w:sz w:val="18"/>
                        <w:szCs w:val="20"/>
                        <w:lang w:val="en-US" w:eastAsia="zh-CN" w:bidi="ar-SA"/>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F030AA">
    <w:pPr>
      <w:widowControl w:val="0"/>
      <w:snapToGrid w:val="0"/>
      <w:spacing w:line="360" w:lineRule="auto"/>
      <w:ind w:right="360" w:firstLine="360"/>
      <w:jc w:val="center"/>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67" name="文本框 2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F52E249">
                          <w:pPr>
                            <w:widowControl w:val="0"/>
                            <w:snapToGrid w:val="0"/>
                            <w:spacing w:line="360" w:lineRule="auto"/>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Fonts w:ascii="Times New Roman" w:hAnsi="Times New Roman" w:eastAsia="宋体" w:cs="Times New Roman"/>
                              <w:kern w:val="0"/>
                              <w:sz w:val="18"/>
                              <w:szCs w:val="20"/>
                              <w:lang w:val="en-US" w:eastAsia="zh-CN" w:bidi="ar-SA"/>
                            </w:rPr>
                            <w:instrText xml:space="preserve"> PAGE  \* MERGEFORMAT </w:instrText>
                          </w:r>
                          <w:r>
                            <w:rPr>
                              <w:rFonts w:ascii="Times New Roman" w:hAnsi="Times New Roman" w:eastAsia="宋体" w:cs="Times New Roman"/>
                              <w:kern w:val="0"/>
                              <w:sz w:val="18"/>
                              <w:szCs w:val="20"/>
                              <w:lang w:val="en-US" w:eastAsia="zh-CN" w:bidi="ar-SA"/>
                            </w:rPr>
                            <w:fldChar w:fldCharType="separate"/>
                          </w:r>
                          <w:r>
                            <w:rPr>
                              <w:rFonts w:ascii="Times New Roman" w:hAnsi="Times New Roman" w:eastAsia="宋体" w:cs="Times New Roman"/>
                              <w:kern w:val="0"/>
                              <w:sz w:val="18"/>
                              <w:szCs w:val="20"/>
                              <w:lang w:val="en-US" w:eastAsia="zh-CN" w:bidi="ar-SA"/>
                            </w:rPr>
                            <w:t>1</w:t>
                          </w:r>
                          <w:r>
                            <w:rPr>
                              <w:rFonts w:ascii="Times New Roman" w:hAnsi="Times New Roman" w:eastAsia="宋体" w:cs="Times New Roman"/>
                              <w:kern w:val="0"/>
                              <w:sz w:val="18"/>
                              <w:szCs w:val="20"/>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HXHd+jLAQAAnQMAAA4AAAAAAAAAAQAgAAAAHgEAAGRycy9lMm9E&#10;b2MueG1sUEsFBgAAAAAGAAYAWQEAAFsFAAAAAA==&#10;">
              <v:fill on="f" focussize="0,0"/>
              <v:stroke on="f"/>
              <v:imagedata o:title=""/>
              <o:lock v:ext="edit" aspectratio="f"/>
              <v:textbox inset="0mm,0mm,0mm,0mm" style="mso-fit-shape-to-text:t;">
                <w:txbxContent>
                  <w:p w14:paraId="3F52E249">
                    <w:pPr>
                      <w:widowControl w:val="0"/>
                      <w:snapToGrid w:val="0"/>
                      <w:spacing w:line="360" w:lineRule="auto"/>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Fonts w:ascii="Times New Roman" w:hAnsi="Times New Roman" w:eastAsia="宋体" w:cs="Times New Roman"/>
                        <w:kern w:val="0"/>
                        <w:sz w:val="18"/>
                        <w:szCs w:val="20"/>
                        <w:lang w:val="en-US" w:eastAsia="zh-CN" w:bidi="ar-SA"/>
                      </w:rPr>
                      <w:instrText xml:space="preserve"> PAGE  \* MERGEFORMAT </w:instrText>
                    </w:r>
                    <w:r>
                      <w:rPr>
                        <w:rFonts w:ascii="Times New Roman" w:hAnsi="Times New Roman" w:eastAsia="宋体" w:cs="Times New Roman"/>
                        <w:kern w:val="0"/>
                        <w:sz w:val="18"/>
                        <w:szCs w:val="20"/>
                        <w:lang w:val="en-US" w:eastAsia="zh-CN" w:bidi="ar-SA"/>
                      </w:rPr>
                      <w:fldChar w:fldCharType="separate"/>
                    </w:r>
                    <w:r>
                      <w:rPr>
                        <w:rFonts w:ascii="Times New Roman" w:hAnsi="Times New Roman" w:eastAsia="宋体" w:cs="Times New Roman"/>
                        <w:kern w:val="0"/>
                        <w:sz w:val="18"/>
                        <w:szCs w:val="20"/>
                        <w:lang w:val="en-US" w:eastAsia="zh-CN" w:bidi="ar-SA"/>
                      </w:rPr>
                      <w:t>1</w:t>
                    </w:r>
                    <w:r>
                      <w:rPr>
                        <w:rFonts w:ascii="Times New Roman" w:hAnsi="Times New Roman" w:eastAsia="宋体" w:cs="Times New Roman"/>
                        <w:kern w:val="0"/>
                        <w:sz w:val="18"/>
                        <w:szCs w:val="20"/>
                        <w:lang w:val="en-US" w:eastAsia="zh-CN" w:bidi="ar-S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43FDE">
    <w:pPr>
      <w:widowControl w:val="0"/>
      <w:snapToGrid w:val="0"/>
      <w:spacing w:line="360" w:lineRule="auto"/>
      <w:ind w:right="360" w:firstLine="360"/>
      <w:jc w:val="center"/>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D238F0A">
                          <w:pPr>
                            <w:widowControl w:val="0"/>
                            <w:snapToGrid w:val="0"/>
                            <w:spacing w:line="360" w:lineRule="auto"/>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Fonts w:ascii="Times New Roman" w:hAnsi="Times New Roman" w:eastAsia="宋体" w:cs="Times New Roman"/>
                              <w:kern w:val="0"/>
                              <w:sz w:val="18"/>
                              <w:szCs w:val="20"/>
                              <w:lang w:val="en-US" w:eastAsia="zh-CN" w:bidi="ar-SA"/>
                            </w:rPr>
                            <w:instrText xml:space="preserve"> PAGE  \* MERGEFORMAT </w:instrText>
                          </w:r>
                          <w:r>
                            <w:rPr>
                              <w:rFonts w:ascii="Times New Roman" w:hAnsi="Times New Roman" w:eastAsia="宋体" w:cs="Times New Roman"/>
                              <w:kern w:val="0"/>
                              <w:sz w:val="18"/>
                              <w:szCs w:val="20"/>
                              <w:lang w:val="en-US" w:eastAsia="zh-CN" w:bidi="ar-SA"/>
                            </w:rPr>
                            <w:fldChar w:fldCharType="separate"/>
                          </w:r>
                          <w:r>
                            <w:rPr>
                              <w:rFonts w:ascii="Times New Roman" w:hAnsi="Times New Roman" w:eastAsia="宋体" w:cs="Times New Roman"/>
                              <w:kern w:val="0"/>
                              <w:sz w:val="18"/>
                              <w:szCs w:val="20"/>
                              <w:lang w:val="en-US" w:eastAsia="zh-CN" w:bidi="ar-SA"/>
                            </w:rPr>
                            <w:t>1</w:t>
                          </w:r>
                          <w:r>
                            <w:rPr>
                              <w:rFonts w:ascii="Times New Roman" w:hAnsi="Times New Roman" w:eastAsia="宋体" w:cs="Times New Roman"/>
                              <w:kern w:val="0"/>
                              <w:sz w:val="18"/>
                              <w:szCs w:val="20"/>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tkm6sk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G2SbqyQEAAJsDAAAOAAAAAAAAAAEAIAAAAB4BAABkcnMvZTJvRG9j&#10;LnhtbFBLBQYAAAAABgAGAFkBAABZBQAAAAA=&#10;">
              <v:fill on="f" focussize="0,0"/>
              <v:stroke on="f"/>
              <v:imagedata o:title=""/>
              <o:lock v:ext="edit" aspectratio="f"/>
              <v:textbox inset="0mm,0mm,0mm,0mm" style="mso-fit-shape-to-text:t;">
                <w:txbxContent>
                  <w:p w14:paraId="1D238F0A">
                    <w:pPr>
                      <w:widowControl w:val="0"/>
                      <w:snapToGrid w:val="0"/>
                      <w:spacing w:line="360" w:lineRule="auto"/>
                      <w:jc w:val="left"/>
                      <w:rPr>
                        <w:rFonts w:ascii="Times New Roman" w:hAnsi="Times New Roman" w:eastAsia="宋体" w:cs="Times New Roman"/>
                        <w:kern w:val="0"/>
                        <w:sz w:val="18"/>
                        <w:szCs w:val="20"/>
                        <w:lang w:val="en-US" w:eastAsia="zh-CN" w:bidi="ar-SA"/>
                      </w:rPr>
                    </w:pPr>
                    <w:r>
                      <w:rPr>
                        <w:rFonts w:ascii="Times New Roman" w:hAnsi="Times New Roman" w:eastAsia="宋体" w:cs="Times New Roman"/>
                        <w:kern w:val="0"/>
                        <w:sz w:val="18"/>
                        <w:szCs w:val="20"/>
                        <w:lang w:val="en-US" w:eastAsia="zh-CN" w:bidi="ar-SA"/>
                      </w:rPr>
                      <w:fldChar w:fldCharType="begin"/>
                    </w:r>
                    <w:r>
                      <w:rPr>
                        <w:rFonts w:ascii="Times New Roman" w:hAnsi="Times New Roman" w:eastAsia="宋体" w:cs="Times New Roman"/>
                        <w:kern w:val="0"/>
                        <w:sz w:val="18"/>
                        <w:szCs w:val="20"/>
                        <w:lang w:val="en-US" w:eastAsia="zh-CN" w:bidi="ar-SA"/>
                      </w:rPr>
                      <w:instrText xml:space="preserve"> PAGE  \* MERGEFORMAT </w:instrText>
                    </w:r>
                    <w:r>
                      <w:rPr>
                        <w:rFonts w:ascii="Times New Roman" w:hAnsi="Times New Roman" w:eastAsia="宋体" w:cs="Times New Roman"/>
                        <w:kern w:val="0"/>
                        <w:sz w:val="18"/>
                        <w:szCs w:val="20"/>
                        <w:lang w:val="en-US" w:eastAsia="zh-CN" w:bidi="ar-SA"/>
                      </w:rPr>
                      <w:fldChar w:fldCharType="separate"/>
                    </w:r>
                    <w:r>
                      <w:rPr>
                        <w:rFonts w:ascii="Times New Roman" w:hAnsi="Times New Roman" w:eastAsia="宋体" w:cs="Times New Roman"/>
                        <w:kern w:val="0"/>
                        <w:sz w:val="18"/>
                        <w:szCs w:val="20"/>
                        <w:lang w:val="en-US" w:eastAsia="zh-CN" w:bidi="ar-SA"/>
                      </w:rPr>
                      <w:t>1</w:t>
                    </w:r>
                    <w:r>
                      <w:rPr>
                        <w:rFonts w:ascii="Times New Roman" w:hAnsi="Times New Roman" w:eastAsia="宋体" w:cs="Times New Roman"/>
                        <w:kern w:val="0"/>
                        <w:sz w:val="18"/>
                        <w:szCs w:val="20"/>
                        <w:lang w:val="en-US" w:eastAsia="zh-CN" w:bidi="ar-S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F4B9D4">
    <w:pPr>
      <w:spacing w:line="196" w:lineRule="auto"/>
      <w:rPr>
        <w:rFonts w:eastAsia="Times New Roman"/>
        <w:sz w:val="17"/>
        <w:szCs w:val="17"/>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1C6BA2"/>
    <w:multiLevelType w:val="singleLevel"/>
    <w:tmpl w:val="8D1C6BA2"/>
    <w:lvl w:ilvl="0" w:tentative="0">
      <w:start w:val="1"/>
      <w:numFmt w:val="chineseCounting"/>
      <w:suff w:val="nothing"/>
      <w:lvlText w:val="%1、"/>
      <w:lvlJc w:val="left"/>
      <w:rPr>
        <w:rFonts w:hint="eastAsia"/>
      </w:rPr>
    </w:lvl>
  </w:abstractNum>
  <w:abstractNum w:abstractNumId="1">
    <w:nsid w:val="8E4CC2BF"/>
    <w:multiLevelType w:val="singleLevel"/>
    <w:tmpl w:val="8E4CC2BF"/>
    <w:lvl w:ilvl="0" w:tentative="0">
      <w:start w:val="2"/>
      <w:numFmt w:val="chineseCounting"/>
      <w:suff w:val="nothing"/>
      <w:lvlText w:val="（%1）"/>
      <w:lvlJc w:val="left"/>
      <w:rPr>
        <w:rFonts w:hint="eastAsia"/>
      </w:rPr>
    </w:lvl>
  </w:abstractNum>
  <w:abstractNum w:abstractNumId="2">
    <w:nsid w:val="C7C0638E"/>
    <w:multiLevelType w:val="singleLevel"/>
    <w:tmpl w:val="C7C0638E"/>
    <w:lvl w:ilvl="0" w:tentative="0">
      <w:start w:val="1"/>
      <w:numFmt w:val="decimal"/>
      <w:suff w:val="nothing"/>
      <w:lvlText w:val="%1、"/>
      <w:lvlJc w:val="left"/>
    </w:lvl>
  </w:abstractNum>
  <w:abstractNum w:abstractNumId="3">
    <w:nsid w:val="0EE785B7"/>
    <w:multiLevelType w:val="singleLevel"/>
    <w:tmpl w:val="0EE785B7"/>
    <w:lvl w:ilvl="0" w:tentative="0">
      <w:start w:val="2"/>
      <w:numFmt w:val="decimal"/>
      <w:suff w:val="nothing"/>
      <w:lvlText w:val="（%1）"/>
      <w:lvlJc w:val="left"/>
    </w:lvl>
  </w:abstractNum>
  <w:abstractNum w:abstractNumId="4">
    <w:nsid w:val="19F95226"/>
    <w:multiLevelType w:val="singleLevel"/>
    <w:tmpl w:val="19F95226"/>
    <w:lvl w:ilvl="0" w:tentative="0">
      <w:start w:val="1"/>
      <w:numFmt w:val="decimal"/>
      <w:suff w:val="nothing"/>
      <w:lvlText w:val="（%1）"/>
      <w:lvlJc w:val="left"/>
    </w:lvl>
  </w:abstractNum>
  <w:abstractNum w:abstractNumId="5">
    <w:nsid w:val="1B386191"/>
    <w:multiLevelType w:val="multilevel"/>
    <w:tmpl w:val="1B386191"/>
    <w:lvl w:ilvl="0" w:tentative="0">
      <w:start w:val="1"/>
      <w:numFmt w:val="decimal"/>
      <w:pStyle w:val="3"/>
      <w:suff w:val="space"/>
      <w:lvlText w:val="%1"/>
      <w:lvlJc w:val="left"/>
      <w:pPr>
        <w:tabs>
          <w:tab w:val="left" w:pos="0"/>
        </w:tabs>
        <w:ind w:left="0" w:firstLine="0"/>
      </w:pPr>
      <w:rPr>
        <w:rFonts w:hint="default" w:ascii="宋体" w:hAnsi="宋体" w:eastAsia="宋体" w:cs="宋体"/>
      </w:rPr>
    </w:lvl>
    <w:lvl w:ilvl="1" w:tentative="0">
      <w:start w:val="1"/>
      <w:numFmt w:val="decimal"/>
      <w:pStyle w:val="4"/>
      <w:suff w:val="space"/>
      <w:lvlText w:val="%1.%2"/>
      <w:lvlJc w:val="left"/>
      <w:pPr>
        <w:ind w:left="0" w:firstLine="0"/>
      </w:pPr>
      <w:rPr>
        <w:rFonts w:hint="default" w:ascii="宋体" w:hAnsi="宋体" w:eastAsia="宋体" w:cs="宋体"/>
      </w:rPr>
    </w:lvl>
    <w:lvl w:ilvl="2" w:tentative="0">
      <w:start w:val="1"/>
      <w:numFmt w:val="decimal"/>
      <w:pStyle w:val="5"/>
      <w:suff w:val="space"/>
      <w:lvlText w:val="%1.%2.%3"/>
      <w:lvlJc w:val="left"/>
      <w:pPr>
        <w:tabs>
          <w:tab w:val="left" w:pos="0"/>
        </w:tabs>
        <w:ind w:left="0" w:firstLine="0"/>
      </w:pPr>
      <w:rPr>
        <w:rFonts w:hint="default" w:ascii="宋体" w:hAnsi="宋体" w:eastAsia="宋体" w:cs="宋体"/>
      </w:rPr>
    </w:lvl>
    <w:lvl w:ilvl="3" w:tentative="0">
      <w:start w:val="1"/>
      <w:numFmt w:val="decimal"/>
      <w:pStyle w:val="6"/>
      <w:suff w:val="space"/>
      <w:lvlText w:val="%1.%2.%3.%4"/>
      <w:lvlJc w:val="left"/>
      <w:pPr>
        <w:ind w:left="5388" w:firstLine="0"/>
      </w:pPr>
      <w:rPr>
        <w:rFonts w:hint="default" w:ascii="宋体" w:hAnsi="宋体" w:eastAsia="宋体" w:cs="宋体"/>
        <w:b/>
        <w:bCs w:val="0"/>
        <w:i w:val="0"/>
        <w:iCs w:val="0"/>
        <w:caps w:val="0"/>
        <w:smallCaps w:val="0"/>
        <w:strike w:val="0"/>
        <w:dstrike w:val="0"/>
        <w:outline w:val="0"/>
        <w:shadow w:val="0"/>
        <w:emboss w:val="0"/>
        <w:imprint w:val="0"/>
        <w:vanish w:val="0"/>
        <w:spacing w:val="0"/>
        <w:position w:val="0"/>
        <w:u w:val="none"/>
        <w:vertAlign w:val="baseline"/>
      </w:rPr>
    </w:lvl>
    <w:lvl w:ilvl="4" w:tentative="0">
      <w:start w:val="1"/>
      <w:numFmt w:val="decimal"/>
      <w:lvlText w:val="%1.%2.%3.%4.%5."/>
      <w:lvlJc w:val="left"/>
      <w:pPr>
        <w:tabs>
          <w:tab w:val="left" w:pos="420"/>
        </w:tabs>
        <w:ind w:left="992" w:hanging="992"/>
      </w:pPr>
      <w:rPr>
        <w:rFonts w:hint="default" w:ascii="宋体" w:hAnsi="宋体" w:eastAsia="宋体" w:cs="宋体"/>
      </w:rPr>
    </w:lvl>
    <w:lvl w:ilvl="5" w:tentative="0">
      <w:start w:val="1"/>
      <w:numFmt w:val="decimal"/>
      <w:lvlText w:val="%1.%2.%3.%4.%5.%6."/>
      <w:lvlJc w:val="left"/>
      <w:pPr>
        <w:ind w:left="1134" w:hanging="1134"/>
      </w:pPr>
      <w:rPr>
        <w:rFonts w:hint="default" w:ascii="宋体" w:hAnsi="宋体" w:eastAsia="宋体" w:cs="宋体"/>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6">
    <w:nsid w:val="291FBC71"/>
    <w:multiLevelType w:val="singleLevel"/>
    <w:tmpl w:val="291FBC71"/>
    <w:lvl w:ilvl="0" w:tentative="0">
      <w:start w:val="1"/>
      <w:numFmt w:val="decimal"/>
      <w:suff w:val="nothing"/>
      <w:lvlText w:val="%1、"/>
      <w:lvlJc w:val="left"/>
    </w:lvl>
  </w:abstractNum>
  <w:abstractNum w:abstractNumId="7">
    <w:nsid w:val="5B75C57B"/>
    <w:multiLevelType w:val="singleLevel"/>
    <w:tmpl w:val="5B75C57B"/>
    <w:lvl w:ilvl="0" w:tentative="0">
      <w:start w:val="1"/>
      <w:numFmt w:val="decimal"/>
      <w:suff w:val="nothing"/>
      <w:lvlText w:val="%1、"/>
      <w:lvlJc w:val="left"/>
    </w:lvl>
  </w:abstractNum>
  <w:abstractNum w:abstractNumId="8">
    <w:nsid w:val="780A05AA"/>
    <w:multiLevelType w:val="multilevel"/>
    <w:tmpl w:val="780A05AA"/>
    <w:lvl w:ilvl="0" w:tentative="0">
      <w:start w:val="1"/>
      <w:numFmt w:val="decimal"/>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suff w:val="nothing"/>
      <w:lvlText w:val="%1.%2.%3."/>
      <w:lvlJc w:val="left"/>
      <w:pPr>
        <w:tabs>
          <w:tab w:val="left" w:pos="420"/>
        </w:tabs>
        <w:ind w:left="720" w:hanging="720"/>
      </w:pPr>
      <w:rPr>
        <w:rFonts w:hint="default"/>
      </w:rPr>
    </w:lvl>
    <w:lvl w:ilvl="3" w:tentative="0">
      <w:start w:val="1"/>
      <w:numFmt w:val="decimal"/>
      <w:suff w:val="nothing"/>
      <w:lvlText w:val="%1.%2.%3.%4."/>
      <w:lvlJc w:val="left"/>
      <w:pPr>
        <w:tabs>
          <w:tab w:val="left" w:pos="0"/>
        </w:tabs>
        <w:ind w:left="0" w:leftChars="0" w:firstLine="0" w:firstLineChars="0"/>
      </w:pPr>
      <w:rPr>
        <w:rFonts w:hint="default"/>
      </w:rPr>
    </w:lvl>
    <w:lvl w:ilvl="4" w:tentative="0">
      <w:start w:val="1"/>
      <w:numFmt w:val="decimal"/>
      <w:suff w:val="nothing"/>
      <w:lvlText w:val="%1.%2.%3.%4.%5."/>
      <w:lvlJc w:val="left"/>
      <w:pPr>
        <w:tabs>
          <w:tab w:val="left" w:pos="0"/>
        </w:tabs>
        <w:ind w:left="0" w:leftChars="0" w:firstLine="0" w:firstLineChars="0"/>
      </w:pPr>
      <w:rPr>
        <w:rFonts w:hint="default"/>
      </w:rPr>
    </w:lvl>
    <w:lvl w:ilvl="5" w:tentative="0">
      <w:start w:val="1"/>
      <w:numFmt w:val="decimal"/>
      <w:lvlRestart w:val="2"/>
      <w:pStyle w:val="7"/>
      <w:suff w:val="space"/>
      <w:lvlText w:val="表%1.%2-%6"/>
      <w:lvlJc w:val="left"/>
      <w:pPr>
        <w:tabs>
          <w:tab w:val="left" w:pos="0"/>
        </w:tabs>
        <w:ind w:left="0" w:leftChars="0" w:firstLine="0" w:firstLineChars="0"/>
      </w:pPr>
      <w:rPr>
        <w:rFonts w:hint="default"/>
      </w:rPr>
    </w:lvl>
    <w:lvl w:ilvl="6" w:tentative="0">
      <w:start w:val="1"/>
      <w:numFmt w:val="decimal"/>
      <w:lvlRestart w:val="2"/>
      <w:pStyle w:val="8"/>
      <w:suff w:val="space"/>
      <w:lvlText w:val="图%1.%2-%7"/>
      <w:lvlJc w:val="left"/>
      <w:pPr>
        <w:tabs>
          <w:tab w:val="left" w:pos="0"/>
        </w:tabs>
        <w:ind w:left="0" w:leftChars="0" w:firstLine="0" w:firstLineChars="0"/>
      </w:pPr>
      <w:rPr>
        <w:rFonts w:hint="default"/>
      </w:rPr>
    </w:lvl>
    <w:lvl w:ilvl="7" w:tentative="0">
      <w:start w:val="1"/>
      <w:numFmt w:val="decimal"/>
      <w:lvlText w:val="%1.%2.%3.%4.%5.%6.%7.%8."/>
      <w:lvlJc w:val="left"/>
      <w:pPr>
        <w:tabs>
          <w:tab w:val="left" w:pos="420"/>
        </w:tabs>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5"/>
  </w:num>
  <w:num w:numId="2">
    <w:abstractNumId w:val="8"/>
  </w:num>
  <w:num w:numId="3">
    <w:abstractNumId w:val="0"/>
  </w:num>
  <w:num w:numId="4">
    <w:abstractNumId w:val="1"/>
  </w:num>
  <w:num w:numId="5">
    <w:abstractNumId w:val="6"/>
  </w:num>
  <w:num w:numId="6">
    <w:abstractNumId w:val="4"/>
  </w:num>
  <w:num w:numId="7">
    <w:abstractNumId w:val="7"/>
  </w:num>
  <w:num w:numId="8">
    <w:abstractNumId w:val="3"/>
  </w:num>
  <w:num w:numId="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席绍添">
    <w15:presenceInfo w15:providerId="WPS Office" w15:userId="5991826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1"/>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YyZTBjZGUzN2NjNDMwM2RiYzI4ZmU1OTlmNGIzMTkifQ=="/>
  </w:docVars>
  <w:rsids>
    <w:rsidRoot w:val="00172A27"/>
    <w:rsid w:val="003E3907"/>
    <w:rsid w:val="007F7E78"/>
    <w:rsid w:val="00B561ED"/>
    <w:rsid w:val="00EB3E24"/>
    <w:rsid w:val="01573164"/>
    <w:rsid w:val="018E53BB"/>
    <w:rsid w:val="02395177"/>
    <w:rsid w:val="024E06A7"/>
    <w:rsid w:val="02735F76"/>
    <w:rsid w:val="034513AB"/>
    <w:rsid w:val="034719CE"/>
    <w:rsid w:val="034A3EE8"/>
    <w:rsid w:val="0375045A"/>
    <w:rsid w:val="03830D57"/>
    <w:rsid w:val="03D412C5"/>
    <w:rsid w:val="041417DC"/>
    <w:rsid w:val="041C4590"/>
    <w:rsid w:val="048461B9"/>
    <w:rsid w:val="0492278E"/>
    <w:rsid w:val="04BC7ED7"/>
    <w:rsid w:val="04ED0D29"/>
    <w:rsid w:val="05265EF7"/>
    <w:rsid w:val="05CA44E8"/>
    <w:rsid w:val="05F21A8F"/>
    <w:rsid w:val="060355B1"/>
    <w:rsid w:val="06123025"/>
    <w:rsid w:val="06155868"/>
    <w:rsid w:val="06616A3A"/>
    <w:rsid w:val="067A4948"/>
    <w:rsid w:val="06831E87"/>
    <w:rsid w:val="06AD2383"/>
    <w:rsid w:val="06C94678"/>
    <w:rsid w:val="06CD37BB"/>
    <w:rsid w:val="07150F03"/>
    <w:rsid w:val="07153E89"/>
    <w:rsid w:val="072C5B14"/>
    <w:rsid w:val="075C5D2A"/>
    <w:rsid w:val="078C5304"/>
    <w:rsid w:val="07AA0A18"/>
    <w:rsid w:val="07E677C2"/>
    <w:rsid w:val="07FC0D6A"/>
    <w:rsid w:val="0844028A"/>
    <w:rsid w:val="08512FDE"/>
    <w:rsid w:val="08850B9A"/>
    <w:rsid w:val="0895349E"/>
    <w:rsid w:val="089D5F9B"/>
    <w:rsid w:val="08BA4399"/>
    <w:rsid w:val="09347818"/>
    <w:rsid w:val="097B4393"/>
    <w:rsid w:val="0A2010B4"/>
    <w:rsid w:val="0A8E29A0"/>
    <w:rsid w:val="0ABF3C9A"/>
    <w:rsid w:val="0AC270D2"/>
    <w:rsid w:val="0ADA72B9"/>
    <w:rsid w:val="0B1403C0"/>
    <w:rsid w:val="0B2057EF"/>
    <w:rsid w:val="0B4A07E9"/>
    <w:rsid w:val="0B546EC7"/>
    <w:rsid w:val="0B8716AE"/>
    <w:rsid w:val="0C130E01"/>
    <w:rsid w:val="0C204552"/>
    <w:rsid w:val="0C5D0E26"/>
    <w:rsid w:val="0C614B50"/>
    <w:rsid w:val="0C862C8A"/>
    <w:rsid w:val="0C964007"/>
    <w:rsid w:val="0C964222"/>
    <w:rsid w:val="0CC20327"/>
    <w:rsid w:val="0D1D647F"/>
    <w:rsid w:val="0D2A1D18"/>
    <w:rsid w:val="0DC14423"/>
    <w:rsid w:val="0DC433D5"/>
    <w:rsid w:val="0E233303"/>
    <w:rsid w:val="0E876B5E"/>
    <w:rsid w:val="0E8E2011"/>
    <w:rsid w:val="0EBE5BFB"/>
    <w:rsid w:val="0EEE32D8"/>
    <w:rsid w:val="0EF645A0"/>
    <w:rsid w:val="0F933B9D"/>
    <w:rsid w:val="0F9B5338"/>
    <w:rsid w:val="0FB55820"/>
    <w:rsid w:val="0FD443CD"/>
    <w:rsid w:val="105171FC"/>
    <w:rsid w:val="10A647A5"/>
    <w:rsid w:val="10D27B5A"/>
    <w:rsid w:val="117A3266"/>
    <w:rsid w:val="11A17A74"/>
    <w:rsid w:val="11D91CE8"/>
    <w:rsid w:val="12134087"/>
    <w:rsid w:val="123058E3"/>
    <w:rsid w:val="12A557E3"/>
    <w:rsid w:val="12E3308D"/>
    <w:rsid w:val="13024816"/>
    <w:rsid w:val="131F7CDE"/>
    <w:rsid w:val="13247889"/>
    <w:rsid w:val="132A696C"/>
    <w:rsid w:val="133D4C55"/>
    <w:rsid w:val="13A27972"/>
    <w:rsid w:val="13D43960"/>
    <w:rsid w:val="148D32B1"/>
    <w:rsid w:val="14B1264A"/>
    <w:rsid w:val="14B22B69"/>
    <w:rsid w:val="14F91710"/>
    <w:rsid w:val="14FE6A37"/>
    <w:rsid w:val="15776B41"/>
    <w:rsid w:val="1591257A"/>
    <w:rsid w:val="15972CC4"/>
    <w:rsid w:val="15C76C49"/>
    <w:rsid w:val="16044E80"/>
    <w:rsid w:val="161A0B74"/>
    <w:rsid w:val="16287735"/>
    <w:rsid w:val="16D552E5"/>
    <w:rsid w:val="16F42FA2"/>
    <w:rsid w:val="1704757B"/>
    <w:rsid w:val="17090638"/>
    <w:rsid w:val="172A77A7"/>
    <w:rsid w:val="175A3E32"/>
    <w:rsid w:val="178A352D"/>
    <w:rsid w:val="17E14583"/>
    <w:rsid w:val="17E562A4"/>
    <w:rsid w:val="181B1984"/>
    <w:rsid w:val="183F3A83"/>
    <w:rsid w:val="18B35F90"/>
    <w:rsid w:val="18D13E32"/>
    <w:rsid w:val="18F20C09"/>
    <w:rsid w:val="192159FD"/>
    <w:rsid w:val="19303CDD"/>
    <w:rsid w:val="1934574E"/>
    <w:rsid w:val="197C335D"/>
    <w:rsid w:val="197C3F81"/>
    <w:rsid w:val="199D59E8"/>
    <w:rsid w:val="19A06831"/>
    <w:rsid w:val="19A6734D"/>
    <w:rsid w:val="19A9206C"/>
    <w:rsid w:val="19ED438A"/>
    <w:rsid w:val="1A760DE7"/>
    <w:rsid w:val="1A7B17B6"/>
    <w:rsid w:val="1A7D4D49"/>
    <w:rsid w:val="1A8B15A2"/>
    <w:rsid w:val="1B4A3CA9"/>
    <w:rsid w:val="1B9C202B"/>
    <w:rsid w:val="1CCB6424"/>
    <w:rsid w:val="1CEF0C32"/>
    <w:rsid w:val="1D003A39"/>
    <w:rsid w:val="1D2857CD"/>
    <w:rsid w:val="1D560D40"/>
    <w:rsid w:val="1D633D6E"/>
    <w:rsid w:val="1D747BE4"/>
    <w:rsid w:val="1D823644"/>
    <w:rsid w:val="1DE965C4"/>
    <w:rsid w:val="1E353D5E"/>
    <w:rsid w:val="1E415B67"/>
    <w:rsid w:val="1E47606F"/>
    <w:rsid w:val="1E5530FB"/>
    <w:rsid w:val="1E555316"/>
    <w:rsid w:val="1E6234D3"/>
    <w:rsid w:val="1E976B61"/>
    <w:rsid w:val="1EB015AE"/>
    <w:rsid w:val="1EB047B0"/>
    <w:rsid w:val="1EB05894"/>
    <w:rsid w:val="1F8A2AE3"/>
    <w:rsid w:val="1FC658C9"/>
    <w:rsid w:val="1FCA1637"/>
    <w:rsid w:val="1FE24FB4"/>
    <w:rsid w:val="20171A9B"/>
    <w:rsid w:val="20257127"/>
    <w:rsid w:val="202727FE"/>
    <w:rsid w:val="205569DC"/>
    <w:rsid w:val="20676A51"/>
    <w:rsid w:val="20744952"/>
    <w:rsid w:val="20B33117"/>
    <w:rsid w:val="20BA00AC"/>
    <w:rsid w:val="20BD3861"/>
    <w:rsid w:val="21073049"/>
    <w:rsid w:val="21645399"/>
    <w:rsid w:val="21A711A9"/>
    <w:rsid w:val="21B73D93"/>
    <w:rsid w:val="21DF3764"/>
    <w:rsid w:val="225D1F6D"/>
    <w:rsid w:val="225D5EF3"/>
    <w:rsid w:val="22C95D3C"/>
    <w:rsid w:val="22F752B7"/>
    <w:rsid w:val="230C1337"/>
    <w:rsid w:val="23AA0FEC"/>
    <w:rsid w:val="23DA2AF1"/>
    <w:rsid w:val="243C6592"/>
    <w:rsid w:val="24870CA1"/>
    <w:rsid w:val="24905BBF"/>
    <w:rsid w:val="24BB3D10"/>
    <w:rsid w:val="24EA44C6"/>
    <w:rsid w:val="251D08BE"/>
    <w:rsid w:val="251D5F8B"/>
    <w:rsid w:val="25333A00"/>
    <w:rsid w:val="2574530D"/>
    <w:rsid w:val="257C5270"/>
    <w:rsid w:val="25A1639E"/>
    <w:rsid w:val="25BF038E"/>
    <w:rsid w:val="26CD1C32"/>
    <w:rsid w:val="26E2151B"/>
    <w:rsid w:val="26E606EF"/>
    <w:rsid w:val="27451C7A"/>
    <w:rsid w:val="274850CB"/>
    <w:rsid w:val="27BB660E"/>
    <w:rsid w:val="27BF2A41"/>
    <w:rsid w:val="27D2280C"/>
    <w:rsid w:val="28596F91"/>
    <w:rsid w:val="28D71685"/>
    <w:rsid w:val="291D33A7"/>
    <w:rsid w:val="293A2363"/>
    <w:rsid w:val="29516D79"/>
    <w:rsid w:val="297F75A3"/>
    <w:rsid w:val="2996741F"/>
    <w:rsid w:val="29D94848"/>
    <w:rsid w:val="2A287C24"/>
    <w:rsid w:val="2A3622C1"/>
    <w:rsid w:val="2A4B5121"/>
    <w:rsid w:val="2A8F3B08"/>
    <w:rsid w:val="2A953C60"/>
    <w:rsid w:val="2AA7253E"/>
    <w:rsid w:val="2B087170"/>
    <w:rsid w:val="2B2108E4"/>
    <w:rsid w:val="2B7E718A"/>
    <w:rsid w:val="2BDD2349"/>
    <w:rsid w:val="2C440EDB"/>
    <w:rsid w:val="2C8D5E0B"/>
    <w:rsid w:val="2CB916B5"/>
    <w:rsid w:val="2CDC1E27"/>
    <w:rsid w:val="2CFF1D81"/>
    <w:rsid w:val="2D1C6606"/>
    <w:rsid w:val="2D495D36"/>
    <w:rsid w:val="2D614E83"/>
    <w:rsid w:val="2DAA0707"/>
    <w:rsid w:val="2DC552B1"/>
    <w:rsid w:val="2E1A25DC"/>
    <w:rsid w:val="2E1B7934"/>
    <w:rsid w:val="2EA3508F"/>
    <w:rsid w:val="2EB56DB2"/>
    <w:rsid w:val="2F446310"/>
    <w:rsid w:val="2F6440CA"/>
    <w:rsid w:val="2F6F2278"/>
    <w:rsid w:val="2FB135AD"/>
    <w:rsid w:val="2FC61C42"/>
    <w:rsid w:val="301942C1"/>
    <w:rsid w:val="302856B5"/>
    <w:rsid w:val="309105A0"/>
    <w:rsid w:val="30B24F32"/>
    <w:rsid w:val="30BC1FD5"/>
    <w:rsid w:val="30DB3550"/>
    <w:rsid w:val="30FA1520"/>
    <w:rsid w:val="30FD3EF5"/>
    <w:rsid w:val="30FF4A39"/>
    <w:rsid w:val="313A22E6"/>
    <w:rsid w:val="31466DC2"/>
    <w:rsid w:val="319E3D9D"/>
    <w:rsid w:val="31B6665C"/>
    <w:rsid w:val="31BC2F05"/>
    <w:rsid w:val="329F45A1"/>
    <w:rsid w:val="32BE4145"/>
    <w:rsid w:val="331A0080"/>
    <w:rsid w:val="33242A7F"/>
    <w:rsid w:val="33A5354C"/>
    <w:rsid w:val="33D346B3"/>
    <w:rsid w:val="33F4573B"/>
    <w:rsid w:val="340824FC"/>
    <w:rsid w:val="343E22E5"/>
    <w:rsid w:val="34444816"/>
    <w:rsid w:val="347F2CC5"/>
    <w:rsid w:val="34E326FC"/>
    <w:rsid w:val="35067A61"/>
    <w:rsid w:val="35357B2E"/>
    <w:rsid w:val="35374E47"/>
    <w:rsid w:val="356C2D6E"/>
    <w:rsid w:val="36185934"/>
    <w:rsid w:val="368C0B4A"/>
    <w:rsid w:val="36F85F74"/>
    <w:rsid w:val="37695BBF"/>
    <w:rsid w:val="376B0E03"/>
    <w:rsid w:val="3777665C"/>
    <w:rsid w:val="379F4F25"/>
    <w:rsid w:val="37F773B4"/>
    <w:rsid w:val="380E28C0"/>
    <w:rsid w:val="383B4C4E"/>
    <w:rsid w:val="3867564D"/>
    <w:rsid w:val="38783A10"/>
    <w:rsid w:val="38B95B73"/>
    <w:rsid w:val="38C903B4"/>
    <w:rsid w:val="38ED5A78"/>
    <w:rsid w:val="38F96A29"/>
    <w:rsid w:val="3907067A"/>
    <w:rsid w:val="39325E2A"/>
    <w:rsid w:val="39484549"/>
    <w:rsid w:val="399300E3"/>
    <w:rsid w:val="3A183EF6"/>
    <w:rsid w:val="3A306B6F"/>
    <w:rsid w:val="3AD12111"/>
    <w:rsid w:val="3AD30A3C"/>
    <w:rsid w:val="3B15539D"/>
    <w:rsid w:val="3B236578"/>
    <w:rsid w:val="3BB52733"/>
    <w:rsid w:val="3BE4213F"/>
    <w:rsid w:val="3C0D345A"/>
    <w:rsid w:val="3C4B1D20"/>
    <w:rsid w:val="3CD204C6"/>
    <w:rsid w:val="3CDC4526"/>
    <w:rsid w:val="3CF1267B"/>
    <w:rsid w:val="3D02114E"/>
    <w:rsid w:val="3D2E31B9"/>
    <w:rsid w:val="3D9D3977"/>
    <w:rsid w:val="3DA2403E"/>
    <w:rsid w:val="3DA90835"/>
    <w:rsid w:val="3DCA228C"/>
    <w:rsid w:val="3DD671C7"/>
    <w:rsid w:val="3E0D34AB"/>
    <w:rsid w:val="3E1E04F0"/>
    <w:rsid w:val="3E591AE5"/>
    <w:rsid w:val="3EDB5A1C"/>
    <w:rsid w:val="3F4C0348"/>
    <w:rsid w:val="3F88629F"/>
    <w:rsid w:val="3F9966FE"/>
    <w:rsid w:val="3FFA159D"/>
    <w:rsid w:val="40082A5C"/>
    <w:rsid w:val="407F7F8E"/>
    <w:rsid w:val="40870703"/>
    <w:rsid w:val="4090365D"/>
    <w:rsid w:val="409A2631"/>
    <w:rsid w:val="40B00969"/>
    <w:rsid w:val="40BA4B7E"/>
    <w:rsid w:val="40BC1BEE"/>
    <w:rsid w:val="40E81147"/>
    <w:rsid w:val="40EC27D7"/>
    <w:rsid w:val="40F40326"/>
    <w:rsid w:val="410F1D44"/>
    <w:rsid w:val="412672EB"/>
    <w:rsid w:val="412742BF"/>
    <w:rsid w:val="41656898"/>
    <w:rsid w:val="41A12528"/>
    <w:rsid w:val="41B0646C"/>
    <w:rsid w:val="420B75C6"/>
    <w:rsid w:val="42342DBA"/>
    <w:rsid w:val="426C63D4"/>
    <w:rsid w:val="428021F5"/>
    <w:rsid w:val="42C155CA"/>
    <w:rsid w:val="42C615B8"/>
    <w:rsid w:val="42D11EF8"/>
    <w:rsid w:val="42ED4B46"/>
    <w:rsid w:val="43086074"/>
    <w:rsid w:val="432B1381"/>
    <w:rsid w:val="434D1AB2"/>
    <w:rsid w:val="435D7853"/>
    <w:rsid w:val="43685737"/>
    <w:rsid w:val="441E71D2"/>
    <w:rsid w:val="442110D5"/>
    <w:rsid w:val="442C2E61"/>
    <w:rsid w:val="443425BE"/>
    <w:rsid w:val="445069A1"/>
    <w:rsid w:val="44817913"/>
    <w:rsid w:val="448816AB"/>
    <w:rsid w:val="449044D9"/>
    <w:rsid w:val="44951C7F"/>
    <w:rsid w:val="44985833"/>
    <w:rsid w:val="44F52628"/>
    <w:rsid w:val="452B7D98"/>
    <w:rsid w:val="453D1569"/>
    <w:rsid w:val="454B0164"/>
    <w:rsid w:val="45501609"/>
    <w:rsid w:val="458C49F6"/>
    <w:rsid w:val="45C64619"/>
    <w:rsid w:val="467F664E"/>
    <w:rsid w:val="46954C3D"/>
    <w:rsid w:val="46C00A5D"/>
    <w:rsid w:val="46D105CB"/>
    <w:rsid w:val="46EB6AF5"/>
    <w:rsid w:val="47031CC2"/>
    <w:rsid w:val="4738011B"/>
    <w:rsid w:val="47745C7A"/>
    <w:rsid w:val="47F95F8C"/>
    <w:rsid w:val="487D3B44"/>
    <w:rsid w:val="48E375B1"/>
    <w:rsid w:val="4939019F"/>
    <w:rsid w:val="496507B0"/>
    <w:rsid w:val="49670CFC"/>
    <w:rsid w:val="49720481"/>
    <w:rsid w:val="49852A46"/>
    <w:rsid w:val="499A6405"/>
    <w:rsid w:val="49A62DD8"/>
    <w:rsid w:val="49BC4F38"/>
    <w:rsid w:val="49D125A3"/>
    <w:rsid w:val="49D83012"/>
    <w:rsid w:val="4A1F0967"/>
    <w:rsid w:val="4A1F54B9"/>
    <w:rsid w:val="4A4E3E89"/>
    <w:rsid w:val="4A7901E8"/>
    <w:rsid w:val="4A9434C2"/>
    <w:rsid w:val="4A9D0753"/>
    <w:rsid w:val="4AAC52D3"/>
    <w:rsid w:val="4B4A5B7E"/>
    <w:rsid w:val="4BC348F7"/>
    <w:rsid w:val="4BC5590A"/>
    <w:rsid w:val="4BDA4BED"/>
    <w:rsid w:val="4C0C31F6"/>
    <w:rsid w:val="4C406554"/>
    <w:rsid w:val="4C5A2968"/>
    <w:rsid w:val="4C644F39"/>
    <w:rsid w:val="4C7C05D7"/>
    <w:rsid w:val="4C9E5354"/>
    <w:rsid w:val="4CC91B82"/>
    <w:rsid w:val="4CFE5DF2"/>
    <w:rsid w:val="4D067522"/>
    <w:rsid w:val="4D6448B8"/>
    <w:rsid w:val="4D927350"/>
    <w:rsid w:val="4DE95A61"/>
    <w:rsid w:val="4DF42956"/>
    <w:rsid w:val="4E6A7265"/>
    <w:rsid w:val="4E6D000E"/>
    <w:rsid w:val="4EA853C8"/>
    <w:rsid w:val="4F135B38"/>
    <w:rsid w:val="4F24780B"/>
    <w:rsid w:val="4FCA2A83"/>
    <w:rsid w:val="4FDE3BA0"/>
    <w:rsid w:val="50267257"/>
    <w:rsid w:val="50A078EC"/>
    <w:rsid w:val="50BD0A5E"/>
    <w:rsid w:val="50C029E7"/>
    <w:rsid w:val="50CE26AB"/>
    <w:rsid w:val="51854BD1"/>
    <w:rsid w:val="5210781E"/>
    <w:rsid w:val="52162218"/>
    <w:rsid w:val="529514B5"/>
    <w:rsid w:val="52A017A7"/>
    <w:rsid w:val="52B77F0E"/>
    <w:rsid w:val="52F45CCD"/>
    <w:rsid w:val="53056E29"/>
    <w:rsid w:val="536234FC"/>
    <w:rsid w:val="539B25ED"/>
    <w:rsid w:val="5432290B"/>
    <w:rsid w:val="543C2C8C"/>
    <w:rsid w:val="54561444"/>
    <w:rsid w:val="547B4A10"/>
    <w:rsid w:val="548453AE"/>
    <w:rsid w:val="54866C06"/>
    <w:rsid w:val="54C30F74"/>
    <w:rsid w:val="55131AB1"/>
    <w:rsid w:val="551A695F"/>
    <w:rsid w:val="556676DA"/>
    <w:rsid w:val="55710184"/>
    <w:rsid w:val="55E05840"/>
    <w:rsid w:val="55ED59B7"/>
    <w:rsid w:val="561C1DF7"/>
    <w:rsid w:val="562E744E"/>
    <w:rsid w:val="567A545C"/>
    <w:rsid w:val="56882073"/>
    <w:rsid w:val="56936C5F"/>
    <w:rsid w:val="56AA2C87"/>
    <w:rsid w:val="57A53D60"/>
    <w:rsid w:val="57D8796C"/>
    <w:rsid w:val="5800554F"/>
    <w:rsid w:val="58B62EF0"/>
    <w:rsid w:val="58C362BA"/>
    <w:rsid w:val="58C37AAC"/>
    <w:rsid w:val="58CB0ECD"/>
    <w:rsid w:val="58D65DEC"/>
    <w:rsid w:val="58E40648"/>
    <w:rsid w:val="59164DB5"/>
    <w:rsid w:val="595665ED"/>
    <w:rsid w:val="597E4543"/>
    <w:rsid w:val="59A65848"/>
    <w:rsid w:val="59DD5BB6"/>
    <w:rsid w:val="5A1530F9"/>
    <w:rsid w:val="5A24097B"/>
    <w:rsid w:val="5A4D6972"/>
    <w:rsid w:val="5A6F322D"/>
    <w:rsid w:val="5A841464"/>
    <w:rsid w:val="5AAB4699"/>
    <w:rsid w:val="5ADB4F40"/>
    <w:rsid w:val="5AE62F94"/>
    <w:rsid w:val="5B0567FC"/>
    <w:rsid w:val="5B91666A"/>
    <w:rsid w:val="5B9F1064"/>
    <w:rsid w:val="5BA02E96"/>
    <w:rsid w:val="5BE95531"/>
    <w:rsid w:val="5C242391"/>
    <w:rsid w:val="5C9F4FEC"/>
    <w:rsid w:val="5CCC6BA3"/>
    <w:rsid w:val="5CE64EF9"/>
    <w:rsid w:val="5CF1327E"/>
    <w:rsid w:val="5D192F00"/>
    <w:rsid w:val="5D1D4E20"/>
    <w:rsid w:val="5D403312"/>
    <w:rsid w:val="5D4B35B7"/>
    <w:rsid w:val="5D5D7461"/>
    <w:rsid w:val="5D782616"/>
    <w:rsid w:val="5DC27FC2"/>
    <w:rsid w:val="5DE2438C"/>
    <w:rsid w:val="5E1B0A48"/>
    <w:rsid w:val="5E346B7F"/>
    <w:rsid w:val="5EBE2BFD"/>
    <w:rsid w:val="5EC9435E"/>
    <w:rsid w:val="5EDB3937"/>
    <w:rsid w:val="5EEC1F4F"/>
    <w:rsid w:val="5F22649B"/>
    <w:rsid w:val="5F4D517B"/>
    <w:rsid w:val="5F667D08"/>
    <w:rsid w:val="5F7B6677"/>
    <w:rsid w:val="5FE07D05"/>
    <w:rsid w:val="600A306A"/>
    <w:rsid w:val="600E3855"/>
    <w:rsid w:val="60724A06"/>
    <w:rsid w:val="60754C4F"/>
    <w:rsid w:val="6076417E"/>
    <w:rsid w:val="608F3DC0"/>
    <w:rsid w:val="60AC5E39"/>
    <w:rsid w:val="613031E6"/>
    <w:rsid w:val="615472BD"/>
    <w:rsid w:val="61591C9F"/>
    <w:rsid w:val="61640215"/>
    <w:rsid w:val="619262CB"/>
    <w:rsid w:val="61BC5117"/>
    <w:rsid w:val="61C63FA7"/>
    <w:rsid w:val="61D304A7"/>
    <w:rsid w:val="62013F63"/>
    <w:rsid w:val="62016EEA"/>
    <w:rsid w:val="620436A7"/>
    <w:rsid w:val="620947FD"/>
    <w:rsid w:val="621C4B3F"/>
    <w:rsid w:val="627D1269"/>
    <w:rsid w:val="627D1347"/>
    <w:rsid w:val="627D3D12"/>
    <w:rsid w:val="627E2D26"/>
    <w:rsid w:val="62964E7D"/>
    <w:rsid w:val="629E42B2"/>
    <w:rsid w:val="62C75712"/>
    <w:rsid w:val="62FB1229"/>
    <w:rsid w:val="63134FE4"/>
    <w:rsid w:val="63312ECB"/>
    <w:rsid w:val="63440D4B"/>
    <w:rsid w:val="637846F9"/>
    <w:rsid w:val="63B55DC1"/>
    <w:rsid w:val="63E603C2"/>
    <w:rsid w:val="63FC7228"/>
    <w:rsid w:val="63FE60B9"/>
    <w:rsid w:val="642D54E3"/>
    <w:rsid w:val="644B3B98"/>
    <w:rsid w:val="646F6A96"/>
    <w:rsid w:val="64A26368"/>
    <w:rsid w:val="650A6D9A"/>
    <w:rsid w:val="65175D5E"/>
    <w:rsid w:val="65402443"/>
    <w:rsid w:val="65E8790A"/>
    <w:rsid w:val="66113115"/>
    <w:rsid w:val="662F2A6A"/>
    <w:rsid w:val="662F6EA9"/>
    <w:rsid w:val="66501015"/>
    <w:rsid w:val="66770C98"/>
    <w:rsid w:val="66B113F8"/>
    <w:rsid w:val="66E24256"/>
    <w:rsid w:val="66FA2FDB"/>
    <w:rsid w:val="678B3CDC"/>
    <w:rsid w:val="67954C34"/>
    <w:rsid w:val="67C65A33"/>
    <w:rsid w:val="67F57929"/>
    <w:rsid w:val="67FF32E5"/>
    <w:rsid w:val="6803153A"/>
    <w:rsid w:val="68343BBE"/>
    <w:rsid w:val="68494C4B"/>
    <w:rsid w:val="687164EE"/>
    <w:rsid w:val="68801982"/>
    <w:rsid w:val="6883321D"/>
    <w:rsid w:val="68B16A1B"/>
    <w:rsid w:val="699D5745"/>
    <w:rsid w:val="69A4345C"/>
    <w:rsid w:val="69A8115A"/>
    <w:rsid w:val="6A067504"/>
    <w:rsid w:val="6A773014"/>
    <w:rsid w:val="6A9536F4"/>
    <w:rsid w:val="6AB90CC8"/>
    <w:rsid w:val="6B43383E"/>
    <w:rsid w:val="6BA33DDE"/>
    <w:rsid w:val="6BAA07D4"/>
    <w:rsid w:val="6BD10B8D"/>
    <w:rsid w:val="6BD80531"/>
    <w:rsid w:val="6C2A07CE"/>
    <w:rsid w:val="6CB40FEF"/>
    <w:rsid w:val="6D425CCF"/>
    <w:rsid w:val="6D825334"/>
    <w:rsid w:val="6D8D0DA1"/>
    <w:rsid w:val="6DC455C3"/>
    <w:rsid w:val="6E51601C"/>
    <w:rsid w:val="6EA74786"/>
    <w:rsid w:val="6EAB11F5"/>
    <w:rsid w:val="6EB45186"/>
    <w:rsid w:val="6EC449FF"/>
    <w:rsid w:val="6EE45655"/>
    <w:rsid w:val="6EF74724"/>
    <w:rsid w:val="6F7044D6"/>
    <w:rsid w:val="6F91163E"/>
    <w:rsid w:val="6FA47DA7"/>
    <w:rsid w:val="6FA6392A"/>
    <w:rsid w:val="6FBC2D74"/>
    <w:rsid w:val="6FC75F2B"/>
    <w:rsid w:val="6FFB044C"/>
    <w:rsid w:val="70042AA8"/>
    <w:rsid w:val="702451CB"/>
    <w:rsid w:val="705F0A8F"/>
    <w:rsid w:val="70C1323B"/>
    <w:rsid w:val="70C36200"/>
    <w:rsid w:val="70F404C9"/>
    <w:rsid w:val="71380220"/>
    <w:rsid w:val="7140146A"/>
    <w:rsid w:val="718A1378"/>
    <w:rsid w:val="72DC2558"/>
    <w:rsid w:val="72FF78CA"/>
    <w:rsid w:val="73287C32"/>
    <w:rsid w:val="73615C38"/>
    <w:rsid w:val="736F6C16"/>
    <w:rsid w:val="73D16A0F"/>
    <w:rsid w:val="73FC458A"/>
    <w:rsid w:val="742A2A1D"/>
    <w:rsid w:val="745938F0"/>
    <w:rsid w:val="74EC4785"/>
    <w:rsid w:val="751C63E4"/>
    <w:rsid w:val="757E7ACD"/>
    <w:rsid w:val="75A67C61"/>
    <w:rsid w:val="75BF14D2"/>
    <w:rsid w:val="75D6717B"/>
    <w:rsid w:val="75DC7C0F"/>
    <w:rsid w:val="76163F79"/>
    <w:rsid w:val="76546C8E"/>
    <w:rsid w:val="76B63183"/>
    <w:rsid w:val="76D56384"/>
    <w:rsid w:val="77260F89"/>
    <w:rsid w:val="774346E7"/>
    <w:rsid w:val="776A0596"/>
    <w:rsid w:val="7778661E"/>
    <w:rsid w:val="77FC74C1"/>
    <w:rsid w:val="7808506E"/>
    <w:rsid w:val="780C6D80"/>
    <w:rsid w:val="783A2A4C"/>
    <w:rsid w:val="784B788E"/>
    <w:rsid w:val="78B625B4"/>
    <w:rsid w:val="78D51AEE"/>
    <w:rsid w:val="78F9177D"/>
    <w:rsid w:val="793C0D98"/>
    <w:rsid w:val="79504C7C"/>
    <w:rsid w:val="79B47039"/>
    <w:rsid w:val="79C64FE6"/>
    <w:rsid w:val="7A022E7C"/>
    <w:rsid w:val="7A1B0F8E"/>
    <w:rsid w:val="7A435623"/>
    <w:rsid w:val="7A8C55E2"/>
    <w:rsid w:val="7A993F8D"/>
    <w:rsid w:val="7AA26D8A"/>
    <w:rsid w:val="7ABF0081"/>
    <w:rsid w:val="7AE8178A"/>
    <w:rsid w:val="7B1A3284"/>
    <w:rsid w:val="7B1B5D52"/>
    <w:rsid w:val="7B507F2E"/>
    <w:rsid w:val="7B7139F7"/>
    <w:rsid w:val="7B725F0E"/>
    <w:rsid w:val="7B7F2C95"/>
    <w:rsid w:val="7BEB0A9E"/>
    <w:rsid w:val="7C8E138F"/>
    <w:rsid w:val="7D5E6E37"/>
    <w:rsid w:val="7D6C3F80"/>
    <w:rsid w:val="7DF85C5C"/>
    <w:rsid w:val="7E235B3A"/>
    <w:rsid w:val="7ECA284D"/>
    <w:rsid w:val="7F026AF1"/>
    <w:rsid w:val="7F461157"/>
    <w:rsid w:val="7F5106C4"/>
    <w:rsid w:val="7FBE3698"/>
    <w:rsid w:val="7FCE0450"/>
    <w:rsid w:val="7FF92372"/>
    <w:rsid w:val="7FFD1D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semiHidden="0" w:name="heading 6"/>
    <w:lsdException w:qFormat="1" w:uiPriority="0"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3">
    <w:name w:val="heading 1"/>
    <w:basedOn w:val="1"/>
    <w:next w:val="1"/>
    <w:qFormat/>
    <w:uiPriority w:val="0"/>
    <w:pPr>
      <w:keepNext/>
      <w:keepLines/>
      <w:numPr>
        <w:ilvl w:val="0"/>
        <w:numId w:val="1"/>
      </w:numPr>
      <w:spacing w:before="340" w:beforeLines="0" w:beforeAutospacing="0" w:after="330" w:afterLines="0" w:afterAutospacing="0" w:line="576" w:lineRule="auto"/>
      <w:outlineLvl w:val="0"/>
    </w:pPr>
    <w:rPr>
      <w:b/>
      <w:kern w:val="44"/>
      <w:sz w:val="44"/>
    </w:rPr>
  </w:style>
  <w:style w:type="paragraph" w:styleId="4">
    <w:name w:val="heading 2"/>
    <w:basedOn w:val="1"/>
    <w:next w:val="1"/>
    <w:semiHidden/>
    <w:unhideWhenUsed/>
    <w:qFormat/>
    <w:uiPriority w:val="0"/>
    <w:pPr>
      <w:keepNext/>
      <w:keepLines/>
      <w:numPr>
        <w:ilvl w:val="1"/>
        <w:numId w:val="1"/>
      </w:numPr>
      <w:spacing w:before="260" w:beforeLines="0" w:beforeAutospacing="0" w:after="260" w:afterLines="0" w:afterAutospacing="0" w:line="413" w:lineRule="auto"/>
      <w:outlineLvl w:val="1"/>
    </w:pPr>
    <w:rPr>
      <w:rFonts w:ascii="Arial" w:hAnsi="Arial" w:eastAsia="黑体"/>
      <w:b/>
      <w:sz w:val="32"/>
    </w:rPr>
  </w:style>
  <w:style w:type="paragraph" w:styleId="5">
    <w:name w:val="heading 3"/>
    <w:basedOn w:val="1"/>
    <w:next w:val="1"/>
    <w:semiHidden/>
    <w:unhideWhenUsed/>
    <w:qFormat/>
    <w:uiPriority w:val="0"/>
    <w:pPr>
      <w:keepNext/>
      <w:keepLines/>
      <w:numPr>
        <w:ilvl w:val="2"/>
        <w:numId w:val="1"/>
      </w:numPr>
      <w:spacing w:before="260" w:beforeLines="0" w:beforeAutospacing="0" w:after="260" w:afterLines="0" w:afterAutospacing="0" w:line="413" w:lineRule="auto"/>
      <w:outlineLvl w:val="2"/>
    </w:pPr>
    <w:rPr>
      <w:b/>
      <w:sz w:val="32"/>
    </w:rPr>
  </w:style>
  <w:style w:type="paragraph" w:styleId="6">
    <w:name w:val="heading 4"/>
    <w:basedOn w:val="1"/>
    <w:next w:val="1"/>
    <w:link w:val="32"/>
    <w:semiHidden/>
    <w:unhideWhenUsed/>
    <w:qFormat/>
    <w:uiPriority w:val="0"/>
    <w:pPr>
      <w:numPr>
        <w:ilvl w:val="3"/>
        <w:numId w:val="1"/>
      </w:numPr>
      <w:snapToGrid w:val="0"/>
      <w:ind w:left="0" w:firstLine="0" w:firstLineChars="0"/>
      <w:outlineLvl w:val="3"/>
    </w:pPr>
    <w:rPr>
      <w:rFonts w:ascii="Times New Roman" w:hAnsi="Times New Roman" w:eastAsia="宋体" w:cs="Times New Roman"/>
      <w:b/>
      <w:bCs/>
      <w:sz w:val="24"/>
      <w:szCs w:val="28"/>
    </w:rPr>
  </w:style>
  <w:style w:type="paragraph" w:styleId="7">
    <w:name w:val="heading 6"/>
    <w:basedOn w:val="1"/>
    <w:next w:val="1"/>
    <w:unhideWhenUsed/>
    <w:qFormat/>
    <w:uiPriority w:val="0"/>
    <w:pPr>
      <w:keepNext/>
      <w:keepLines/>
      <w:numPr>
        <w:ilvl w:val="5"/>
        <w:numId w:val="2"/>
      </w:numPr>
      <w:tabs>
        <w:tab w:val="center" w:pos="0"/>
        <w:tab w:val="left" w:pos="4411"/>
      </w:tabs>
      <w:spacing w:beforeLines="0" w:beforeAutospacing="0" w:afterLines="0" w:afterAutospacing="0" w:line="240" w:lineRule="auto"/>
      <w:ind w:left="0" w:firstLine="0" w:firstLineChars="0"/>
      <w:jc w:val="center"/>
      <w:outlineLvl w:val="5"/>
    </w:pPr>
    <w:rPr>
      <w:rFonts w:ascii="Times New Roman" w:hAnsi="Times New Roman" w:eastAsia="宋体"/>
      <w:b/>
      <w:bCs/>
    </w:rPr>
  </w:style>
  <w:style w:type="paragraph" w:styleId="8">
    <w:name w:val="heading 7"/>
    <w:basedOn w:val="1"/>
    <w:next w:val="1"/>
    <w:unhideWhenUsed/>
    <w:qFormat/>
    <w:uiPriority w:val="0"/>
    <w:pPr>
      <w:keepNext/>
      <w:keepLines/>
      <w:numPr>
        <w:ilvl w:val="6"/>
        <w:numId w:val="2"/>
      </w:numPr>
      <w:spacing w:beforeLines="0" w:beforeAutospacing="0" w:afterLines="0" w:afterAutospacing="0" w:line="240" w:lineRule="auto"/>
      <w:ind w:left="0" w:firstLine="0" w:firstLineChars="0"/>
      <w:jc w:val="center"/>
      <w:outlineLvl w:val="6"/>
    </w:pPr>
    <w:rPr>
      <w:rFonts w:ascii="Times New Roman" w:hAnsi="Times New Roman" w:eastAsia="宋体"/>
      <w:b/>
      <w:bCs/>
    </w:rPr>
  </w:style>
  <w:style w:type="character" w:default="1" w:styleId="27">
    <w:name w:val="Default Paragraph Font"/>
    <w:semiHidden/>
    <w:qFormat/>
    <w:uiPriority w:val="0"/>
  </w:style>
  <w:style w:type="table" w:default="1" w:styleId="25">
    <w:name w:val="Normal Table"/>
    <w:semiHidden/>
    <w:qFormat/>
    <w:uiPriority w:val="0"/>
    <w:tblPr>
      <w:tblCellMar>
        <w:top w:w="0" w:type="dxa"/>
        <w:left w:w="108" w:type="dxa"/>
        <w:bottom w:w="0" w:type="dxa"/>
        <w:right w:w="108" w:type="dxa"/>
      </w:tblCellMar>
    </w:tblPr>
  </w:style>
  <w:style w:type="paragraph" w:customStyle="1" w:styleId="2">
    <w:name w:val="书正文"/>
    <w:basedOn w:val="1"/>
    <w:qFormat/>
    <w:uiPriority w:val="0"/>
    <w:pPr>
      <w:spacing w:line="500" w:lineRule="exact"/>
      <w:ind w:firstLine="640" w:firstLineChars="200"/>
    </w:pPr>
  </w:style>
  <w:style w:type="paragraph" w:styleId="9">
    <w:name w:val="Note Heading"/>
    <w:basedOn w:val="1"/>
    <w:next w:val="1"/>
    <w:qFormat/>
    <w:uiPriority w:val="0"/>
    <w:pPr>
      <w:jc w:val="center"/>
    </w:pPr>
    <w:rPr>
      <w:rFonts w:hint="eastAsia" w:ascii="宋体"/>
    </w:rPr>
  </w:style>
  <w:style w:type="paragraph" w:styleId="10">
    <w:name w:val="Normal Indent"/>
    <w:basedOn w:val="1"/>
    <w:next w:val="11"/>
    <w:qFormat/>
    <w:uiPriority w:val="0"/>
    <w:pPr>
      <w:ind w:firstLine="420"/>
    </w:pPr>
  </w:style>
  <w:style w:type="paragraph" w:customStyle="1" w:styleId="11">
    <w:name w:val="&quot;&quot;&quot;&quot;Normal Indent&quot;&quot;&quot;&quot;"/>
    <w:next w:val="1"/>
    <w:qFormat/>
    <w:uiPriority w:val="0"/>
    <w:pPr>
      <w:widowControl w:val="0"/>
      <w:spacing w:before="0" w:after="0"/>
      <w:ind w:left="0" w:right="0" w:firstLine="200"/>
      <w:jc w:val="both"/>
    </w:pPr>
    <w:rPr>
      <w:rFonts w:ascii="Times New Roman" w:hAnsi="Times New Roman" w:eastAsia="宋体" w:cs="Times New Roman"/>
      <w:kern w:val="2"/>
      <w:sz w:val="21"/>
      <w:lang w:val="en-US" w:eastAsia="zh-CN" w:bidi="ar-SA"/>
    </w:rPr>
  </w:style>
  <w:style w:type="paragraph" w:styleId="12">
    <w:name w:val="caption"/>
    <w:basedOn w:val="1"/>
    <w:next w:val="1"/>
    <w:qFormat/>
    <w:uiPriority w:val="35"/>
    <w:pPr>
      <w:ind w:firstLine="0" w:firstLineChars="0"/>
      <w:jc w:val="center"/>
    </w:pPr>
    <w:rPr>
      <w:rFonts w:cs="Times New Roman"/>
      <w:szCs w:val="20"/>
    </w:rPr>
  </w:style>
  <w:style w:type="paragraph" w:styleId="13">
    <w:name w:val="annotation text"/>
    <w:basedOn w:val="1"/>
    <w:semiHidden/>
    <w:qFormat/>
    <w:uiPriority w:val="0"/>
    <w:pPr>
      <w:jc w:val="left"/>
    </w:pPr>
    <w:rPr>
      <w:kern w:val="0"/>
      <w:sz w:val="24"/>
      <w:szCs w:val="20"/>
    </w:rPr>
  </w:style>
  <w:style w:type="paragraph" w:styleId="14">
    <w:name w:val="Body Text"/>
    <w:basedOn w:val="1"/>
    <w:qFormat/>
    <w:uiPriority w:val="0"/>
    <w:pPr>
      <w:widowControl/>
      <w:snapToGrid w:val="0"/>
      <w:spacing w:before="60" w:after="160" w:line="259" w:lineRule="auto"/>
      <w:ind w:right="113"/>
    </w:pPr>
    <w:rPr>
      <w:kern w:val="0"/>
      <w:sz w:val="18"/>
      <w:szCs w:val="20"/>
    </w:rPr>
  </w:style>
  <w:style w:type="paragraph" w:styleId="15">
    <w:name w:val="Body Text Indent"/>
    <w:basedOn w:val="1"/>
    <w:next w:val="12"/>
    <w:qFormat/>
    <w:uiPriority w:val="0"/>
    <w:pPr>
      <w:spacing w:after="120"/>
      <w:ind w:left="420" w:leftChars="200"/>
    </w:pPr>
    <w:rPr>
      <w:kern w:val="0"/>
      <w:sz w:val="24"/>
      <w:szCs w:val="20"/>
    </w:rPr>
  </w:style>
  <w:style w:type="paragraph" w:styleId="16">
    <w:name w:val="Plain Text"/>
    <w:basedOn w:val="1"/>
    <w:qFormat/>
    <w:uiPriority w:val="0"/>
    <w:pPr>
      <w:spacing w:line="240" w:lineRule="auto"/>
      <w:ind w:firstLine="0" w:firstLineChars="0"/>
    </w:pPr>
    <w:rPr>
      <w:rFonts w:ascii="宋体" w:hAnsi="Courier New"/>
      <w:sz w:val="21"/>
      <w:szCs w:val="20"/>
    </w:rPr>
  </w:style>
  <w:style w:type="paragraph" w:styleId="17">
    <w:name w:val="Body Text Indent 2"/>
    <w:basedOn w:val="1"/>
    <w:qFormat/>
    <w:uiPriority w:val="0"/>
    <w:pPr>
      <w:spacing w:line="560" w:lineRule="exact"/>
      <w:ind w:firstLine="480" w:firstLineChars="200"/>
    </w:pPr>
    <w:rPr>
      <w:rFonts w:hAnsi="MingLiU"/>
      <w:kern w:val="0"/>
      <w:sz w:val="24"/>
      <w:szCs w:val="20"/>
    </w:rPr>
  </w:style>
  <w:style w:type="paragraph" w:styleId="18">
    <w:name w:val="footer"/>
    <w:basedOn w:val="1"/>
    <w:qFormat/>
    <w:uiPriority w:val="99"/>
    <w:pPr>
      <w:tabs>
        <w:tab w:val="center" w:pos="4153"/>
        <w:tab w:val="right" w:pos="8306"/>
      </w:tabs>
      <w:snapToGrid w:val="0"/>
      <w:jc w:val="left"/>
    </w:pPr>
    <w:rPr>
      <w:kern w:val="0"/>
      <w:sz w:val="18"/>
      <w:szCs w:val="20"/>
    </w:rPr>
  </w:style>
  <w:style w:type="paragraph" w:styleId="1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20">
    <w:name w:val="List"/>
    <w:basedOn w:val="1"/>
    <w:qFormat/>
    <w:uiPriority w:val="0"/>
    <w:pPr>
      <w:adjustRightInd w:val="0"/>
      <w:snapToGrid w:val="0"/>
      <w:jc w:val="center"/>
      <w:textAlignment w:val="baseline"/>
    </w:pPr>
    <w:rPr>
      <w:rFonts w:ascii="Times New Roman" w:hAnsi="Times New Roman" w:eastAsia="仿宋_GB2312"/>
      <w:snapToGrid w:val="0"/>
      <w:kern w:val="21"/>
      <w:szCs w:val="20"/>
    </w:rPr>
  </w:style>
  <w:style w:type="paragraph" w:styleId="21">
    <w:name w:val="toc 2"/>
    <w:basedOn w:val="1"/>
    <w:next w:val="1"/>
    <w:semiHidden/>
    <w:qFormat/>
    <w:uiPriority w:val="0"/>
    <w:pPr>
      <w:ind w:left="420" w:leftChars="200"/>
    </w:pPr>
  </w:style>
  <w:style w:type="paragraph" w:styleId="22">
    <w:name w:val="Normal (Web)"/>
    <w:basedOn w:val="1"/>
    <w:qFormat/>
    <w:uiPriority w:val="0"/>
    <w:pPr>
      <w:widowControl/>
      <w:spacing w:before="100" w:beforeAutospacing="1" w:after="100" w:afterAutospacing="1"/>
      <w:jc w:val="left"/>
    </w:pPr>
    <w:rPr>
      <w:rFonts w:ascii="宋体" w:hAnsi="宋体"/>
      <w:kern w:val="0"/>
      <w:sz w:val="24"/>
      <w:szCs w:val="20"/>
    </w:rPr>
  </w:style>
  <w:style w:type="paragraph" w:styleId="23">
    <w:name w:val="Body Text First Indent"/>
    <w:basedOn w:val="14"/>
    <w:qFormat/>
    <w:uiPriority w:val="0"/>
    <w:pPr>
      <w:ind w:firstLine="420" w:firstLineChars="100"/>
    </w:pPr>
    <w:rPr>
      <w:rFonts w:eastAsia="宋体"/>
      <w:szCs w:val="24"/>
    </w:rPr>
  </w:style>
  <w:style w:type="paragraph" w:styleId="24">
    <w:name w:val="Body Text First Indent 2"/>
    <w:basedOn w:val="15"/>
    <w:next w:val="1"/>
    <w:qFormat/>
    <w:uiPriority w:val="0"/>
    <w:pPr>
      <w:ind w:firstLine="420" w:firstLineChars="200"/>
    </w:pPr>
  </w:style>
  <w:style w:type="table" w:styleId="26">
    <w:name w:val="Table Grid"/>
    <w:basedOn w:val="25"/>
    <w:qFormat/>
    <w:uiPriority w:val="0"/>
    <w:rPr>
      <w:lang w:val="en-US" w:eastAsia="zh-CN" w:bidi="ar-S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0"/>
    <w:rPr>
      <w:b/>
    </w:rPr>
  </w:style>
  <w:style w:type="character" w:styleId="29">
    <w:name w:val="page number"/>
    <w:basedOn w:val="27"/>
    <w:qFormat/>
    <w:uiPriority w:val="0"/>
  </w:style>
  <w:style w:type="character" w:styleId="30">
    <w:name w:val="Hyperlink"/>
    <w:basedOn w:val="27"/>
    <w:qFormat/>
    <w:uiPriority w:val="0"/>
    <w:rPr>
      <w:color w:val="0000FF"/>
      <w:u w:val="single"/>
    </w:rPr>
  </w:style>
  <w:style w:type="character" w:styleId="31">
    <w:name w:val="annotation reference"/>
    <w:qFormat/>
    <w:uiPriority w:val="0"/>
    <w:rPr>
      <w:sz w:val="21"/>
      <w:szCs w:val="21"/>
    </w:rPr>
  </w:style>
  <w:style w:type="character" w:customStyle="1" w:styleId="32">
    <w:name w:val="标题 4 Char"/>
    <w:link w:val="6"/>
    <w:qFormat/>
    <w:uiPriority w:val="9"/>
    <w:rPr>
      <w:rFonts w:ascii="Times New Roman" w:hAnsi="Times New Roman" w:eastAsia="宋体" w:cs="Times New Roman"/>
      <w:b/>
      <w:bCs/>
      <w:sz w:val="24"/>
      <w:szCs w:val="28"/>
    </w:rPr>
  </w:style>
  <w:style w:type="paragraph" w:customStyle="1" w:styleId="33">
    <w:name w:val="样式 正文文本 + 首行缩进:  2 字符"/>
    <w:basedOn w:val="14"/>
    <w:next w:val="1"/>
    <w:qFormat/>
    <w:uiPriority w:val="99"/>
    <w:pPr>
      <w:spacing w:after="200" w:line="480" w:lineRule="exact"/>
      <w:ind w:firstLine="480" w:firstLineChars="200"/>
    </w:pPr>
    <w:rPr>
      <w:rFonts w:ascii="宋体" w:hAnsi="宋体"/>
      <w:sz w:val="24"/>
    </w:rPr>
  </w:style>
  <w:style w:type="paragraph" w:customStyle="1" w:styleId="34">
    <w:name w:val="正文（首行缩进）"/>
    <w:basedOn w:val="1"/>
    <w:qFormat/>
    <w:uiPriority w:val="0"/>
    <w:pPr>
      <w:widowControl/>
      <w:overflowPunct w:val="0"/>
      <w:topLinePunct/>
      <w:autoSpaceDE w:val="0"/>
      <w:autoSpaceDN w:val="0"/>
      <w:adjustRightInd w:val="0"/>
      <w:snapToGrid w:val="0"/>
      <w:spacing w:line="360" w:lineRule="auto"/>
      <w:ind w:firstLine="200" w:firstLineChars="200"/>
      <w:textAlignment w:val="baseline"/>
    </w:pPr>
    <w:rPr>
      <w:bCs/>
      <w:snapToGrid w:val="0"/>
      <w:kern w:val="0"/>
      <w:sz w:val="24"/>
      <w:szCs w:val="24"/>
    </w:rPr>
  </w:style>
  <w:style w:type="paragraph" w:customStyle="1" w:styleId="35">
    <w:name w:val="Default"/>
    <w:basedOn w:val="36"/>
    <w:qFormat/>
    <w:uiPriority w:val="0"/>
    <w:pPr>
      <w:widowControl w:val="0"/>
      <w:autoSpaceDE w:val="0"/>
      <w:autoSpaceDN w:val="0"/>
      <w:spacing w:line="240" w:lineRule="auto"/>
      <w:jc w:val="left"/>
      <w:textAlignment w:val="auto"/>
    </w:pPr>
    <w:rPr>
      <w:rFonts w:hint="eastAsia" w:ascii="宋体"/>
      <w:sz w:val="24"/>
      <w:szCs w:val="24"/>
    </w:rPr>
  </w:style>
  <w:style w:type="paragraph" w:customStyle="1" w:styleId="36">
    <w:name w:val="纯文本1"/>
    <w:basedOn w:val="1"/>
    <w:qFormat/>
    <w:uiPriority w:val="99"/>
    <w:pPr>
      <w:autoSpaceDE w:val="0"/>
      <w:autoSpaceDN w:val="0"/>
      <w:adjustRightInd w:val="0"/>
      <w:snapToGrid w:val="0"/>
      <w:spacing w:beforeLines="50"/>
      <w:ind w:firstLine="480"/>
      <w:jc w:val="both"/>
      <w:textAlignment w:val="baseline"/>
    </w:pPr>
    <w:rPr>
      <w:rFonts w:ascii="宋体" w:hAnsi="宋体"/>
      <w:color w:val="000000"/>
      <w:kern w:val="0"/>
    </w:rPr>
  </w:style>
  <w:style w:type="paragraph" w:customStyle="1" w:styleId="37">
    <w:name w:val="样式 样式 样式 样式 样式 正文@ + 首行缩进:  2 字符 字距调整小四 紧缩量  0.2 磅 + 首行缩进:  2 字符..."/>
    <w:basedOn w:val="1"/>
    <w:qFormat/>
    <w:uiPriority w:val="0"/>
    <w:pPr>
      <w:spacing w:line="360" w:lineRule="auto"/>
      <w:ind w:firstLine="200" w:firstLineChars="200"/>
    </w:pPr>
    <w:rPr>
      <w:rFonts w:ascii="宋体" w:hAnsi="宋体" w:cs="宋体"/>
      <w:kern w:val="0"/>
      <w:sz w:val="24"/>
      <w:szCs w:val="20"/>
    </w:rPr>
  </w:style>
  <w:style w:type="paragraph" w:customStyle="1" w:styleId="38">
    <w:name w:val="正文1"/>
    <w:basedOn w:val="18"/>
    <w:qFormat/>
    <w:uiPriority w:val="0"/>
    <w:pPr>
      <w:spacing w:line="360" w:lineRule="auto"/>
      <w:ind w:firstLine="440" w:firstLineChars="200"/>
    </w:pPr>
    <w:rPr>
      <w:sz w:val="24"/>
    </w:rPr>
  </w:style>
  <w:style w:type="paragraph" w:customStyle="1" w:styleId="39">
    <w:name w:val="文本"/>
    <w:basedOn w:val="1"/>
    <w:next w:val="1"/>
    <w:qFormat/>
    <w:uiPriority w:val="0"/>
    <w:pPr>
      <w:autoSpaceDE w:val="0"/>
      <w:autoSpaceDN w:val="0"/>
      <w:ind w:firstLine="480"/>
    </w:pPr>
    <w:rPr>
      <w:rFonts w:cs="Times New Roman"/>
      <w:szCs w:val="24"/>
      <w:lang w:val="zh-CN"/>
    </w:rPr>
  </w:style>
  <w:style w:type="paragraph" w:customStyle="1" w:styleId="40">
    <w:name w:val="Table Paragraph"/>
    <w:basedOn w:val="1"/>
    <w:qFormat/>
    <w:uiPriority w:val="1"/>
    <w:pPr>
      <w:jc w:val="center"/>
    </w:pPr>
    <w:rPr>
      <w:rFonts w:ascii="宋体" w:hAnsi="宋体" w:eastAsia="宋体" w:cs="宋体"/>
      <w:lang w:val="zh-CN" w:eastAsia="zh-CN" w:bidi="zh-CN"/>
    </w:rPr>
  </w:style>
  <w:style w:type="paragraph" w:customStyle="1" w:styleId="41">
    <w:name w:val="Default1"/>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42">
    <w:name w:val="正文格式"/>
    <w:basedOn w:val="1"/>
    <w:next w:val="1"/>
    <w:qFormat/>
    <w:uiPriority w:val="0"/>
    <w:pPr>
      <w:spacing w:line="240" w:lineRule="auto"/>
      <w:ind w:firstLine="471"/>
    </w:pPr>
    <w:rPr>
      <w:rFonts w:ascii="宋体" w:hAnsi="宋体"/>
      <w:snapToGrid w:val="0"/>
      <w:color w:val="000000"/>
      <w:kern w:val="0"/>
    </w:rPr>
  </w:style>
  <w:style w:type="paragraph" w:customStyle="1" w:styleId="43">
    <w:name w:val="表格文本"/>
    <w:basedOn w:val="1"/>
    <w:next w:val="1"/>
    <w:qFormat/>
    <w:uiPriority w:val="0"/>
    <w:pPr>
      <w:snapToGrid w:val="0"/>
      <w:spacing w:line="240" w:lineRule="auto"/>
      <w:ind w:firstLine="0" w:firstLineChars="0"/>
      <w:jc w:val="center"/>
    </w:pPr>
    <w:rPr>
      <w:kern w:val="0"/>
      <w:sz w:val="21"/>
      <w:szCs w:val="21"/>
    </w:rPr>
  </w:style>
  <w:style w:type="paragraph" w:customStyle="1" w:styleId="44">
    <w:name w:val="表格"/>
    <w:basedOn w:val="14"/>
    <w:next w:val="1"/>
    <w:qFormat/>
    <w:uiPriority w:val="0"/>
    <w:pPr>
      <w:adjustRightInd w:val="0"/>
      <w:snapToGrid w:val="0"/>
      <w:spacing w:beforeLines="10" w:afterLines="10" w:line="259" w:lineRule="auto"/>
      <w:jc w:val="center"/>
    </w:pPr>
    <w:rPr>
      <w:rFonts w:ascii="宋体"/>
      <w:kern w:val="0"/>
      <w:szCs w:val="20"/>
    </w:rPr>
  </w:style>
  <w:style w:type="paragraph" w:customStyle="1" w:styleId="45">
    <w:name w:val="1正文"/>
    <w:basedOn w:val="1"/>
    <w:unhideWhenUsed/>
    <w:qFormat/>
    <w:uiPriority w:val="0"/>
    <w:pPr>
      <w:spacing w:line="440" w:lineRule="exact"/>
      <w:ind w:firstLine="480" w:firstLineChars="200"/>
    </w:pPr>
    <w:rPr>
      <w:sz w:val="24"/>
    </w:rPr>
  </w:style>
  <w:style w:type="paragraph" w:customStyle="1" w:styleId="46">
    <w:name w:val="表内容@"/>
    <w:basedOn w:val="1"/>
    <w:qFormat/>
    <w:uiPriority w:val="0"/>
    <w:pPr>
      <w:spacing w:line="0" w:lineRule="atLeast"/>
      <w:ind w:firstLine="0" w:firstLineChars="0"/>
      <w:jc w:val="center"/>
    </w:pPr>
    <w:rPr>
      <w:rFonts w:ascii="Times New Roman" w:hAnsi="Times New Roman" w:cs="宋体"/>
      <w:sz w:val="21"/>
    </w:rPr>
  </w:style>
  <w:style w:type="paragraph" w:customStyle="1" w:styleId="47">
    <w:name w:val="...正文"/>
    <w:basedOn w:val="1"/>
    <w:qFormat/>
    <w:uiPriority w:val="0"/>
    <w:pPr>
      <w:spacing w:line="480" w:lineRule="exact"/>
      <w:ind w:firstLine="560" w:firstLineChars="200"/>
      <w:jc w:val="both"/>
    </w:pPr>
    <w:rPr>
      <w:rFonts w:ascii="Times New Roman" w:hAnsi="Times New Roman" w:eastAsia="宋体" w:cs="Times New Roman"/>
      <w:kern w:val="0"/>
      <w:szCs w:val="20"/>
      <w:lang w:val="en-GB"/>
    </w:rPr>
  </w:style>
  <w:style w:type="paragraph" w:customStyle="1" w:styleId="48">
    <w:name w:val="正文2"/>
    <w:basedOn w:val="1"/>
    <w:qFormat/>
    <w:uiPriority w:val="0"/>
    <w:pPr>
      <w:spacing w:line="480" w:lineRule="exact"/>
      <w:ind w:firstLine="640"/>
      <w:jc w:val="both"/>
    </w:pPr>
    <w:rPr>
      <w:rFonts w:eastAsia="宋体"/>
    </w:rPr>
  </w:style>
  <w:style w:type="table" w:customStyle="1" w:styleId="49">
    <w:name w:val="Table Normal"/>
    <w:unhideWhenUsed/>
    <w:qFormat/>
    <w:uiPriority w:val="0"/>
    <w:tblPr>
      <w:tblCellMar>
        <w:top w:w="0" w:type="dxa"/>
        <w:left w:w="0" w:type="dxa"/>
        <w:bottom w:w="0" w:type="dxa"/>
        <w:right w:w="0" w:type="dxa"/>
      </w:tblCellMar>
    </w:tblPr>
  </w:style>
  <w:style w:type="paragraph" w:customStyle="1" w:styleId="50">
    <w:name w:val="Table Text"/>
    <w:basedOn w:val="1"/>
    <w:semiHidden/>
    <w:qFormat/>
    <w:uiPriority w:val="0"/>
    <w:rPr>
      <w:rFonts w:ascii="Times New Roman" w:hAnsi="Times New Roman" w:eastAsia="Times New Roman" w:cs="Times New Roman"/>
      <w:sz w:val="20"/>
      <w:szCs w:val="20"/>
      <w:lang w:val="en-US" w:eastAsia="en-US" w:bidi="ar-SA"/>
    </w:rPr>
  </w:style>
  <w:style w:type="character" w:customStyle="1" w:styleId="51">
    <w:name w:val="font11"/>
    <w:basedOn w:val="27"/>
    <w:qFormat/>
    <w:uiPriority w:val="0"/>
    <w:rPr>
      <w:rFonts w:hint="eastAsia" w:ascii="宋体" w:hAnsi="宋体" w:eastAsia="宋体" w:cs="宋体"/>
      <w:color w:val="000000"/>
      <w:sz w:val="21"/>
      <w:szCs w:val="21"/>
      <w:u w:val="none"/>
    </w:rPr>
  </w:style>
  <w:style w:type="character" w:customStyle="1" w:styleId="52">
    <w:name w:val="font21"/>
    <w:basedOn w:val="27"/>
    <w:qFormat/>
    <w:uiPriority w:val="0"/>
    <w:rPr>
      <w:rFonts w:hint="default" w:ascii="Times New Roman" w:hAnsi="Times New Roman" w:cs="Times New Roman"/>
      <w:color w:val="000000"/>
      <w:sz w:val="21"/>
      <w:szCs w:val="21"/>
      <w:u w:val="none"/>
    </w:rPr>
  </w:style>
  <w:style w:type="character" w:customStyle="1" w:styleId="53">
    <w:name w:val="font31"/>
    <w:basedOn w:val="27"/>
    <w:qFormat/>
    <w:uiPriority w:val="0"/>
    <w:rPr>
      <w:rFonts w:hint="eastAsia" w:ascii="宋体" w:hAnsi="宋体" w:eastAsia="宋体" w:cs="宋体"/>
      <w:b/>
      <w:bCs/>
      <w:color w:val="000000"/>
      <w:sz w:val="21"/>
      <w:szCs w:val="21"/>
      <w:u w:val="none"/>
    </w:rPr>
  </w:style>
  <w:style w:type="paragraph" w:customStyle="1" w:styleId="54">
    <w:name w:val="表格字体"/>
    <w:next w:val="1"/>
    <w:qFormat/>
    <w:uiPriority w:val="0"/>
    <w:pPr>
      <w:spacing w:line="360" w:lineRule="auto"/>
      <w:jc w:val="center"/>
    </w:pPr>
    <w:rPr>
      <w:rFonts w:ascii="Times New Roman" w:hAnsi="Times New Roman" w:eastAsia="宋体" w:cs="Times New Roman"/>
      <w:kern w:val="2"/>
      <w:sz w:val="21"/>
      <w:szCs w:val="22"/>
      <w:lang w:val="en-US" w:eastAsia="zh-CN" w:bidi="ar-SA"/>
    </w:rPr>
  </w:style>
  <w:style w:type="paragraph" w:customStyle="1" w:styleId="55">
    <w:name w:val="报告表正文"/>
    <w:basedOn w:val="35"/>
    <w:qFormat/>
    <w:uiPriority w:val="0"/>
    <w:pPr>
      <w:spacing w:before="24" w:after="24"/>
      <w:ind w:firstLine="480"/>
    </w:pPr>
    <w:rPr>
      <w:color w:val="auto"/>
      <w:szCs w:val="21"/>
    </w:rPr>
  </w:style>
  <w:style w:type="paragraph" w:customStyle="1" w:styleId="56">
    <w:name w:val="表格文字D"/>
    <w:basedOn w:val="1"/>
    <w:qFormat/>
    <w:uiPriority w:val="0"/>
    <w:pPr>
      <w:spacing w:line="240" w:lineRule="auto"/>
      <w:ind w:firstLine="0" w:firstLineChars="0"/>
      <w:jc w:val="center"/>
    </w:pPr>
    <w:rPr>
      <w:rFonts w:hint="eastAsia"/>
      <w:sz w:val="21"/>
    </w:rPr>
  </w:style>
  <w:style w:type="paragraph" w:customStyle="1" w:styleId="57">
    <w:name w:val="表头12.20"/>
    <w:basedOn w:val="55"/>
    <w:qFormat/>
    <w:uiPriority w:val="0"/>
    <w:pPr>
      <w:spacing w:before="0" w:beforeLines="0" w:after="0" w:afterLines="0" w:line="240" w:lineRule="auto"/>
      <w:ind w:firstLine="0" w:firstLineChars="0"/>
      <w:jc w:val="center"/>
    </w:pPr>
    <w:rPr>
      <w:b/>
      <w:color w:val="0070C0"/>
    </w:rPr>
  </w:style>
  <w:style w:type="paragraph" w:customStyle="1" w:styleId="58">
    <w:name w:val="表格内容"/>
    <w:basedOn w:val="44"/>
    <w:qFormat/>
    <w:uiPriority w:val="0"/>
    <w:pPr>
      <w:spacing w:beforeLines="0" w:afterLines="0" w:line="240" w:lineRule="atLeast"/>
    </w:pPr>
    <w:rPr>
      <w:rFonts w:ascii="Times New Roman"/>
      <w:color w:val="000000"/>
      <w:kern w:val="2"/>
      <w:szCs w:val="24"/>
    </w:rPr>
  </w:style>
  <w:style w:type="paragraph" w:customStyle="1" w:styleId="59">
    <w:name w:val="样式 四号 首行缩进:  2 字符"/>
    <w:basedOn w:val="1"/>
    <w:qFormat/>
    <w:uiPriority w:val="0"/>
    <w:pPr>
      <w:spacing w:line="480" w:lineRule="atLeast"/>
      <w:ind w:firstLine="200" w:firstLineChars="200"/>
    </w:pPr>
    <w:rPr>
      <w:sz w:val="24"/>
      <w:szCs w:val="24"/>
    </w:rPr>
  </w:style>
  <w:style w:type="paragraph" w:customStyle="1" w:styleId="60">
    <w:name w:val="正文_0"/>
    <w:qFormat/>
    <w:uiPriority w:val="0"/>
    <w:pPr>
      <w:widowControl w:val="0"/>
      <w:jc w:val="both"/>
    </w:pPr>
    <w:rPr>
      <w:rFonts w:ascii="Calibri" w:hAnsi="Calibri"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3" Type="http://schemas.microsoft.com/office/2011/relationships/people" Target="people.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comments" Target="comments.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jpeg"/><Relationship Id="rId16" Type="http://schemas.openxmlformats.org/officeDocument/2006/relationships/image" Target="media/image2.jpeg"/><Relationship Id="rId15" Type="http://schemas.openxmlformats.org/officeDocument/2006/relationships/image" Target="media/image1.emf"/><Relationship Id="rId14" Type="http://schemas.openxmlformats.org/officeDocument/2006/relationships/oleObject" Target="embeddings/oleObject1.bin"/><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112</Pages>
  <Words>16502</Words>
  <Characters>17563</Characters>
  <Lines>0</Lines>
  <Paragraphs>0</Paragraphs>
  <TotalTime>2</TotalTime>
  <ScaleCrop>false</ScaleCrop>
  <LinksUpToDate>false</LinksUpToDate>
  <CharactersWithSpaces>17658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2023-05-04T00:27:00Z</dcterms:created>
  <dc:creator>Administrator</dc:creator>
  <cp:lastModifiedBy>席绍添</cp:lastModifiedBy>
  <cp:lastPrinted>2026-07-09T00:58:00Z</cp:lastPrinted>
  <dcterms:modified xsi:type="dcterms:W3CDTF">2026-07-30T01:35:39Z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C716EBF5F6BB4DB2B44F8A305FB91896_13</vt:lpwstr>
  </property>
  <property fmtid="{D5CDD505-2E9C-101B-9397-08002B2CF9AE}" pid="4" name="KSOTemplateDocerSaveRecord">
    <vt:lpwstr>eyJoZGlkIjoiNjRkODU1MDMwNjdhNTM4YTAzMzliOGJiZmY0YTI3YjgiLCJ1c2VySWQiOiIxNzEwNjc5MTU1In0=</vt:lpwstr>
  </property>
</Properties>
</file>