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77E1A">
      <w:pPr>
        <w:autoSpaceDE w:val="0"/>
        <w:autoSpaceDN w:val="0"/>
        <w:adjustRightInd w:val="0"/>
        <w:spacing w:line="600" w:lineRule="exact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关于石家庄高新技术产业开发区太行街道办事处</w:t>
      </w:r>
      <w:r>
        <w:rPr>
          <w:rFonts w:ascii="宋体" w:hAnsi="宋体" w:cs="宋体"/>
          <w:b/>
          <w:bCs/>
          <w:sz w:val="44"/>
          <w:szCs w:val="44"/>
        </w:rPr>
        <w:t>2015</w:t>
      </w:r>
      <w:r>
        <w:rPr>
          <w:rFonts w:hint="eastAsia" w:ascii="宋体" w:hAnsi="宋体" w:cs="宋体"/>
          <w:b/>
          <w:bCs/>
          <w:sz w:val="44"/>
          <w:szCs w:val="44"/>
        </w:rPr>
        <w:t>年度决算情况说明</w:t>
      </w:r>
    </w:p>
    <w:p w14:paraId="68E4CDF1">
      <w:pPr>
        <w:autoSpaceDE w:val="0"/>
        <w:autoSpaceDN w:val="0"/>
        <w:adjustRightInd w:val="0"/>
        <w:spacing w:line="600" w:lineRule="exact"/>
        <w:jc w:val="center"/>
        <w:rPr>
          <w:rFonts w:ascii="宋体"/>
          <w:b/>
          <w:bCs/>
          <w:sz w:val="44"/>
          <w:szCs w:val="44"/>
        </w:rPr>
      </w:pPr>
    </w:p>
    <w:p w14:paraId="143E2CFD">
      <w:pPr>
        <w:autoSpaceDE w:val="0"/>
        <w:autoSpaceDN w:val="0"/>
        <w:adjustRightInd w:val="0"/>
        <w:spacing w:line="600" w:lineRule="exact"/>
        <w:ind w:firstLine="790" w:firstLineChars="24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一、收入支出决算总体情况说明</w:t>
      </w:r>
    </w:p>
    <w:p w14:paraId="4A0516A1">
      <w:pPr>
        <w:spacing w:line="600" w:lineRule="exact"/>
        <w:ind w:firstLine="800" w:firstLineChars="2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（一）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年度收支与上年决算对比情况</w:t>
      </w:r>
    </w:p>
    <w:p w14:paraId="34056BA6">
      <w:pPr>
        <w:spacing w:line="600" w:lineRule="exact"/>
        <w:ind w:firstLine="800" w:firstLineChars="250"/>
        <w:rPr>
          <w:rFonts w:ascii="宋体" w:cs="仿宋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太行街道办事处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年度收入总计</w:t>
      </w:r>
      <w:r>
        <w:rPr>
          <w:rFonts w:ascii="宋体" w:hAnsi="宋体"/>
          <w:sz w:val="32"/>
          <w:szCs w:val="32"/>
        </w:rPr>
        <w:t>6102.02</w:t>
      </w:r>
      <w:r>
        <w:rPr>
          <w:rFonts w:hint="eastAsia" w:ascii="宋体" w:hAnsi="宋体"/>
          <w:sz w:val="32"/>
          <w:szCs w:val="32"/>
        </w:rPr>
        <w:t>万元</w:t>
      </w:r>
      <w:r>
        <w:rPr>
          <w:rFonts w:ascii="宋体"/>
          <w:sz w:val="32"/>
          <w:szCs w:val="32"/>
        </w:rPr>
        <w:t>,</w:t>
      </w:r>
      <w:r>
        <w:rPr>
          <w:rFonts w:hint="eastAsia" w:ascii="宋体" w:hAnsi="宋体"/>
          <w:sz w:val="32"/>
          <w:szCs w:val="32"/>
        </w:rPr>
        <w:t>支出总计</w:t>
      </w:r>
      <w:r>
        <w:rPr>
          <w:rFonts w:ascii="宋体" w:hAnsi="宋体"/>
          <w:sz w:val="32"/>
          <w:szCs w:val="32"/>
        </w:rPr>
        <w:t>6096.19</w:t>
      </w:r>
      <w:r>
        <w:rPr>
          <w:rFonts w:hint="eastAsia" w:ascii="宋体" w:hAnsi="宋体"/>
          <w:sz w:val="32"/>
          <w:szCs w:val="32"/>
        </w:rPr>
        <w:t>万元</w:t>
      </w:r>
      <w:r>
        <w:rPr>
          <w:rFonts w:ascii="宋体"/>
          <w:sz w:val="32"/>
          <w:szCs w:val="32"/>
        </w:rPr>
        <w:t>,</w:t>
      </w:r>
      <w:r>
        <w:rPr>
          <w:rFonts w:hint="eastAsia" w:ascii="宋体" w:hAnsi="宋体"/>
          <w:sz w:val="32"/>
          <w:szCs w:val="32"/>
        </w:rPr>
        <w:t>结余</w:t>
      </w:r>
      <w:r>
        <w:rPr>
          <w:rFonts w:ascii="宋体" w:hAnsi="宋体"/>
          <w:sz w:val="32"/>
          <w:szCs w:val="32"/>
        </w:rPr>
        <w:t>5.83</w:t>
      </w:r>
      <w:r>
        <w:rPr>
          <w:rFonts w:hint="eastAsia" w:ascii="宋体" w:hAnsi="宋体"/>
          <w:sz w:val="32"/>
          <w:szCs w:val="32"/>
        </w:rPr>
        <w:t>万元。与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年相比，收、支总计各增加</w:t>
      </w:r>
      <w:r>
        <w:rPr>
          <w:rFonts w:ascii="宋体" w:hAnsi="宋体"/>
          <w:sz w:val="32"/>
          <w:szCs w:val="32"/>
        </w:rPr>
        <w:t>5449.56</w:t>
      </w:r>
      <w:r>
        <w:rPr>
          <w:rFonts w:hint="eastAsia" w:ascii="宋体" w:hAnsi="宋体"/>
          <w:sz w:val="32"/>
          <w:szCs w:val="32"/>
        </w:rPr>
        <w:t>万元，增长</w:t>
      </w:r>
      <w:r>
        <w:rPr>
          <w:rFonts w:ascii="宋体" w:hAnsi="宋体"/>
          <w:sz w:val="32"/>
          <w:szCs w:val="32"/>
        </w:rPr>
        <w:t>835.23%</w:t>
      </w:r>
      <w:r>
        <w:rPr>
          <w:rFonts w:hint="eastAsia" w:ascii="宋体" w:hAnsi="宋体"/>
          <w:sz w:val="32"/>
          <w:szCs w:val="32"/>
        </w:rPr>
        <w:t>。主要原因：新增太行嘉苑物业补贴、办事处办公楼租赁</w:t>
      </w:r>
      <w:r>
        <w:rPr>
          <w:rFonts w:ascii="宋体"/>
          <w:sz w:val="32"/>
          <w:szCs w:val="32"/>
        </w:rPr>
        <w:t>\</w:t>
      </w:r>
      <w:r>
        <w:rPr>
          <w:rFonts w:hint="eastAsia" w:ascii="宋体" w:hAnsi="宋体"/>
          <w:sz w:val="32"/>
          <w:szCs w:val="32"/>
        </w:rPr>
        <w:t>取暖、办事处开办费、保安费、物业费、切块资金、超收奖励资金、各村本金利息、</w:t>
      </w:r>
      <w:r>
        <w:rPr>
          <w:rFonts w:ascii="宋体" w:hAnsi="宋体"/>
          <w:sz w:val="32"/>
          <w:szCs w:val="32"/>
        </w:rPr>
        <w:t>5C</w:t>
      </w:r>
      <w:r>
        <w:rPr>
          <w:rFonts w:hint="eastAsia" w:ascii="宋体" w:hAnsi="宋体"/>
          <w:sz w:val="32"/>
          <w:szCs w:val="32"/>
        </w:rPr>
        <w:t>安置楼逾期过渡费、诚通占地范围内物资设备搬倒费奖励垃圾清运费、长江大道东延拆迁奖金、各村征地农户补贴资金等项目经费。</w:t>
      </w:r>
    </w:p>
    <w:p w14:paraId="02C87EA6">
      <w:pPr>
        <w:spacing w:line="600" w:lineRule="exact"/>
        <w:ind w:firstLine="800" w:firstLineChars="250"/>
        <w:rPr>
          <w:rFonts w:ascii="宋体" w:cs="仿宋"/>
          <w:sz w:val="32"/>
          <w:szCs w:val="32"/>
        </w:rPr>
      </w:pPr>
      <w:r>
        <w:rPr>
          <w:rFonts w:hint="eastAsia" w:ascii="宋体" w:hAnsi="宋体" w:cs="仿宋"/>
          <w:sz w:val="32"/>
          <w:szCs w:val="32"/>
        </w:rPr>
        <w:t>（二）</w:t>
      </w:r>
      <w:r>
        <w:rPr>
          <w:rFonts w:ascii="宋体" w:hAnsi="宋体" w:cs="仿宋"/>
          <w:sz w:val="32"/>
          <w:szCs w:val="32"/>
        </w:rPr>
        <w:t>2015</w:t>
      </w:r>
      <w:r>
        <w:rPr>
          <w:rFonts w:hint="eastAsia" w:ascii="宋体" w:hAnsi="宋体" w:cs="仿宋"/>
          <w:sz w:val="32"/>
          <w:szCs w:val="32"/>
        </w:rPr>
        <w:t>年度财政拨款支出与预算数对比情况</w:t>
      </w:r>
    </w:p>
    <w:p w14:paraId="49723257">
      <w:pPr>
        <w:spacing w:line="600" w:lineRule="exact"/>
        <w:ind w:firstLine="800" w:firstLineChars="250"/>
        <w:rPr>
          <w:rFonts w:ascii="宋体" w:cs="仿宋"/>
          <w:sz w:val="32"/>
          <w:szCs w:val="32"/>
        </w:rPr>
      </w:pPr>
      <w:r>
        <w:rPr>
          <w:rFonts w:hint="eastAsia" w:ascii="宋体" w:hAnsi="宋体" w:cs="仿宋"/>
          <w:sz w:val="32"/>
          <w:szCs w:val="32"/>
        </w:rPr>
        <w:t>太行街道办事处</w:t>
      </w:r>
      <w:r>
        <w:rPr>
          <w:rFonts w:ascii="宋体" w:hAnsi="宋体" w:cs="仿宋"/>
          <w:sz w:val="32"/>
          <w:szCs w:val="32"/>
        </w:rPr>
        <w:t>2015</w:t>
      </w:r>
      <w:r>
        <w:rPr>
          <w:rFonts w:hint="eastAsia" w:ascii="宋体" w:hAnsi="宋体" w:cs="仿宋"/>
          <w:sz w:val="32"/>
          <w:szCs w:val="32"/>
        </w:rPr>
        <w:t>年度财政拨款支出决算</w:t>
      </w:r>
      <w:r>
        <w:rPr>
          <w:rFonts w:ascii="宋体" w:hAnsi="宋体"/>
          <w:sz w:val="32"/>
          <w:szCs w:val="32"/>
        </w:rPr>
        <w:t>6096.19</w:t>
      </w:r>
      <w:r>
        <w:rPr>
          <w:rFonts w:hint="eastAsia" w:ascii="宋体" w:hAnsi="宋体"/>
          <w:sz w:val="32"/>
          <w:szCs w:val="32"/>
        </w:rPr>
        <w:t>万元</w:t>
      </w:r>
      <w:r>
        <w:rPr>
          <w:rFonts w:ascii="宋体"/>
          <w:sz w:val="32"/>
          <w:szCs w:val="32"/>
        </w:rPr>
        <w:t>,</w:t>
      </w:r>
      <w:r>
        <w:rPr>
          <w:rFonts w:hint="eastAsia" w:ascii="宋体" w:hAnsi="宋体"/>
          <w:sz w:val="32"/>
          <w:szCs w:val="32"/>
        </w:rPr>
        <w:t>结余</w:t>
      </w:r>
      <w:r>
        <w:rPr>
          <w:rFonts w:ascii="宋体" w:hAnsi="宋体"/>
          <w:sz w:val="32"/>
          <w:szCs w:val="32"/>
        </w:rPr>
        <w:t>5.83</w:t>
      </w:r>
      <w:r>
        <w:rPr>
          <w:rFonts w:hint="eastAsia" w:ascii="宋体" w:hAnsi="宋体"/>
          <w:sz w:val="32"/>
          <w:szCs w:val="32"/>
        </w:rPr>
        <w:t>万元。与年初预算数相比，增加</w:t>
      </w:r>
      <w:r>
        <w:rPr>
          <w:rFonts w:ascii="宋体" w:hAnsi="宋体"/>
          <w:sz w:val="32"/>
          <w:szCs w:val="32"/>
        </w:rPr>
        <w:t>3546.62</w:t>
      </w:r>
      <w:r>
        <w:rPr>
          <w:rFonts w:hint="eastAsia" w:ascii="宋体" w:hAnsi="宋体"/>
          <w:sz w:val="32"/>
          <w:szCs w:val="32"/>
        </w:rPr>
        <w:t>万元，增加</w:t>
      </w:r>
      <w:r>
        <w:rPr>
          <w:rFonts w:ascii="宋体" w:hAnsi="宋体"/>
          <w:sz w:val="32"/>
          <w:szCs w:val="32"/>
        </w:rPr>
        <w:t>139.07%</w:t>
      </w:r>
      <w:r>
        <w:rPr>
          <w:rFonts w:hint="eastAsia" w:ascii="宋体" w:hAnsi="宋体"/>
          <w:sz w:val="32"/>
          <w:szCs w:val="32"/>
        </w:rPr>
        <w:t>。主要原因是新增各村本金利息项目经费。</w:t>
      </w:r>
    </w:p>
    <w:p w14:paraId="2C69FC14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二、收入决算情况说明</w:t>
      </w:r>
    </w:p>
    <w:p w14:paraId="4A9C050B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本年收入合计</w:t>
      </w:r>
      <w:r>
        <w:rPr>
          <w:sz w:val="32"/>
          <w:szCs w:val="32"/>
        </w:rPr>
        <w:t>6096.19</w:t>
      </w:r>
      <w:r>
        <w:rPr>
          <w:rFonts w:hint="eastAsia"/>
          <w:sz w:val="32"/>
          <w:szCs w:val="32"/>
        </w:rPr>
        <w:t>万元，其中：财政拨款收入</w:t>
      </w:r>
      <w:r>
        <w:rPr>
          <w:sz w:val="32"/>
          <w:szCs w:val="32"/>
        </w:rPr>
        <w:t>6055.23</w:t>
      </w:r>
      <w:r>
        <w:rPr>
          <w:rFonts w:hint="eastAsia"/>
          <w:sz w:val="32"/>
          <w:szCs w:val="32"/>
        </w:rPr>
        <w:t>万元，占</w:t>
      </w:r>
      <w:r>
        <w:rPr>
          <w:sz w:val="32"/>
          <w:szCs w:val="32"/>
        </w:rPr>
        <w:t>99.33%</w:t>
      </w:r>
      <w:r>
        <w:rPr>
          <w:rFonts w:hint="eastAsia"/>
          <w:sz w:val="32"/>
          <w:szCs w:val="32"/>
        </w:rPr>
        <w:t>；其他收入</w:t>
      </w:r>
      <w:r>
        <w:rPr>
          <w:sz w:val="32"/>
          <w:szCs w:val="32"/>
        </w:rPr>
        <w:t>40.96</w:t>
      </w:r>
      <w:r>
        <w:rPr>
          <w:rFonts w:hint="eastAsia"/>
          <w:sz w:val="32"/>
          <w:szCs w:val="32"/>
        </w:rPr>
        <w:t>万元，占</w:t>
      </w:r>
      <w:r>
        <w:rPr>
          <w:sz w:val="32"/>
          <w:szCs w:val="32"/>
        </w:rPr>
        <w:t>0.67%</w:t>
      </w:r>
      <w:r>
        <w:rPr>
          <w:rFonts w:hint="eastAsia"/>
          <w:sz w:val="32"/>
          <w:szCs w:val="32"/>
        </w:rPr>
        <w:t>。</w:t>
      </w:r>
    </w:p>
    <w:p w14:paraId="380508A5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三、支出决算情况说明</w:t>
      </w:r>
    </w:p>
    <w:p w14:paraId="7678129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/>
          <w:sz w:val="32"/>
          <w:szCs w:val="32"/>
        </w:rPr>
        <w:t>本年支出合计</w:t>
      </w:r>
      <w:r>
        <w:rPr>
          <w:rFonts w:ascii="仿宋" w:hAnsi="仿宋" w:eastAsia="仿宋"/>
          <w:sz w:val="32"/>
          <w:szCs w:val="32"/>
        </w:rPr>
        <w:t>6096.19</w:t>
      </w:r>
      <w:r>
        <w:rPr>
          <w:rFonts w:hint="eastAsia" w:ascii="仿宋" w:hAnsi="仿宋" w:eastAsia="仿宋"/>
          <w:sz w:val="32"/>
          <w:szCs w:val="32"/>
        </w:rPr>
        <w:t>万元，其中：基本支出</w:t>
      </w:r>
      <w:r>
        <w:rPr>
          <w:rFonts w:ascii="仿宋" w:hAnsi="仿宋" w:eastAsia="仿宋"/>
          <w:sz w:val="32"/>
          <w:szCs w:val="32"/>
        </w:rPr>
        <w:t>333.81</w:t>
      </w:r>
      <w:r>
        <w:rPr>
          <w:rFonts w:hint="eastAsia" w:ascii="仿宋" w:hAnsi="仿宋" w:eastAsia="仿宋"/>
          <w:sz w:val="32"/>
          <w:szCs w:val="32"/>
        </w:rPr>
        <w:t>万元，占</w:t>
      </w:r>
      <w:r>
        <w:rPr>
          <w:rFonts w:ascii="仿宋" w:hAnsi="仿宋" w:eastAsia="仿宋"/>
          <w:sz w:val="32"/>
          <w:szCs w:val="32"/>
        </w:rPr>
        <w:t>5.48%</w:t>
      </w:r>
      <w:r>
        <w:rPr>
          <w:rFonts w:hint="eastAsia" w:ascii="仿宋" w:hAnsi="仿宋" w:eastAsia="仿宋"/>
          <w:sz w:val="32"/>
          <w:szCs w:val="32"/>
        </w:rPr>
        <w:t>；项目支出</w:t>
      </w:r>
      <w:r>
        <w:rPr>
          <w:rFonts w:ascii="仿宋" w:hAnsi="仿宋" w:eastAsia="仿宋"/>
          <w:sz w:val="32"/>
          <w:szCs w:val="32"/>
        </w:rPr>
        <w:t>5762.38</w:t>
      </w:r>
      <w:r>
        <w:rPr>
          <w:rFonts w:hint="eastAsia" w:ascii="仿宋" w:hAnsi="仿宋" w:eastAsia="仿宋"/>
          <w:sz w:val="32"/>
          <w:szCs w:val="32"/>
        </w:rPr>
        <w:t>万元，占</w:t>
      </w:r>
      <w:r>
        <w:rPr>
          <w:rFonts w:ascii="仿宋" w:hAnsi="仿宋" w:eastAsia="仿宋"/>
          <w:sz w:val="32"/>
          <w:szCs w:val="32"/>
        </w:rPr>
        <w:t>94.52%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74FAB55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四、财政拨款收入支出决算总体情况说明</w:t>
      </w:r>
    </w:p>
    <w:p w14:paraId="12415AAB">
      <w:pPr>
        <w:spacing w:line="600" w:lineRule="exact"/>
        <w:ind w:firstLine="800" w:firstLineChars="2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太行街道办事处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年度财政拨款收支总决算</w:t>
      </w:r>
      <w:r>
        <w:rPr>
          <w:rFonts w:ascii="宋体" w:hAnsi="宋体"/>
          <w:sz w:val="32"/>
          <w:szCs w:val="32"/>
        </w:rPr>
        <w:t>6055.23</w:t>
      </w:r>
      <w:r>
        <w:rPr>
          <w:rFonts w:hint="eastAsia" w:ascii="宋体" w:hAnsi="宋体"/>
          <w:sz w:val="32"/>
          <w:szCs w:val="32"/>
        </w:rPr>
        <w:t>万元。与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年相比，财政拨款收、支总计各增加</w:t>
      </w:r>
      <w:r>
        <w:rPr>
          <w:rFonts w:ascii="宋体" w:hAnsi="宋体"/>
          <w:sz w:val="32"/>
          <w:szCs w:val="32"/>
        </w:rPr>
        <w:t>5412.58</w:t>
      </w:r>
      <w:r>
        <w:rPr>
          <w:rFonts w:hint="eastAsia" w:ascii="宋体" w:hAnsi="宋体"/>
          <w:sz w:val="32"/>
          <w:szCs w:val="32"/>
        </w:rPr>
        <w:t>万元，增长</w:t>
      </w:r>
      <w:r>
        <w:rPr>
          <w:rFonts w:ascii="宋体" w:hAnsi="宋体"/>
          <w:sz w:val="32"/>
          <w:szCs w:val="32"/>
        </w:rPr>
        <w:t>842.23%</w:t>
      </w:r>
      <w:r>
        <w:rPr>
          <w:rFonts w:hint="eastAsia" w:ascii="宋体" w:hAnsi="宋体"/>
          <w:sz w:val="32"/>
          <w:szCs w:val="32"/>
        </w:rPr>
        <w:t>。主要原因：新增太行嘉苑物业补贴、办事处办公楼租赁</w:t>
      </w:r>
      <w:r>
        <w:rPr>
          <w:rFonts w:ascii="宋体"/>
          <w:sz w:val="32"/>
          <w:szCs w:val="32"/>
        </w:rPr>
        <w:t>\</w:t>
      </w:r>
      <w:r>
        <w:rPr>
          <w:rFonts w:hint="eastAsia" w:ascii="宋体" w:hAnsi="宋体"/>
          <w:sz w:val="32"/>
          <w:szCs w:val="32"/>
        </w:rPr>
        <w:t>取暖、办事处开办费、保安费、物业费、切块资金、超收奖励资金、</w:t>
      </w:r>
      <w:r>
        <w:rPr>
          <w:rFonts w:ascii="宋体" w:hAnsi="宋体"/>
          <w:sz w:val="32"/>
          <w:szCs w:val="32"/>
        </w:rPr>
        <w:t>5C</w:t>
      </w:r>
      <w:r>
        <w:rPr>
          <w:rFonts w:hint="eastAsia" w:ascii="宋体" w:hAnsi="宋体"/>
          <w:sz w:val="32"/>
          <w:szCs w:val="32"/>
        </w:rPr>
        <w:t>安置楼逾期过渡费、诚通占地范围内物资设备搬倒费奖励垃圾清运费、长江大道东延拆迁奖金、各村征地农户补贴资金等项目经费。</w:t>
      </w:r>
    </w:p>
    <w:p w14:paraId="65F7DE31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五、一般公共预算财政拨款“三公”经费支出决算情况说明</w:t>
      </w:r>
    </w:p>
    <w:p w14:paraId="014B9A7C">
      <w:pPr>
        <w:ind w:firstLine="800" w:firstLineChars="250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年部门“三公”经费财政拨款支出预算为</w:t>
      </w:r>
      <w:r>
        <w:rPr>
          <w:rFonts w:ascii="宋体" w:hAnsi="宋体"/>
          <w:sz w:val="32"/>
          <w:szCs w:val="32"/>
        </w:rPr>
        <w:t>11.16</w:t>
      </w:r>
      <w:r>
        <w:rPr>
          <w:rFonts w:hint="eastAsia" w:ascii="宋体" w:hAnsi="宋体"/>
          <w:sz w:val="32"/>
          <w:szCs w:val="32"/>
        </w:rPr>
        <w:t>万元，支出决算为</w:t>
      </w:r>
      <w:r>
        <w:rPr>
          <w:rFonts w:ascii="宋体" w:hAnsi="宋体"/>
          <w:sz w:val="32"/>
          <w:szCs w:val="32"/>
        </w:rPr>
        <w:t>8.69</w:t>
      </w:r>
      <w:r>
        <w:rPr>
          <w:rFonts w:hint="eastAsia" w:ascii="宋体" w:hAnsi="宋体"/>
          <w:sz w:val="32"/>
          <w:szCs w:val="32"/>
        </w:rPr>
        <w:t>万元，完成预算的</w:t>
      </w:r>
      <w:r>
        <w:rPr>
          <w:rFonts w:ascii="宋体" w:hAnsi="宋体"/>
          <w:sz w:val="32"/>
          <w:szCs w:val="32"/>
        </w:rPr>
        <w:t>77.87%</w:t>
      </w:r>
      <w:r>
        <w:rPr>
          <w:rFonts w:hint="eastAsia" w:ascii="宋体" w:hAnsi="宋体"/>
          <w:sz w:val="32"/>
          <w:szCs w:val="32"/>
        </w:rPr>
        <w:t>，较上年决算减少</w:t>
      </w:r>
      <w:r>
        <w:rPr>
          <w:rFonts w:ascii="宋体" w:hAnsi="宋体"/>
          <w:sz w:val="32"/>
          <w:szCs w:val="32"/>
        </w:rPr>
        <w:t>7.35</w:t>
      </w:r>
      <w:r>
        <w:rPr>
          <w:rFonts w:hint="eastAsia" w:ascii="宋体" w:hAnsi="宋体"/>
          <w:sz w:val="32"/>
          <w:szCs w:val="32"/>
        </w:rPr>
        <w:t>万元，降低</w:t>
      </w:r>
      <w:r>
        <w:rPr>
          <w:rFonts w:ascii="宋体" w:hAnsi="宋体"/>
          <w:sz w:val="32"/>
          <w:szCs w:val="32"/>
        </w:rPr>
        <w:t>45.82%</w:t>
      </w:r>
      <w:r>
        <w:rPr>
          <w:rFonts w:hint="eastAsia" w:ascii="宋体" w:hAnsi="宋体"/>
          <w:sz w:val="32"/>
          <w:szCs w:val="32"/>
        </w:rPr>
        <w:t>。具体支出情况如下：</w:t>
      </w:r>
    </w:p>
    <w:p w14:paraId="167353DC">
      <w:pPr>
        <w:ind w:firstLine="800" w:firstLineChars="2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（一）因公出国（境）费用</w:t>
      </w:r>
      <w:r>
        <w:rPr>
          <w:rFonts w:ascii="宋体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元，占</w:t>
      </w:r>
      <w:r>
        <w:rPr>
          <w:rFonts w:ascii="宋体" w:hAnsi="宋体"/>
          <w:sz w:val="32"/>
          <w:szCs w:val="32"/>
        </w:rPr>
        <w:t>0%</w:t>
      </w:r>
      <w:r>
        <w:rPr>
          <w:rFonts w:hint="eastAsia" w:ascii="宋体" w:hAnsi="宋体"/>
          <w:sz w:val="32"/>
          <w:szCs w:val="32"/>
        </w:rPr>
        <w:t>。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年度未组织出国</w:t>
      </w:r>
      <w:r>
        <w:rPr>
          <w:rFonts w:ascii="宋体" w:hAnsi="宋体"/>
          <w:sz w:val="32"/>
          <w:szCs w:val="32"/>
        </w:rPr>
        <w:t>(</w:t>
      </w:r>
      <w:r>
        <w:rPr>
          <w:rFonts w:hint="eastAsia" w:ascii="宋体" w:hAnsi="宋体"/>
          <w:sz w:val="32"/>
          <w:szCs w:val="32"/>
        </w:rPr>
        <w:t>境</w:t>
      </w:r>
      <w:r>
        <w:rPr>
          <w:rFonts w:ascii="宋体" w:hAnsi="宋体"/>
          <w:sz w:val="32"/>
          <w:szCs w:val="32"/>
        </w:rPr>
        <w:t>)</w:t>
      </w:r>
      <w:r>
        <w:rPr>
          <w:rFonts w:hint="eastAsia" w:ascii="宋体" w:hAnsi="宋体"/>
          <w:sz w:val="32"/>
          <w:szCs w:val="32"/>
        </w:rPr>
        <w:t>团组，没有人员参加其他单位组织的出国</w:t>
      </w:r>
      <w:r>
        <w:rPr>
          <w:rFonts w:ascii="宋体" w:hAnsi="宋体"/>
          <w:sz w:val="32"/>
          <w:szCs w:val="32"/>
        </w:rPr>
        <w:t>(</w:t>
      </w:r>
      <w:r>
        <w:rPr>
          <w:rFonts w:hint="eastAsia" w:ascii="宋体" w:hAnsi="宋体"/>
          <w:sz w:val="32"/>
          <w:szCs w:val="32"/>
        </w:rPr>
        <w:t>境</w:t>
      </w:r>
      <w:r>
        <w:rPr>
          <w:rFonts w:ascii="宋体" w:hAnsi="宋体"/>
          <w:sz w:val="32"/>
          <w:szCs w:val="32"/>
        </w:rPr>
        <w:t>)</w:t>
      </w:r>
      <w:r>
        <w:rPr>
          <w:rFonts w:hint="eastAsia" w:ascii="宋体" w:hAnsi="宋体"/>
          <w:sz w:val="32"/>
          <w:szCs w:val="32"/>
        </w:rPr>
        <w:t>团组。</w:t>
      </w:r>
    </w:p>
    <w:p w14:paraId="7B5CF03B">
      <w:pPr>
        <w:ind w:firstLine="800" w:firstLineChars="2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（二）公务车购置及运行维护费财政拨款支出预算为</w:t>
      </w:r>
      <w:r>
        <w:rPr>
          <w:rFonts w:ascii="宋体" w:hAnsi="宋体"/>
          <w:sz w:val="32"/>
          <w:szCs w:val="32"/>
        </w:rPr>
        <w:t>8.16</w:t>
      </w:r>
      <w:r>
        <w:rPr>
          <w:rFonts w:hint="eastAsia" w:ascii="宋体" w:hAnsi="宋体"/>
          <w:sz w:val="32"/>
          <w:szCs w:val="32"/>
        </w:rPr>
        <w:t>万元，支出决算</w:t>
      </w:r>
      <w:r>
        <w:rPr>
          <w:rFonts w:ascii="宋体" w:hAnsi="宋体"/>
          <w:sz w:val="32"/>
          <w:szCs w:val="32"/>
        </w:rPr>
        <w:t>8.14</w:t>
      </w:r>
      <w:r>
        <w:rPr>
          <w:rFonts w:hint="eastAsia" w:ascii="宋体" w:hAnsi="宋体"/>
          <w:sz w:val="32"/>
          <w:szCs w:val="32"/>
        </w:rPr>
        <w:t>万元，占</w:t>
      </w:r>
      <w:r>
        <w:rPr>
          <w:rFonts w:ascii="宋体" w:hAnsi="宋体"/>
          <w:sz w:val="32"/>
          <w:szCs w:val="32"/>
        </w:rPr>
        <w:t>93.67%</w:t>
      </w:r>
      <w:r>
        <w:rPr>
          <w:rFonts w:hint="eastAsia" w:ascii="宋体" w:hAnsi="宋体"/>
          <w:sz w:val="32"/>
          <w:szCs w:val="32"/>
        </w:rPr>
        <w:t>。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年支出决算</w:t>
      </w:r>
      <w:r>
        <w:rPr>
          <w:rFonts w:ascii="宋体" w:hAnsi="宋体"/>
          <w:sz w:val="32"/>
          <w:szCs w:val="32"/>
        </w:rPr>
        <w:t>14.46</w:t>
      </w:r>
      <w:r>
        <w:rPr>
          <w:rFonts w:hint="eastAsia" w:ascii="宋体" w:hAnsi="宋体"/>
          <w:sz w:val="32"/>
          <w:szCs w:val="32"/>
        </w:rPr>
        <w:t>万元，其中公务车购置</w:t>
      </w:r>
      <w:r>
        <w:rPr>
          <w:rFonts w:ascii="宋体" w:hAnsi="宋体"/>
          <w:sz w:val="32"/>
          <w:szCs w:val="32"/>
        </w:rPr>
        <w:t>10.29</w:t>
      </w:r>
      <w:r>
        <w:rPr>
          <w:rFonts w:hint="eastAsia" w:ascii="宋体" w:hAnsi="宋体"/>
          <w:sz w:val="32"/>
          <w:szCs w:val="32"/>
        </w:rPr>
        <w:t>万元；公务用车运行维护费</w:t>
      </w:r>
      <w:r>
        <w:rPr>
          <w:rFonts w:ascii="宋体" w:hAnsi="宋体"/>
          <w:sz w:val="32"/>
          <w:szCs w:val="32"/>
        </w:rPr>
        <w:t>4.17</w:t>
      </w:r>
      <w:r>
        <w:rPr>
          <w:rFonts w:hint="eastAsia" w:ascii="宋体" w:hAnsi="宋体"/>
          <w:sz w:val="32"/>
          <w:szCs w:val="32"/>
        </w:rPr>
        <w:t>万元。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</w:rPr>
        <w:t>6</w:t>
      </w:r>
      <w:r>
        <w:rPr>
          <w:rFonts w:hint="eastAsia" w:ascii="宋体" w:hAnsi="宋体"/>
          <w:sz w:val="32"/>
          <w:szCs w:val="32"/>
        </w:rPr>
        <w:t>月购置一辆新车，故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年办事处公务车购置及运行维护费决算数比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年增加。未超出预算。</w:t>
      </w:r>
    </w:p>
    <w:p w14:paraId="49356D6D">
      <w:pPr>
        <w:ind w:firstLine="800" w:firstLineChars="2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公务用车购置支出决算</w:t>
      </w:r>
      <w:r>
        <w:rPr>
          <w:rFonts w:ascii="宋体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万元。</w:t>
      </w:r>
    </w:p>
    <w:p w14:paraId="68EB3184">
      <w:pPr>
        <w:spacing w:line="600" w:lineRule="exact"/>
        <w:ind w:firstLine="800" w:firstLineChars="25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（三）公务接待费财政拨款支出预算为</w:t>
      </w:r>
      <w:r>
        <w:rPr>
          <w:rFonts w:ascii="宋体" w:hAnsi="宋体"/>
          <w:sz w:val="32"/>
          <w:szCs w:val="32"/>
        </w:rPr>
        <w:t>3</w:t>
      </w:r>
      <w:r>
        <w:rPr>
          <w:rFonts w:hint="eastAsia" w:ascii="宋体" w:hAnsi="宋体"/>
          <w:sz w:val="32"/>
          <w:szCs w:val="32"/>
        </w:rPr>
        <w:t>万元，支出决算</w:t>
      </w:r>
      <w:r>
        <w:rPr>
          <w:rFonts w:ascii="宋体"/>
          <w:sz w:val="32"/>
          <w:szCs w:val="32"/>
        </w:rPr>
        <w:t>0.</w:t>
      </w:r>
      <w:r>
        <w:rPr>
          <w:rFonts w:ascii="宋体" w:hAnsi="宋体"/>
        </w:rPr>
        <w:t xml:space="preserve"> </w:t>
      </w:r>
      <w:r>
        <w:rPr>
          <w:rFonts w:ascii="宋体" w:hAnsi="宋体"/>
          <w:sz w:val="32"/>
          <w:szCs w:val="32"/>
        </w:rPr>
        <w:t>55</w:t>
      </w:r>
      <w:r>
        <w:rPr>
          <w:rFonts w:hint="eastAsia" w:ascii="宋体" w:hAnsi="宋体"/>
          <w:sz w:val="32"/>
          <w:szCs w:val="32"/>
        </w:rPr>
        <w:t>万元，占</w:t>
      </w:r>
      <w:r>
        <w:rPr>
          <w:rFonts w:ascii="宋体" w:hAnsi="宋体"/>
          <w:sz w:val="32"/>
          <w:szCs w:val="32"/>
        </w:rPr>
        <w:t>6.33%</w:t>
      </w:r>
      <w:r>
        <w:rPr>
          <w:rFonts w:hint="eastAsia" w:ascii="宋体" w:hAnsi="宋体"/>
          <w:sz w:val="32"/>
          <w:szCs w:val="32"/>
        </w:rPr>
        <w:t>。（</w:t>
      </w:r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年度本单位招待</w:t>
      </w:r>
      <w:r>
        <w:rPr>
          <w:rFonts w:ascii="宋体" w:hAnsi="宋体"/>
          <w:sz w:val="32"/>
          <w:szCs w:val="32"/>
        </w:rPr>
        <w:t>11</w:t>
      </w:r>
      <w:r>
        <w:rPr>
          <w:rFonts w:hint="eastAsia" w:ascii="宋体" w:hAnsi="宋体"/>
          <w:sz w:val="32"/>
          <w:szCs w:val="32"/>
        </w:rPr>
        <w:t>批次，合计招待</w:t>
      </w:r>
      <w:r>
        <w:rPr>
          <w:rFonts w:ascii="宋体" w:hAnsi="宋体"/>
          <w:sz w:val="32"/>
          <w:szCs w:val="32"/>
        </w:rPr>
        <w:t>182</w:t>
      </w:r>
      <w:r>
        <w:rPr>
          <w:rFonts w:hint="eastAsia" w:ascii="宋体" w:hAnsi="宋体"/>
          <w:sz w:val="32"/>
          <w:szCs w:val="32"/>
        </w:rPr>
        <w:t>人次），同比</w:t>
      </w:r>
      <w:r>
        <w:rPr>
          <w:rFonts w:ascii="宋体" w:hAnsi="宋体"/>
          <w:sz w:val="32"/>
          <w:szCs w:val="32"/>
        </w:rPr>
        <w:t>2014</w:t>
      </w:r>
      <w:r>
        <w:rPr>
          <w:rFonts w:hint="eastAsia" w:ascii="宋体" w:hAnsi="宋体"/>
          <w:sz w:val="32"/>
          <w:szCs w:val="32"/>
        </w:rPr>
        <w:t>年决算减少</w:t>
      </w:r>
      <w:r>
        <w:rPr>
          <w:rFonts w:ascii="宋体" w:hAnsi="宋体"/>
          <w:sz w:val="32"/>
          <w:szCs w:val="32"/>
        </w:rPr>
        <w:t>1.04</w:t>
      </w:r>
      <w:r>
        <w:rPr>
          <w:rFonts w:hint="eastAsia" w:ascii="宋体" w:hAnsi="宋体"/>
          <w:sz w:val="32"/>
          <w:szCs w:val="32"/>
        </w:rPr>
        <w:t>万元。</w:t>
      </w:r>
    </w:p>
    <w:p w14:paraId="07362611">
      <w:pPr>
        <w:autoSpaceDE w:val="0"/>
        <w:autoSpaceDN w:val="0"/>
        <w:adjustRightInd w:val="0"/>
        <w:spacing w:line="600" w:lineRule="exact"/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六、机关运行经费的支出情况说明</w:t>
      </w:r>
    </w:p>
    <w:p w14:paraId="566F9C88">
      <w:pPr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2015</w:t>
      </w:r>
      <w:r>
        <w:rPr>
          <w:rFonts w:hint="eastAsia"/>
          <w:sz w:val="32"/>
          <w:szCs w:val="32"/>
        </w:rPr>
        <w:t>年度机关运行经费支出</w:t>
      </w:r>
      <w:r>
        <w:rPr>
          <w:sz w:val="32"/>
          <w:szCs w:val="32"/>
        </w:rPr>
        <w:t>38.85</w:t>
      </w:r>
      <w:r>
        <w:rPr>
          <w:rFonts w:hint="eastAsia"/>
          <w:sz w:val="32"/>
          <w:szCs w:val="32"/>
        </w:rPr>
        <w:t>万元，比</w:t>
      </w:r>
      <w:r>
        <w:rPr>
          <w:sz w:val="32"/>
          <w:szCs w:val="32"/>
        </w:rPr>
        <w:t>2014</w:t>
      </w:r>
      <w:r>
        <w:rPr>
          <w:rFonts w:hint="eastAsia"/>
          <w:sz w:val="32"/>
          <w:szCs w:val="32"/>
        </w:rPr>
        <w:t>年减少</w:t>
      </w:r>
      <w:r>
        <w:rPr>
          <w:sz w:val="32"/>
          <w:szCs w:val="32"/>
        </w:rPr>
        <w:t>0.38</w:t>
      </w:r>
      <w:r>
        <w:rPr>
          <w:rFonts w:hint="eastAsia"/>
          <w:sz w:val="32"/>
          <w:szCs w:val="32"/>
        </w:rPr>
        <w:t>万元，降低</w:t>
      </w:r>
      <w:r>
        <w:rPr>
          <w:sz w:val="32"/>
          <w:szCs w:val="32"/>
        </w:rPr>
        <w:t>0.99%</w:t>
      </w:r>
      <w:r>
        <w:rPr>
          <w:rFonts w:hint="eastAsia"/>
          <w:sz w:val="32"/>
          <w:szCs w:val="32"/>
        </w:rPr>
        <w:t>。基本持平。</w:t>
      </w:r>
    </w:p>
    <w:p w14:paraId="30625046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七、政府采购支出情况说明</w:t>
      </w:r>
    </w:p>
    <w:p w14:paraId="1B4B1F0E">
      <w:pPr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2015</w:t>
      </w:r>
      <w:r>
        <w:rPr>
          <w:rFonts w:hint="eastAsia"/>
          <w:sz w:val="32"/>
          <w:szCs w:val="32"/>
        </w:rPr>
        <w:t>年政府采购支出总额</w:t>
      </w:r>
      <w:r>
        <w:rPr>
          <w:sz w:val="32"/>
          <w:szCs w:val="32"/>
        </w:rPr>
        <w:t>91.08</w:t>
      </w:r>
      <w:r>
        <w:rPr>
          <w:rFonts w:hint="eastAsia"/>
          <w:sz w:val="32"/>
          <w:szCs w:val="32"/>
        </w:rPr>
        <w:t>万元，其中政府采购货物支出</w:t>
      </w:r>
      <w:r>
        <w:rPr>
          <w:sz w:val="32"/>
          <w:szCs w:val="32"/>
        </w:rPr>
        <w:t>91.08</w:t>
      </w:r>
      <w:r>
        <w:rPr>
          <w:rFonts w:hint="eastAsia"/>
          <w:sz w:val="32"/>
          <w:szCs w:val="32"/>
        </w:rPr>
        <w:t>万元。</w:t>
      </w:r>
    </w:p>
    <w:p w14:paraId="6D45DAAF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八、预算绩效管理工作开展情况</w:t>
      </w:r>
    </w:p>
    <w:p w14:paraId="1FD7DB81">
      <w:pPr>
        <w:ind w:firstLine="800" w:firstLineChars="250"/>
        <w:rPr>
          <w:rFonts w:ascii="宋体"/>
        </w:rPr>
      </w:pPr>
      <w:r>
        <w:rPr>
          <w:rFonts w:ascii="宋体" w:hAnsi="宋体" w:cs="仿宋"/>
          <w:sz w:val="32"/>
          <w:szCs w:val="32"/>
        </w:rPr>
        <w:t>2015</w:t>
      </w:r>
      <w:r>
        <w:rPr>
          <w:rFonts w:hint="eastAsia" w:ascii="宋体" w:hAnsi="宋体" w:cs="仿宋"/>
          <w:sz w:val="32"/>
          <w:szCs w:val="32"/>
        </w:rPr>
        <w:t>年重点绩效评价确定了对</w:t>
      </w:r>
      <w:r>
        <w:rPr>
          <w:rFonts w:ascii="宋体" w:hAnsi="宋体" w:cs="仿宋"/>
          <w:sz w:val="32"/>
          <w:szCs w:val="32"/>
        </w:rPr>
        <w:t>30</w:t>
      </w:r>
      <w:r>
        <w:rPr>
          <w:rFonts w:hint="eastAsia" w:ascii="宋体" w:hAnsi="宋体" w:cs="仿宋"/>
          <w:sz w:val="32"/>
          <w:szCs w:val="32"/>
        </w:rPr>
        <w:t>项重大支出政策或重大项目开展财政重大绩效评价，总体情况较好，符合当前经济社会发展需要，支持重点明确，为我办事处经济健康稳定发展起到了积极作用。</w:t>
      </w:r>
    </w:p>
    <w:p w14:paraId="15D09693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九、国有资产情况说明</w:t>
      </w:r>
    </w:p>
    <w:p w14:paraId="200A95E2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截止到</w:t>
      </w:r>
      <w:r>
        <w:rPr>
          <w:sz w:val="32"/>
          <w:szCs w:val="32"/>
        </w:rPr>
        <w:t>2015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12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31</w:t>
      </w:r>
      <w:r>
        <w:rPr>
          <w:rFonts w:hint="eastAsia"/>
          <w:sz w:val="32"/>
          <w:szCs w:val="32"/>
        </w:rPr>
        <w:t>日，国有资产总额为</w:t>
      </w:r>
      <w:r>
        <w:rPr>
          <w:sz w:val="32"/>
          <w:szCs w:val="32"/>
        </w:rPr>
        <w:t>221.29</w:t>
      </w:r>
      <w:r>
        <w:rPr>
          <w:rFonts w:hint="eastAsia"/>
          <w:sz w:val="32"/>
          <w:szCs w:val="32"/>
        </w:rPr>
        <w:t>万元。其中：土地、房屋及构筑物</w:t>
      </w:r>
      <w:r>
        <w:rPr>
          <w:sz w:val="32"/>
          <w:szCs w:val="32"/>
        </w:rPr>
        <w:t>13</w:t>
      </w:r>
      <w:r>
        <w:rPr>
          <w:rFonts w:hint="eastAsia"/>
          <w:sz w:val="32"/>
          <w:szCs w:val="32"/>
        </w:rPr>
        <w:t>万元，房屋</w:t>
      </w:r>
      <w:r>
        <w:rPr>
          <w:sz w:val="32"/>
          <w:szCs w:val="32"/>
        </w:rPr>
        <w:t>1454.08</w:t>
      </w:r>
      <w:r>
        <w:rPr>
          <w:rFonts w:hint="eastAsia"/>
          <w:sz w:val="32"/>
          <w:szCs w:val="32"/>
        </w:rPr>
        <w:t>㎡，占</w:t>
      </w:r>
      <w:r>
        <w:rPr>
          <w:sz w:val="32"/>
          <w:szCs w:val="32"/>
        </w:rPr>
        <w:t>5.87%</w:t>
      </w:r>
      <w:r>
        <w:rPr>
          <w:rFonts w:hint="eastAsia"/>
          <w:sz w:val="32"/>
          <w:szCs w:val="32"/>
        </w:rPr>
        <w:t>；通用设备</w:t>
      </w:r>
      <w:r>
        <w:rPr>
          <w:sz w:val="32"/>
          <w:szCs w:val="32"/>
        </w:rPr>
        <w:t>129.59</w:t>
      </w:r>
      <w:r>
        <w:rPr>
          <w:rFonts w:hint="eastAsia"/>
          <w:sz w:val="32"/>
          <w:szCs w:val="32"/>
        </w:rPr>
        <w:t>万元，交通运输工具</w:t>
      </w:r>
      <w:r>
        <w:rPr>
          <w:sz w:val="32"/>
          <w:szCs w:val="32"/>
        </w:rPr>
        <w:t>18.57</w:t>
      </w:r>
      <w:r>
        <w:rPr>
          <w:rFonts w:hint="eastAsia"/>
          <w:sz w:val="32"/>
          <w:szCs w:val="32"/>
        </w:rPr>
        <w:t>万元，汽车</w:t>
      </w:r>
      <w:r>
        <w:rPr>
          <w:sz w:val="32"/>
          <w:szCs w:val="32"/>
        </w:rPr>
        <w:t>3</w:t>
      </w:r>
      <w:r>
        <w:rPr>
          <w:rFonts w:hint="eastAsia"/>
          <w:sz w:val="32"/>
          <w:szCs w:val="32"/>
        </w:rPr>
        <w:t>辆，电脑、空调、打印机等共计</w:t>
      </w:r>
      <w:r>
        <w:rPr>
          <w:sz w:val="32"/>
          <w:szCs w:val="32"/>
        </w:rPr>
        <w:t>318</w:t>
      </w:r>
      <w:r>
        <w:rPr>
          <w:rFonts w:hint="eastAsia"/>
          <w:sz w:val="32"/>
          <w:szCs w:val="32"/>
        </w:rPr>
        <w:t>台，占</w:t>
      </w:r>
      <w:r>
        <w:rPr>
          <w:sz w:val="32"/>
          <w:szCs w:val="32"/>
        </w:rPr>
        <w:t>58.56%</w:t>
      </w:r>
      <w:r>
        <w:rPr>
          <w:rFonts w:hint="eastAsia"/>
          <w:sz w:val="32"/>
          <w:szCs w:val="32"/>
        </w:rPr>
        <w:t>；专用设备</w:t>
      </w:r>
      <w:r>
        <w:rPr>
          <w:sz w:val="32"/>
          <w:szCs w:val="32"/>
        </w:rPr>
        <w:t>19.20</w:t>
      </w:r>
      <w:r>
        <w:rPr>
          <w:rFonts w:hint="eastAsia"/>
          <w:sz w:val="32"/>
          <w:szCs w:val="32"/>
        </w:rPr>
        <w:t>万元，音响设备、笛子等</w:t>
      </w:r>
      <w:r>
        <w:rPr>
          <w:sz w:val="32"/>
          <w:szCs w:val="32"/>
        </w:rPr>
        <w:t>71</w:t>
      </w:r>
      <w:r>
        <w:rPr>
          <w:rFonts w:hint="eastAsia"/>
          <w:sz w:val="32"/>
          <w:szCs w:val="32"/>
        </w:rPr>
        <w:t>套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台，占</w:t>
      </w:r>
      <w:r>
        <w:rPr>
          <w:sz w:val="32"/>
          <w:szCs w:val="32"/>
        </w:rPr>
        <w:t>8.68%</w:t>
      </w:r>
      <w:r>
        <w:rPr>
          <w:rFonts w:hint="eastAsia"/>
          <w:sz w:val="32"/>
          <w:szCs w:val="32"/>
        </w:rPr>
        <w:t>；图书档案</w:t>
      </w:r>
      <w:r>
        <w:rPr>
          <w:sz w:val="32"/>
          <w:szCs w:val="32"/>
        </w:rPr>
        <w:t>4.03</w:t>
      </w:r>
      <w:r>
        <w:rPr>
          <w:rFonts w:hint="eastAsia"/>
          <w:sz w:val="32"/>
          <w:szCs w:val="32"/>
        </w:rPr>
        <w:t>万元，图书</w:t>
      </w:r>
      <w:r>
        <w:rPr>
          <w:sz w:val="32"/>
          <w:szCs w:val="32"/>
        </w:rPr>
        <w:t>868</w:t>
      </w:r>
      <w:r>
        <w:rPr>
          <w:rFonts w:hint="eastAsia"/>
          <w:sz w:val="32"/>
          <w:szCs w:val="32"/>
        </w:rPr>
        <w:t>册，占</w:t>
      </w:r>
      <w:r>
        <w:rPr>
          <w:sz w:val="32"/>
          <w:szCs w:val="32"/>
        </w:rPr>
        <w:t>1.82%</w:t>
      </w:r>
      <w:r>
        <w:rPr>
          <w:rFonts w:hint="eastAsia"/>
          <w:sz w:val="32"/>
          <w:szCs w:val="32"/>
        </w:rPr>
        <w:t>；家具、用具、装具及动植物</w:t>
      </w:r>
      <w:r>
        <w:rPr>
          <w:sz w:val="32"/>
          <w:szCs w:val="32"/>
        </w:rPr>
        <w:t>55.47</w:t>
      </w:r>
      <w:r>
        <w:rPr>
          <w:rFonts w:hint="eastAsia"/>
          <w:sz w:val="32"/>
          <w:szCs w:val="32"/>
        </w:rPr>
        <w:t>万元，家具用具</w:t>
      </w:r>
      <w:r>
        <w:rPr>
          <w:sz w:val="32"/>
          <w:szCs w:val="32"/>
        </w:rPr>
        <w:t>12326</w:t>
      </w:r>
      <w:r>
        <w:rPr>
          <w:rFonts w:hint="eastAsia"/>
          <w:sz w:val="32"/>
          <w:szCs w:val="32"/>
        </w:rPr>
        <w:t>张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台，占</w:t>
      </w:r>
      <w:r>
        <w:rPr>
          <w:sz w:val="32"/>
          <w:szCs w:val="32"/>
        </w:rPr>
        <w:t>25.07%</w:t>
      </w:r>
      <w:r>
        <w:rPr>
          <w:rFonts w:hint="eastAsia"/>
          <w:sz w:val="32"/>
          <w:szCs w:val="32"/>
        </w:rPr>
        <w:t>。</w:t>
      </w:r>
    </w:p>
    <w:p w14:paraId="2433D238">
      <w:pPr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2015</w:t>
      </w:r>
      <w:r>
        <w:rPr>
          <w:rFonts w:hint="eastAsia"/>
          <w:sz w:val="32"/>
          <w:szCs w:val="32"/>
        </w:rPr>
        <w:t>年新增资产</w:t>
      </w:r>
      <w:r>
        <w:rPr>
          <w:sz w:val="32"/>
          <w:szCs w:val="32"/>
        </w:rPr>
        <w:t>109.77</w:t>
      </w:r>
      <w:r>
        <w:rPr>
          <w:rFonts w:hint="eastAsia"/>
          <w:sz w:val="32"/>
          <w:szCs w:val="32"/>
        </w:rPr>
        <w:t>万元。其中通用设备</w:t>
      </w:r>
      <w:r>
        <w:rPr>
          <w:sz w:val="32"/>
          <w:szCs w:val="32"/>
        </w:rPr>
        <w:t>50.33</w:t>
      </w:r>
      <w:r>
        <w:rPr>
          <w:rFonts w:hint="eastAsia"/>
          <w:sz w:val="32"/>
          <w:szCs w:val="32"/>
        </w:rPr>
        <w:t>万元，电脑、空调、打印机等共计</w:t>
      </w:r>
      <w:r>
        <w:rPr>
          <w:sz w:val="32"/>
          <w:szCs w:val="32"/>
        </w:rPr>
        <w:t>132</w:t>
      </w:r>
      <w:r>
        <w:rPr>
          <w:rFonts w:hint="eastAsia"/>
          <w:sz w:val="32"/>
          <w:szCs w:val="32"/>
        </w:rPr>
        <w:t>台；专用设备</w:t>
      </w:r>
      <w:r>
        <w:rPr>
          <w:sz w:val="32"/>
          <w:szCs w:val="32"/>
        </w:rPr>
        <w:t>14.55</w:t>
      </w:r>
      <w:r>
        <w:rPr>
          <w:rFonts w:hint="eastAsia"/>
          <w:sz w:val="32"/>
          <w:szCs w:val="32"/>
        </w:rPr>
        <w:t>万元，音响设备、功放机、文体用品等共计</w:t>
      </w:r>
      <w:r>
        <w:rPr>
          <w:sz w:val="32"/>
          <w:szCs w:val="32"/>
        </w:rPr>
        <w:t>61</w:t>
      </w:r>
      <w:r>
        <w:rPr>
          <w:rFonts w:hint="eastAsia"/>
          <w:sz w:val="32"/>
          <w:szCs w:val="32"/>
        </w:rPr>
        <w:t>部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架；图书档案</w:t>
      </w:r>
      <w:r>
        <w:rPr>
          <w:sz w:val="32"/>
          <w:szCs w:val="32"/>
        </w:rPr>
        <w:t>4.03</w:t>
      </w:r>
      <w:r>
        <w:rPr>
          <w:rFonts w:hint="eastAsia"/>
          <w:sz w:val="32"/>
          <w:szCs w:val="32"/>
        </w:rPr>
        <w:t>万元，图书</w:t>
      </w:r>
      <w:r>
        <w:rPr>
          <w:sz w:val="32"/>
          <w:szCs w:val="32"/>
        </w:rPr>
        <w:t>868</w:t>
      </w:r>
      <w:r>
        <w:rPr>
          <w:rFonts w:hint="eastAsia"/>
          <w:sz w:val="32"/>
          <w:szCs w:val="32"/>
        </w:rPr>
        <w:t>册；家具、用具、装具及动植物</w:t>
      </w:r>
      <w:r>
        <w:rPr>
          <w:sz w:val="32"/>
          <w:szCs w:val="32"/>
        </w:rPr>
        <w:t>40.86</w:t>
      </w:r>
      <w:r>
        <w:rPr>
          <w:rFonts w:hint="eastAsia"/>
          <w:sz w:val="32"/>
          <w:szCs w:val="32"/>
        </w:rPr>
        <w:t>万元，家具用具</w:t>
      </w:r>
      <w:r>
        <w:rPr>
          <w:sz w:val="32"/>
          <w:szCs w:val="32"/>
        </w:rPr>
        <w:t>551</w:t>
      </w:r>
      <w:r>
        <w:rPr>
          <w:rFonts w:hint="eastAsia"/>
          <w:sz w:val="32"/>
          <w:szCs w:val="32"/>
        </w:rPr>
        <w:t>张</w:t>
      </w:r>
      <w:r>
        <w:rPr>
          <w:sz w:val="32"/>
          <w:szCs w:val="32"/>
        </w:rPr>
        <w:t>/</w:t>
      </w:r>
      <w:r>
        <w:rPr>
          <w:rFonts w:hint="eastAsia"/>
          <w:sz w:val="32"/>
          <w:szCs w:val="32"/>
        </w:rPr>
        <w:t>台。</w:t>
      </w:r>
    </w:p>
    <w:p w14:paraId="1D133755">
      <w:pPr>
        <w:spacing w:line="600" w:lineRule="exact"/>
        <w:ind w:firstLine="803" w:firstLineChars="25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十、国有资本经营预算财政拨款支出决算情况说明</w:t>
      </w:r>
    </w:p>
    <w:p w14:paraId="60DCE06F">
      <w:pPr>
        <w:spacing w:line="600" w:lineRule="exact"/>
        <w:ind w:firstLine="800" w:firstLineChars="250"/>
        <w:rPr>
          <w:sz w:val="32"/>
          <w:szCs w:val="32"/>
        </w:rPr>
      </w:pPr>
      <w:r>
        <w:rPr>
          <w:sz w:val="32"/>
          <w:szCs w:val="32"/>
        </w:rPr>
        <w:t>2015</w:t>
      </w:r>
      <w:r>
        <w:rPr>
          <w:rFonts w:hint="eastAsia"/>
          <w:sz w:val="32"/>
          <w:szCs w:val="32"/>
        </w:rPr>
        <w:t>年度无此项拨款。</w:t>
      </w:r>
    </w:p>
    <w:p w14:paraId="7C8F14ED">
      <w:pPr>
        <w:spacing w:line="600" w:lineRule="exact"/>
        <w:ind w:firstLine="803" w:firstLineChars="250"/>
        <w:rPr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十一、其他重要事项的情况说明</w:t>
      </w:r>
    </w:p>
    <w:p w14:paraId="175EC3EC">
      <w:pPr>
        <w:ind w:firstLine="787" w:firstLineChars="246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截</w:t>
      </w:r>
      <w:r>
        <w:rPr>
          <w:rFonts w:hint="eastAsia" w:ascii="宋体" w:hAnsi="宋体"/>
          <w:sz w:val="32"/>
          <w:szCs w:val="32"/>
          <w:lang w:eastAsia="zh-CN"/>
        </w:rPr>
        <w:t>至</w:t>
      </w:r>
      <w:bookmarkStart w:id="0" w:name="_GoBack"/>
      <w:bookmarkEnd w:id="0"/>
      <w:r>
        <w:rPr>
          <w:rFonts w:ascii="宋体" w:hAnsi="宋体"/>
          <w:sz w:val="32"/>
          <w:szCs w:val="32"/>
        </w:rPr>
        <w:t>2015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</w:rPr>
        <w:t>12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</w:rPr>
        <w:t>31</w:t>
      </w:r>
      <w:r>
        <w:rPr>
          <w:rFonts w:hint="eastAsia" w:ascii="宋体" w:hAnsi="宋体"/>
          <w:sz w:val="32"/>
          <w:szCs w:val="32"/>
        </w:rPr>
        <w:t>日，太行办事处共有车辆</w:t>
      </w:r>
      <w:r>
        <w:rPr>
          <w:rFonts w:ascii="宋体" w:hAnsi="宋体"/>
          <w:sz w:val="32"/>
          <w:szCs w:val="32"/>
        </w:rPr>
        <w:t>3</w:t>
      </w:r>
      <w:r>
        <w:rPr>
          <w:rFonts w:hint="eastAsia" w:ascii="宋体" w:hAnsi="宋体"/>
          <w:sz w:val="32"/>
          <w:szCs w:val="32"/>
        </w:rPr>
        <w:t>辆；单位价值</w:t>
      </w:r>
      <w:r>
        <w:rPr>
          <w:rFonts w:ascii="宋体" w:hAnsi="宋体"/>
          <w:sz w:val="32"/>
          <w:szCs w:val="32"/>
        </w:rPr>
        <w:t>200</w:t>
      </w:r>
      <w:r>
        <w:rPr>
          <w:rFonts w:hint="eastAsia" w:ascii="宋体" w:hAnsi="宋体"/>
          <w:sz w:val="32"/>
          <w:szCs w:val="32"/>
        </w:rPr>
        <w:t>万元以上大型设备</w:t>
      </w:r>
      <w:r>
        <w:rPr>
          <w:rFonts w:ascii="宋体" w:hAnsi="宋体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台（套）。</w:t>
      </w:r>
    </w:p>
    <w:p w14:paraId="0F99A34C">
      <w:pPr>
        <w:spacing w:line="600" w:lineRule="exact"/>
        <w:ind w:firstLine="800" w:firstLineChars="25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B1"/>
    <w:rsid w:val="0016374D"/>
    <w:rsid w:val="001E2F13"/>
    <w:rsid w:val="002531A8"/>
    <w:rsid w:val="002863C6"/>
    <w:rsid w:val="002C36E3"/>
    <w:rsid w:val="002C4A30"/>
    <w:rsid w:val="002D084B"/>
    <w:rsid w:val="00324F6E"/>
    <w:rsid w:val="00345A9F"/>
    <w:rsid w:val="00353A17"/>
    <w:rsid w:val="003624D0"/>
    <w:rsid w:val="003B79DB"/>
    <w:rsid w:val="003C0DDB"/>
    <w:rsid w:val="00403D1F"/>
    <w:rsid w:val="00414184"/>
    <w:rsid w:val="004276B0"/>
    <w:rsid w:val="0047049E"/>
    <w:rsid w:val="0048113B"/>
    <w:rsid w:val="00486E9E"/>
    <w:rsid w:val="00500854"/>
    <w:rsid w:val="00582C46"/>
    <w:rsid w:val="006B5D20"/>
    <w:rsid w:val="00730201"/>
    <w:rsid w:val="007411B8"/>
    <w:rsid w:val="0074783F"/>
    <w:rsid w:val="007A5437"/>
    <w:rsid w:val="008332E6"/>
    <w:rsid w:val="00882AF6"/>
    <w:rsid w:val="00910313"/>
    <w:rsid w:val="00932779"/>
    <w:rsid w:val="00945E69"/>
    <w:rsid w:val="009470AA"/>
    <w:rsid w:val="00985AEF"/>
    <w:rsid w:val="009B630F"/>
    <w:rsid w:val="009C3EC4"/>
    <w:rsid w:val="00A66171"/>
    <w:rsid w:val="00AA3CA8"/>
    <w:rsid w:val="00AC40B4"/>
    <w:rsid w:val="00BB68CD"/>
    <w:rsid w:val="00C13D24"/>
    <w:rsid w:val="00C56FCB"/>
    <w:rsid w:val="00C94DB5"/>
    <w:rsid w:val="00CB44E2"/>
    <w:rsid w:val="00D118F9"/>
    <w:rsid w:val="00D44DB1"/>
    <w:rsid w:val="00DC1C5A"/>
    <w:rsid w:val="00DE04AC"/>
    <w:rsid w:val="00E17911"/>
    <w:rsid w:val="00E2423B"/>
    <w:rsid w:val="00E44C33"/>
    <w:rsid w:val="00EC21EC"/>
    <w:rsid w:val="00EC32B2"/>
    <w:rsid w:val="00ED5F44"/>
    <w:rsid w:val="00F00ABC"/>
    <w:rsid w:val="00F02C01"/>
    <w:rsid w:val="00F17CB3"/>
    <w:rsid w:val="00FA425F"/>
    <w:rsid w:val="00FC506D"/>
    <w:rsid w:val="00FD34B4"/>
    <w:rsid w:val="2A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278</Words>
  <Characters>1587</Characters>
  <Lines>0</Lines>
  <Paragraphs>0</Paragraphs>
  <TotalTime>4294934530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2016-08-31T09:15:00Z</dcterms:created>
  <dc:creator>lenovo</dc:creator>
  <cp:lastModifiedBy>-</cp:lastModifiedBy>
  <dcterms:modified xsi:type="dcterms:W3CDTF">2026-07-05T16:53:08Z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1ED8AA54FB853478741B4A6A8BD736AF_43</vt:lpwstr>
  </property>
</Properties>
</file>