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8EAB50">
      <w:pPr>
        <w:keepNext w:val="0"/>
        <w:keepLines w:val="0"/>
        <w:pageBreakBefore w:val="0"/>
        <w:widowControl w:val="0"/>
        <w:topLinePunct w:val="0"/>
        <w:bidi w:val="0"/>
        <w:jc w:val="both"/>
        <w:rPr>
          <w:rFonts w:hint="default" w:ascii="Times New Roman" w:hAnsi="Times New Roman" w:eastAsia="黑体" w:cs="Times New Roman"/>
          <w:spacing w:val="-3"/>
          <w:sz w:val="52"/>
          <w:szCs w:val="52"/>
        </w:rPr>
      </w:pPr>
      <w:r>
        <w:rPr>
          <w:rFonts w:hint="eastAsia" w:ascii="国标黑体" w:hAnsi="国标黑体" w:eastAsia="国标黑体" w:cs="国标黑体"/>
          <w:spacing w:val="-3"/>
          <w:sz w:val="32"/>
          <w:szCs w:val="32"/>
          <w:lang w:eastAsia="zh-CN"/>
        </w:rPr>
        <w:t>附件</w:t>
      </w:r>
      <w:r>
        <w:rPr>
          <w:rFonts w:hint="eastAsia" w:ascii="国标黑体" w:hAnsi="国标黑体" w:eastAsia="国标黑体" w:cs="国标黑体"/>
          <w:spacing w:val="-3"/>
          <w:sz w:val="32"/>
          <w:szCs w:val="32"/>
          <w:lang w:val="en-US" w:eastAsia="zh-CN"/>
        </w:rPr>
        <w:t>1</w:t>
      </w:r>
    </w:p>
    <w:p w14:paraId="6BF449B1">
      <w:pPr>
        <w:pStyle w:val="23"/>
        <w:keepNext w:val="0"/>
        <w:keepLines w:val="0"/>
        <w:pageBreakBefore w:val="0"/>
        <w:widowControl w:val="0"/>
        <w:topLinePunct w:val="0"/>
        <w:bidi w:val="0"/>
        <w:rPr>
          <w:rFonts w:hint="default" w:ascii="Times New Roman" w:hAnsi="Times New Roman" w:eastAsia="黑体" w:cs="Times New Roman"/>
          <w:spacing w:val="-3"/>
          <w:sz w:val="52"/>
          <w:szCs w:val="52"/>
        </w:rPr>
      </w:pPr>
    </w:p>
    <w:p w14:paraId="4757D8AE">
      <w:pPr>
        <w:keepNext w:val="0"/>
        <w:keepLines w:val="0"/>
        <w:pageBreakBefore w:val="0"/>
        <w:widowControl w:val="0"/>
        <w:topLinePunct w:val="0"/>
        <w:bidi w:val="0"/>
        <w:spacing w:before="169" w:line="221" w:lineRule="auto"/>
        <w:ind w:left="1848"/>
        <w:outlineLvl w:val="0"/>
        <w:rPr>
          <w:rFonts w:hint="default" w:ascii="Times New Roman" w:hAnsi="Times New Roman" w:eastAsia="黑体" w:cs="Times New Roman"/>
          <w:spacing w:val="-3"/>
          <w:sz w:val="52"/>
          <w:szCs w:val="52"/>
        </w:rPr>
      </w:pPr>
    </w:p>
    <w:p w14:paraId="6523540D">
      <w:pPr>
        <w:keepNext w:val="0"/>
        <w:keepLines w:val="0"/>
        <w:pageBreakBefore w:val="0"/>
        <w:widowControl w:val="0"/>
        <w:topLinePunct w:val="0"/>
        <w:bidi w:val="0"/>
        <w:spacing w:before="169" w:line="221" w:lineRule="auto"/>
        <w:jc w:val="center"/>
        <w:outlineLvl w:val="0"/>
        <w:rPr>
          <w:rFonts w:hint="eastAsia" w:ascii="Times New Roman" w:hAnsi="Times New Roman" w:eastAsia="黑体" w:cs="Times New Roman"/>
          <w:sz w:val="52"/>
          <w:szCs w:val="52"/>
          <w:lang w:eastAsia="zh-CN"/>
        </w:rPr>
      </w:pPr>
      <w:r>
        <w:rPr>
          <w:rFonts w:hint="eastAsia" w:ascii="Times New Roman" w:hAnsi="Times New Roman" w:eastAsia="黑体" w:cs="Times New Roman"/>
          <w:spacing w:val="-3"/>
          <w:sz w:val="52"/>
          <w:szCs w:val="52"/>
          <w:lang w:eastAsia="zh-CN"/>
        </w:rPr>
        <w:t>第三批市级</w:t>
      </w:r>
      <w:r>
        <w:rPr>
          <w:rFonts w:hint="default" w:ascii="Times New Roman" w:hAnsi="Times New Roman" w:eastAsia="黑体" w:cs="Times New Roman"/>
          <w:spacing w:val="-3"/>
          <w:sz w:val="52"/>
          <w:szCs w:val="52"/>
        </w:rPr>
        <w:t>绿色工厂</w:t>
      </w:r>
      <w:r>
        <w:rPr>
          <w:rFonts w:hint="eastAsia" w:ascii="Times New Roman" w:hAnsi="Times New Roman" w:eastAsia="黑体" w:cs="Times New Roman"/>
          <w:spacing w:val="-3"/>
          <w:sz w:val="52"/>
          <w:szCs w:val="52"/>
          <w:lang w:eastAsia="zh-CN"/>
        </w:rPr>
        <w:t>自评价报告</w:t>
      </w:r>
    </w:p>
    <w:p w14:paraId="7C94FEAE">
      <w:pPr>
        <w:pStyle w:val="13"/>
        <w:keepNext w:val="0"/>
        <w:keepLines w:val="0"/>
        <w:pageBreakBefore w:val="0"/>
        <w:widowControl w:val="0"/>
        <w:topLinePunct w:val="0"/>
        <w:bidi w:val="0"/>
        <w:spacing w:line="249" w:lineRule="auto"/>
        <w:rPr>
          <w:rFonts w:hint="default" w:ascii="Times New Roman" w:hAnsi="Times New Roman" w:cs="Times New Roman"/>
        </w:rPr>
      </w:pPr>
    </w:p>
    <w:p w14:paraId="046DC2F3">
      <w:pPr>
        <w:pStyle w:val="13"/>
        <w:keepNext w:val="0"/>
        <w:keepLines w:val="0"/>
        <w:pageBreakBefore w:val="0"/>
        <w:widowControl w:val="0"/>
        <w:topLinePunct w:val="0"/>
        <w:bidi w:val="0"/>
        <w:spacing w:line="249" w:lineRule="auto"/>
        <w:rPr>
          <w:rFonts w:hint="default" w:ascii="Times New Roman" w:hAnsi="Times New Roman" w:cs="Times New Roman"/>
        </w:rPr>
      </w:pPr>
    </w:p>
    <w:p w14:paraId="0DC518FE">
      <w:pPr>
        <w:pStyle w:val="13"/>
        <w:keepNext w:val="0"/>
        <w:keepLines w:val="0"/>
        <w:pageBreakBefore w:val="0"/>
        <w:widowControl w:val="0"/>
        <w:topLinePunct w:val="0"/>
        <w:bidi w:val="0"/>
        <w:spacing w:line="249" w:lineRule="auto"/>
        <w:rPr>
          <w:rFonts w:hint="default" w:ascii="Times New Roman" w:hAnsi="Times New Roman" w:cs="Times New Roman"/>
        </w:rPr>
      </w:pPr>
    </w:p>
    <w:p w14:paraId="2ADE111A">
      <w:pPr>
        <w:pStyle w:val="13"/>
        <w:keepNext w:val="0"/>
        <w:keepLines w:val="0"/>
        <w:pageBreakBefore w:val="0"/>
        <w:widowControl w:val="0"/>
        <w:topLinePunct w:val="0"/>
        <w:bidi w:val="0"/>
        <w:spacing w:line="249" w:lineRule="auto"/>
        <w:rPr>
          <w:rFonts w:hint="default" w:ascii="Times New Roman" w:hAnsi="Times New Roman" w:cs="Times New Roman"/>
        </w:rPr>
      </w:pPr>
    </w:p>
    <w:p w14:paraId="7A87AE47">
      <w:pPr>
        <w:pStyle w:val="13"/>
        <w:keepNext w:val="0"/>
        <w:keepLines w:val="0"/>
        <w:pageBreakBefore w:val="0"/>
        <w:widowControl w:val="0"/>
        <w:topLinePunct w:val="0"/>
        <w:bidi w:val="0"/>
        <w:spacing w:line="249" w:lineRule="auto"/>
        <w:rPr>
          <w:rFonts w:hint="default" w:ascii="Times New Roman" w:hAnsi="Times New Roman" w:cs="Times New Roman"/>
        </w:rPr>
      </w:pPr>
    </w:p>
    <w:p w14:paraId="22BEFE59">
      <w:pPr>
        <w:pStyle w:val="13"/>
        <w:keepNext w:val="0"/>
        <w:keepLines w:val="0"/>
        <w:pageBreakBefore w:val="0"/>
        <w:widowControl w:val="0"/>
        <w:topLinePunct w:val="0"/>
        <w:bidi w:val="0"/>
        <w:spacing w:line="249" w:lineRule="auto"/>
        <w:rPr>
          <w:rFonts w:hint="default" w:ascii="Times New Roman" w:hAnsi="Times New Roman" w:cs="Times New Roman"/>
        </w:rPr>
      </w:pPr>
    </w:p>
    <w:p w14:paraId="26729F7A">
      <w:pPr>
        <w:pStyle w:val="13"/>
        <w:keepNext w:val="0"/>
        <w:keepLines w:val="0"/>
        <w:pageBreakBefore w:val="0"/>
        <w:widowControl w:val="0"/>
        <w:topLinePunct w:val="0"/>
        <w:bidi w:val="0"/>
        <w:spacing w:line="249" w:lineRule="auto"/>
        <w:rPr>
          <w:rFonts w:hint="default" w:ascii="Times New Roman" w:hAnsi="Times New Roman" w:cs="Times New Roman"/>
        </w:rPr>
      </w:pPr>
    </w:p>
    <w:p w14:paraId="038915C8">
      <w:pPr>
        <w:pStyle w:val="13"/>
        <w:keepNext w:val="0"/>
        <w:keepLines w:val="0"/>
        <w:pageBreakBefore w:val="0"/>
        <w:widowControl w:val="0"/>
        <w:topLinePunct w:val="0"/>
        <w:bidi w:val="0"/>
        <w:spacing w:line="249" w:lineRule="auto"/>
        <w:rPr>
          <w:rFonts w:hint="default" w:ascii="Times New Roman" w:hAnsi="Times New Roman" w:cs="Times New Roman"/>
        </w:rPr>
      </w:pPr>
    </w:p>
    <w:p w14:paraId="0805B0AA">
      <w:pPr>
        <w:pStyle w:val="13"/>
        <w:keepNext w:val="0"/>
        <w:keepLines w:val="0"/>
        <w:pageBreakBefore w:val="0"/>
        <w:widowControl w:val="0"/>
        <w:topLinePunct w:val="0"/>
        <w:bidi w:val="0"/>
        <w:spacing w:line="249" w:lineRule="auto"/>
        <w:rPr>
          <w:rFonts w:hint="default" w:ascii="Times New Roman" w:hAnsi="Times New Roman" w:cs="Times New Roman"/>
        </w:rPr>
      </w:pPr>
    </w:p>
    <w:p w14:paraId="481424E2">
      <w:pPr>
        <w:pStyle w:val="13"/>
        <w:keepNext w:val="0"/>
        <w:keepLines w:val="0"/>
        <w:pageBreakBefore w:val="0"/>
        <w:widowControl w:val="0"/>
        <w:topLinePunct w:val="0"/>
        <w:bidi w:val="0"/>
        <w:spacing w:line="249" w:lineRule="auto"/>
        <w:rPr>
          <w:rFonts w:hint="default" w:ascii="Times New Roman" w:hAnsi="Times New Roman" w:cs="Times New Roman"/>
        </w:rPr>
      </w:pPr>
    </w:p>
    <w:p w14:paraId="4BFE3081">
      <w:pPr>
        <w:pStyle w:val="13"/>
        <w:keepNext w:val="0"/>
        <w:keepLines w:val="0"/>
        <w:pageBreakBefore w:val="0"/>
        <w:widowControl w:val="0"/>
        <w:topLinePunct w:val="0"/>
        <w:bidi w:val="0"/>
        <w:spacing w:line="249" w:lineRule="auto"/>
        <w:rPr>
          <w:rFonts w:hint="default" w:ascii="Times New Roman" w:hAnsi="Times New Roman" w:cs="Times New Roman"/>
        </w:rPr>
      </w:pPr>
    </w:p>
    <w:p w14:paraId="7227E3C4">
      <w:pPr>
        <w:pStyle w:val="13"/>
        <w:keepNext w:val="0"/>
        <w:keepLines w:val="0"/>
        <w:pageBreakBefore w:val="0"/>
        <w:widowControl w:val="0"/>
        <w:topLinePunct w:val="0"/>
        <w:bidi w:val="0"/>
        <w:spacing w:line="249" w:lineRule="auto"/>
        <w:rPr>
          <w:rFonts w:hint="default" w:ascii="Times New Roman" w:hAnsi="Times New Roman" w:cs="Times New Roman"/>
        </w:rPr>
      </w:pPr>
    </w:p>
    <w:p w14:paraId="1CE05166">
      <w:pPr>
        <w:pStyle w:val="13"/>
        <w:keepNext w:val="0"/>
        <w:keepLines w:val="0"/>
        <w:pageBreakBefore w:val="0"/>
        <w:widowControl w:val="0"/>
        <w:topLinePunct w:val="0"/>
        <w:bidi w:val="0"/>
        <w:spacing w:line="250" w:lineRule="auto"/>
        <w:rPr>
          <w:rFonts w:hint="default" w:ascii="Times New Roman" w:hAnsi="Times New Roman" w:cs="Times New Roman"/>
        </w:rPr>
      </w:pPr>
    </w:p>
    <w:p w14:paraId="3BDE307B">
      <w:pPr>
        <w:pStyle w:val="13"/>
        <w:keepNext w:val="0"/>
        <w:keepLines w:val="0"/>
        <w:pageBreakBefore w:val="0"/>
        <w:widowControl w:val="0"/>
        <w:topLinePunct w:val="0"/>
        <w:bidi w:val="0"/>
        <w:spacing w:line="250" w:lineRule="auto"/>
        <w:rPr>
          <w:rFonts w:hint="default" w:ascii="Times New Roman" w:hAnsi="Times New Roman" w:cs="Times New Roman"/>
        </w:rPr>
      </w:pPr>
    </w:p>
    <w:p w14:paraId="2C5F2E1B">
      <w:pPr>
        <w:pStyle w:val="13"/>
        <w:keepNext w:val="0"/>
        <w:keepLines w:val="0"/>
        <w:pageBreakBefore w:val="0"/>
        <w:widowControl w:val="0"/>
        <w:topLinePunct w:val="0"/>
        <w:bidi w:val="0"/>
        <w:spacing w:line="250" w:lineRule="auto"/>
        <w:rPr>
          <w:rFonts w:hint="default" w:ascii="Times New Roman" w:hAnsi="Times New Roman" w:cs="Times New Roman"/>
        </w:rPr>
      </w:pP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55"/>
        <w:gridCol w:w="262"/>
        <w:gridCol w:w="4935"/>
      </w:tblGrid>
      <w:tr w14:paraId="72AC4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5" w:type="dxa"/>
            <w:tcBorders>
              <w:top w:val="nil"/>
              <w:left w:val="nil"/>
              <w:bottom w:val="nil"/>
              <w:right w:val="nil"/>
            </w:tcBorders>
            <w:vAlign w:val="center"/>
          </w:tcPr>
          <w:p w14:paraId="6CAD6115">
            <w:pPr>
              <w:keepNext w:val="0"/>
              <w:keepLines w:val="0"/>
              <w:pageBreakBefore w:val="0"/>
              <w:widowControl w:val="0"/>
              <w:kinsoku w:val="0"/>
              <w:wordWrap/>
              <w:overflowPunct/>
              <w:topLinePunct w:val="0"/>
              <w:autoSpaceDE w:val="0"/>
              <w:autoSpaceDN w:val="0"/>
              <w:bidi w:val="0"/>
              <w:adjustRightInd w:val="0"/>
              <w:snapToGrid w:val="0"/>
              <w:spacing w:before="101" w:line="360" w:lineRule="exact"/>
              <w:jc w:val="distribute"/>
              <w:textAlignment w:val="baseline"/>
              <w:rPr>
                <w:rFonts w:hint="default" w:ascii="Times New Roman" w:hAnsi="Times New Roman" w:eastAsia="仿宋" w:cs="Times New Roman"/>
                <w:sz w:val="36"/>
                <w:szCs w:val="36"/>
                <w:vertAlign w:val="baseline"/>
                <w:lang w:eastAsia="zh-CN"/>
              </w:rPr>
            </w:pPr>
            <w:r>
              <w:rPr>
                <w:rFonts w:hint="default" w:ascii="Times New Roman" w:hAnsi="Times New Roman" w:eastAsia="仿宋" w:cs="Times New Roman"/>
                <w:sz w:val="36"/>
                <w:szCs w:val="36"/>
                <w:vertAlign w:val="baseline"/>
                <w:lang w:eastAsia="zh-CN"/>
              </w:rPr>
              <w:t>申报企业</w:t>
            </w:r>
          </w:p>
        </w:tc>
        <w:tc>
          <w:tcPr>
            <w:tcW w:w="262" w:type="dxa"/>
            <w:tcBorders>
              <w:top w:val="nil"/>
              <w:left w:val="nil"/>
              <w:bottom w:val="nil"/>
              <w:right w:val="nil"/>
            </w:tcBorders>
            <w:vAlign w:val="center"/>
          </w:tcPr>
          <w:p w14:paraId="6EF4B0E3">
            <w:pPr>
              <w:keepNext w:val="0"/>
              <w:keepLines w:val="0"/>
              <w:pageBreakBefore w:val="0"/>
              <w:widowControl w:val="0"/>
              <w:kinsoku w:val="0"/>
              <w:wordWrap/>
              <w:overflowPunct/>
              <w:topLinePunct w:val="0"/>
              <w:autoSpaceDE w:val="0"/>
              <w:autoSpaceDN w:val="0"/>
              <w:bidi w:val="0"/>
              <w:adjustRightInd w:val="0"/>
              <w:snapToGrid w:val="0"/>
              <w:spacing w:line="360" w:lineRule="exact"/>
              <w:jc w:val="center"/>
              <w:textAlignment w:val="baseline"/>
              <w:rPr>
                <w:rFonts w:hint="default" w:ascii="Times New Roman" w:hAnsi="Times New Roman" w:eastAsia="仿宋" w:cs="Times New Roman"/>
                <w:sz w:val="36"/>
                <w:szCs w:val="36"/>
                <w:vertAlign w:val="baseline"/>
                <w:lang w:eastAsia="zh-CN"/>
              </w:rPr>
            </w:pPr>
            <w:r>
              <w:rPr>
                <w:rFonts w:hint="default" w:ascii="Times New Roman" w:hAnsi="Times New Roman" w:eastAsia="仿宋" w:cs="Times New Roman"/>
                <w:sz w:val="36"/>
                <w:szCs w:val="36"/>
                <w:vertAlign w:val="baseline"/>
                <w:lang w:eastAsia="zh-CN"/>
              </w:rPr>
              <w:t>：</w:t>
            </w:r>
          </w:p>
        </w:tc>
        <w:tc>
          <w:tcPr>
            <w:tcW w:w="4935" w:type="dxa"/>
            <w:tcBorders>
              <w:top w:val="nil"/>
              <w:left w:val="nil"/>
              <w:bottom w:val="single" w:color="auto" w:sz="4" w:space="0"/>
              <w:right w:val="nil"/>
            </w:tcBorders>
            <w:vAlign w:val="center"/>
          </w:tcPr>
          <w:p w14:paraId="7938ECC4">
            <w:pPr>
              <w:keepNext w:val="0"/>
              <w:keepLines w:val="0"/>
              <w:pageBreakBefore w:val="0"/>
              <w:widowControl w:val="0"/>
              <w:kinsoku w:val="0"/>
              <w:wordWrap/>
              <w:overflowPunct/>
              <w:topLinePunct w:val="0"/>
              <w:autoSpaceDE w:val="0"/>
              <w:autoSpaceDN w:val="0"/>
              <w:bidi w:val="0"/>
              <w:adjustRightInd w:val="0"/>
              <w:snapToGrid w:val="0"/>
              <w:spacing w:before="101" w:line="360" w:lineRule="auto"/>
              <w:jc w:val="center"/>
              <w:textAlignment w:val="baseline"/>
              <w:rPr>
                <w:rFonts w:hint="default" w:ascii="Times New Roman" w:hAnsi="Times New Roman" w:eastAsia="仿宋" w:cs="Times New Roman"/>
                <w:sz w:val="36"/>
                <w:szCs w:val="36"/>
                <w:vertAlign w:val="baseline"/>
              </w:rPr>
            </w:pPr>
          </w:p>
        </w:tc>
      </w:tr>
      <w:tr w14:paraId="70FCF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5" w:type="dxa"/>
            <w:tcBorders>
              <w:top w:val="nil"/>
              <w:left w:val="nil"/>
              <w:bottom w:val="nil"/>
              <w:right w:val="nil"/>
            </w:tcBorders>
            <w:vAlign w:val="center"/>
          </w:tcPr>
          <w:p w14:paraId="05771A1B">
            <w:pPr>
              <w:keepNext w:val="0"/>
              <w:keepLines w:val="0"/>
              <w:pageBreakBefore w:val="0"/>
              <w:widowControl w:val="0"/>
              <w:kinsoku w:val="0"/>
              <w:wordWrap/>
              <w:overflowPunct/>
              <w:topLinePunct w:val="0"/>
              <w:autoSpaceDE w:val="0"/>
              <w:autoSpaceDN w:val="0"/>
              <w:bidi w:val="0"/>
              <w:adjustRightInd w:val="0"/>
              <w:snapToGrid w:val="0"/>
              <w:spacing w:before="101" w:line="360" w:lineRule="exact"/>
              <w:jc w:val="distribute"/>
              <w:textAlignment w:val="baseline"/>
              <w:rPr>
                <w:rFonts w:hint="default" w:ascii="Times New Roman" w:hAnsi="Times New Roman" w:eastAsia="仿宋" w:cs="Times New Roman"/>
                <w:sz w:val="36"/>
                <w:szCs w:val="36"/>
                <w:vertAlign w:val="baseline"/>
                <w:lang w:eastAsia="zh-CN"/>
              </w:rPr>
            </w:pPr>
            <w:r>
              <w:rPr>
                <w:rFonts w:hint="default" w:ascii="Times New Roman" w:hAnsi="Times New Roman" w:eastAsia="仿宋" w:cs="Times New Roman"/>
                <w:sz w:val="36"/>
                <w:szCs w:val="36"/>
                <w:vertAlign w:val="baseline"/>
                <w:lang w:eastAsia="zh-CN"/>
              </w:rPr>
              <w:t>所在县</w:t>
            </w:r>
            <w:r>
              <w:rPr>
                <w:rFonts w:hint="eastAsia" w:ascii="Times New Roman" w:hAnsi="Times New Roman" w:eastAsia="仿宋" w:cs="Times New Roman"/>
                <w:sz w:val="36"/>
                <w:szCs w:val="36"/>
                <w:vertAlign w:val="baseline"/>
                <w:lang w:eastAsia="zh-CN"/>
              </w:rPr>
              <w:t>（</w:t>
            </w:r>
            <w:r>
              <w:rPr>
                <w:rFonts w:hint="default" w:ascii="Times New Roman" w:hAnsi="Times New Roman" w:eastAsia="仿宋" w:cs="Times New Roman"/>
                <w:sz w:val="36"/>
                <w:szCs w:val="36"/>
                <w:vertAlign w:val="baseline"/>
                <w:lang w:eastAsia="zh-CN"/>
              </w:rPr>
              <w:t>市</w:t>
            </w:r>
            <w:r>
              <w:rPr>
                <w:rFonts w:hint="eastAsia" w:ascii="Times New Roman" w:hAnsi="Times New Roman" w:eastAsia="仿宋" w:cs="Times New Roman"/>
                <w:sz w:val="36"/>
                <w:szCs w:val="36"/>
                <w:vertAlign w:val="baseline"/>
                <w:lang w:eastAsia="zh-CN"/>
              </w:rPr>
              <w:t>、</w:t>
            </w:r>
            <w:r>
              <w:rPr>
                <w:rFonts w:hint="default" w:ascii="Times New Roman" w:hAnsi="Times New Roman" w:eastAsia="仿宋" w:cs="Times New Roman"/>
                <w:sz w:val="36"/>
                <w:szCs w:val="36"/>
                <w:vertAlign w:val="baseline"/>
                <w:lang w:eastAsia="zh-CN"/>
              </w:rPr>
              <w:t>区</w:t>
            </w:r>
            <w:r>
              <w:rPr>
                <w:rFonts w:hint="eastAsia" w:ascii="Times New Roman" w:hAnsi="Times New Roman" w:eastAsia="仿宋" w:cs="Times New Roman"/>
                <w:sz w:val="36"/>
                <w:szCs w:val="36"/>
                <w:vertAlign w:val="baseline"/>
                <w:lang w:eastAsia="zh-CN"/>
              </w:rPr>
              <w:t>）</w:t>
            </w:r>
          </w:p>
        </w:tc>
        <w:tc>
          <w:tcPr>
            <w:tcW w:w="262" w:type="dxa"/>
            <w:tcBorders>
              <w:top w:val="nil"/>
              <w:left w:val="nil"/>
              <w:bottom w:val="nil"/>
              <w:right w:val="nil"/>
            </w:tcBorders>
            <w:vAlign w:val="center"/>
          </w:tcPr>
          <w:p w14:paraId="79A775A0">
            <w:pPr>
              <w:keepNext w:val="0"/>
              <w:keepLines w:val="0"/>
              <w:pageBreakBefore w:val="0"/>
              <w:widowControl w:val="0"/>
              <w:kinsoku w:val="0"/>
              <w:wordWrap/>
              <w:overflowPunct/>
              <w:topLinePunct w:val="0"/>
              <w:autoSpaceDE w:val="0"/>
              <w:autoSpaceDN w:val="0"/>
              <w:bidi w:val="0"/>
              <w:adjustRightInd w:val="0"/>
              <w:snapToGrid w:val="0"/>
              <w:spacing w:line="360" w:lineRule="exact"/>
              <w:jc w:val="center"/>
              <w:textAlignment w:val="baseline"/>
              <w:rPr>
                <w:rFonts w:hint="default" w:ascii="Times New Roman" w:hAnsi="Times New Roman" w:eastAsia="仿宋" w:cs="Times New Roman"/>
                <w:sz w:val="36"/>
                <w:szCs w:val="36"/>
                <w:vertAlign w:val="baseline"/>
                <w:lang w:eastAsia="zh-CN"/>
              </w:rPr>
            </w:pPr>
            <w:r>
              <w:rPr>
                <w:rFonts w:hint="default" w:ascii="Times New Roman" w:hAnsi="Times New Roman" w:eastAsia="仿宋" w:cs="Times New Roman"/>
                <w:sz w:val="36"/>
                <w:szCs w:val="36"/>
                <w:vertAlign w:val="baseline"/>
                <w:lang w:eastAsia="zh-CN"/>
              </w:rPr>
              <w:t>：</w:t>
            </w:r>
          </w:p>
        </w:tc>
        <w:tc>
          <w:tcPr>
            <w:tcW w:w="4935" w:type="dxa"/>
            <w:tcBorders>
              <w:top w:val="single" w:color="auto" w:sz="4" w:space="0"/>
              <w:left w:val="nil"/>
              <w:bottom w:val="single" w:color="auto" w:sz="4" w:space="0"/>
              <w:right w:val="nil"/>
            </w:tcBorders>
            <w:vAlign w:val="center"/>
          </w:tcPr>
          <w:p w14:paraId="5C104820">
            <w:pPr>
              <w:keepNext w:val="0"/>
              <w:keepLines w:val="0"/>
              <w:pageBreakBefore w:val="0"/>
              <w:widowControl w:val="0"/>
              <w:kinsoku w:val="0"/>
              <w:wordWrap/>
              <w:overflowPunct/>
              <w:topLinePunct w:val="0"/>
              <w:autoSpaceDE w:val="0"/>
              <w:autoSpaceDN w:val="0"/>
              <w:bidi w:val="0"/>
              <w:adjustRightInd w:val="0"/>
              <w:snapToGrid w:val="0"/>
              <w:spacing w:before="101" w:line="360" w:lineRule="auto"/>
              <w:jc w:val="center"/>
              <w:textAlignment w:val="baseline"/>
              <w:rPr>
                <w:rFonts w:hint="default" w:ascii="Times New Roman" w:hAnsi="Times New Roman" w:eastAsia="仿宋" w:cs="Times New Roman"/>
                <w:sz w:val="36"/>
                <w:szCs w:val="36"/>
                <w:vertAlign w:val="baseline"/>
              </w:rPr>
            </w:pPr>
          </w:p>
        </w:tc>
      </w:tr>
    </w:tbl>
    <w:p w14:paraId="7C2EA239">
      <w:pPr>
        <w:keepNext w:val="0"/>
        <w:keepLines w:val="0"/>
        <w:pageBreakBefore w:val="0"/>
        <w:widowControl w:val="0"/>
        <w:topLinePunct w:val="0"/>
        <w:bidi w:val="0"/>
        <w:spacing w:before="101" w:line="220" w:lineRule="auto"/>
        <w:rPr>
          <w:rFonts w:hint="default" w:ascii="Times New Roman" w:hAnsi="Times New Roman" w:eastAsia="仿宋" w:cs="Times New Roman"/>
          <w:sz w:val="31"/>
          <w:szCs w:val="31"/>
        </w:rPr>
      </w:pPr>
    </w:p>
    <w:p w14:paraId="7451B928">
      <w:pPr>
        <w:pStyle w:val="13"/>
        <w:keepNext w:val="0"/>
        <w:keepLines w:val="0"/>
        <w:pageBreakBefore w:val="0"/>
        <w:widowControl w:val="0"/>
        <w:topLinePunct w:val="0"/>
        <w:bidi w:val="0"/>
        <w:spacing w:line="261" w:lineRule="auto"/>
        <w:rPr>
          <w:rFonts w:hint="default" w:ascii="Times New Roman" w:hAnsi="Times New Roman" w:cs="Times New Roman"/>
        </w:rPr>
      </w:pPr>
    </w:p>
    <w:p w14:paraId="6FBD9455">
      <w:pPr>
        <w:pStyle w:val="13"/>
        <w:keepNext w:val="0"/>
        <w:keepLines w:val="0"/>
        <w:pageBreakBefore w:val="0"/>
        <w:widowControl w:val="0"/>
        <w:topLinePunct w:val="0"/>
        <w:bidi w:val="0"/>
        <w:spacing w:line="261" w:lineRule="auto"/>
        <w:rPr>
          <w:rFonts w:hint="default" w:ascii="Times New Roman" w:hAnsi="Times New Roman" w:cs="Times New Roman"/>
        </w:rPr>
      </w:pPr>
    </w:p>
    <w:p w14:paraId="0CE00606">
      <w:pPr>
        <w:pStyle w:val="13"/>
        <w:keepNext w:val="0"/>
        <w:keepLines w:val="0"/>
        <w:pageBreakBefore w:val="0"/>
        <w:widowControl w:val="0"/>
        <w:topLinePunct w:val="0"/>
        <w:bidi w:val="0"/>
        <w:spacing w:line="261" w:lineRule="auto"/>
        <w:rPr>
          <w:rFonts w:hint="default" w:ascii="Times New Roman" w:hAnsi="Times New Roman" w:cs="Times New Roman"/>
        </w:rPr>
      </w:pPr>
    </w:p>
    <w:p w14:paraId="05609212">
      <w:pPr>
        <w:pStyle w:val="13"/>
        <w:keepNext w:val="0"/>
        <w:keepLines w:val="0"/>
        <w:pageBreakBefore w:val="0"/>
        <w:widowControl w:val="0"/>
        <w:topLinePunct w:val="0"/>
        <w:bidi w:val="0"/>
        <w:spacing w:line="261" w:lineRule="auto"/>
        <w:rPr>
          <w:rFonts w:hint="default" w:ascii="Times New Roman" w:hAnsi="Times New Roman" w:cs="Times New Roman"/>
        </w:rPr>
      </w:pPr>
    </w:p>
    <w:p w14:paraId="74FD77ED">
      <w:pPr>
        <w:pStyle w:val="13"/>
        <w:keepNext w:val="0"/>
        <w:keepLines w:val="0"/>
        <w:pageBreakBefore w:val="0"/>
        <w:widowControl w:val="0"/>
        <w:topLinePunct w:val="0"/>
        <w:bidi w:val="0"/>
        <w:spacing w:line="261" w:lineRule="auto"/>
        <w:rPr>
          <w:rFonts w:hint="default" w:ascii="Times New Roman" w:hAnsi="Times New Roman" w:cs="Times New Roman"/>
        </w:rPr>
      </w:pPr>
    </w:p>
    <w:p w14:paraId="52564D13">
      <w:pPr>
        <w:pStyle w:val="13"/>
        <w:keepNext w:val="0"/>
        <w:keepLines w:val="0"/>
        <w:pageBreakBefore w:val="0"/>
        <w:widowControl w:val="0"/>
        <w:topLinePunct w:val="0"/>
        <w:bidi w:val="0"/>
        <w:spacing w:line="261" w:lineRule="auto"/>
        <w:rPr>
          <w:rFonts w:hint="default" w:ascii="Times New Roman" w:hAnsi="Times New Roman" w:cs="Times New Roman"/>
        </w:rPr>
      </w:pPr>
    </w:p>
    <w:p w14:paraId="3DA75297">
      <w:pPr>
        <w:pStyle w:val="13"/>
        <w:keepNext w:val="0"/>
        <w:keepLines w:val="0"/>
        <w:pageBreakBefore w:val="0"/>
        <w:widowControl w:val="0"/>
        <w:topLinePunct w:val="0"/>
        <w:bidi w:val="0"/>
        <w:spacing w:line="261" w:lineRule="auto"/>
        <w:rPr>
          <w:rFonts w:hint="default" w:ascii="Times New Roman" w:hAnsi="Times New Roman" w:cs="Times New Roman"/>
        </w:rPr>
      </w:pPr>
    </w:p>
    <w:p w14:paraId="0CC560A9">
      <w:pPr>
        <w:pStyle w:val="13"/>
        <w:keepNext w:val="0"/>
        <w:keepLines w:val="0"/>
        <w:pageBreakBefore w:val="0"/>
        <w:widowControl w:val="0"/>
        <w:topLinePunct w:val="0"/>
        <w:bidi w:val="0"/>
        <w:spacing w:line="261" w:lineRule="auto"/>
        <w:rPr>
          <w:rFonts w:hint="default" w:ascii="Times New Roman" w:hAnsi="Times New Roman" w:cs="Times New Roman"/>
        </w:rPr>
      </w:pPr>
    </w:p>
    <w:p w14:paraId="3626CAFB">
      <w:pPr>
        <w:pStyle w:val="13"/>
        <w:keepNext w:val="0"/>
        <w:keepLines w:val="0"/>
        <w:pageBreakBefore w:val="0"/>
        <w:widowControl w:val="0"/>
        <w:topLinePunct w:val="0"/>
        <w:bidi w:val="0"/>
        <w:spacing w:line="261" w:lineRule="auto"/>
        <w:rPr>
          <w:rFonts w:hint="default" w:ascii="Times New Roman" w:hAnsi="Times New Roman" w:cs="Times New Roman"/>
        </w:rPr>
      </w:pPr>
    </w:p>
    <w:p w14:paraId="0CD2C083">
      <w:pPr>
        <w:pStyle w:val="13"/>
        <w:keepNext w:val="0"/>
        <w:keepLines w:val="0"/>
        <w:pageBreakBefore w:val="0"/>
        <w:widowControl w:val="0"/>
        <w:topLinePunct w:val="0"/>
        <w:bidi w:val="0"/>
        <w:spacing w:line="261" w:lineRule="auto"/>
        <w:rPr>
          <w:rFonts w:hint="default" w:ascii="Times New Roman" w:hAnsi="Times New Roman" w:eastAsia="仿宋" w:cs="Times New Roman"/>
          <w:snapToGrid w:val="0"/>
          <w:color w:val="000000"/>
          <w:kern w:val="0"/>
          <w:sz w:val="36"/>
          <w:szCs w:val="36"/>
          <w:vertAlign w:val="baseline"/>
          <w:lang w:val="en-US" w:eastAsia="zh-CN" w:bidi="ar-SA"/>
        </w:rPr>
      </w:pPr>
    </w:p>
    <w:p w14:paraId="433FAF78">
      <w:pPr>
        <w:pStyle w:val="13"/>
        <w:keepNext w:val="0"/>
        <w:keepLines w:val="0"/>
        <w:pageBreakBefore w:val="0"/>
        <w:widowControl w:val="0"/>
        <w:topLinePunct w:val="0"/>
        <w:bidi w:val="0"/>
        <w:spacing w:line="262" w:lineRule="auto"/>
        <w:rPr>
          <w:rFonts w:hint="default" w:ascii="Times New Roman" w:hAnsi="Times New Roman" w:eastAsia="仿宋" w:cs="Times New Roman"/>
          <w:snapToGrid w:val="0"/>
          <w:color w:val="000000"/>
          <w:kern w:val="0"/>
          <w:sz w:val="36"/>
          <w:szCs w:val="36"/>
          <w:vertAlign w:val="baseline"/>
          <w:lang w:val="en-US" w:eastAsia="zh-CN" w:bidi="ar-SA"/>
        </w:rPr>
      </w:pPr>
    </w:p>
    <w:p w14:paraId="6A00013B">
      <w:pPr>
        <w:keepNext w:val="0"/>
        <w:keepLines w:val="0"/>
        <w:pageBreakBefore w:val="0"/>
        <w:widowControl w:val="0"/>
        <w:topLinePunct w:val="0"/>
        <w:bidi w:val="0"/>
        <w:spacing w:before="101" w:line="222" w:lineRule="auto"/>
        <w:jc w:val="center"/>
        <w:rPr>
          <w:rFonts w:hint="default" w:ascii="Times New Roman" w:hAnsi="Times New Roman" w:eastAsia="仿宋" w:cs="Times New Roman"/>
          <w:snapToGrid w:val="0"/>
          <w:color w:val="000000"/>
          <w:kern w:val="0"/>
          <w:sz w:val="36"/>
          <w:szCs w:val="36"/>
          <w:vertAlign w:val="baseline"/>
          <w:lang w:val="en-US" w:eastAsia="zh-CN" w:bidi="ar-SA"/>
        </w:rPr>
      </w:pPr>
      <w:r>
        <w:rPr>
          <w:rFonts w:hint="default" w:ascii="Times New Roman" w:hAnsi="Times New Roman" w:eastAsia="仿宋" w:cs="Times New Roman"/>
          <w:snapToGrid w:val="0"/>
          <w:color w:val="000000"/>
          <w:kern w:val="0"/>
          <w:sz w:val="36"/>
          <w:szCs w:val="36"/>
          <w:vertAlign w:val="baseline"/>
          <w:lang w:val="en-US" w:eastAsia="zh-CN" w:bidi="ar-SA"/>
        </w:rPr>
        <w:t>石家庄市工业和信息化局制</w:t>
      </w:r>
    </w:p>
    <w:p w14:paraId="39898D1E">
      <w:pPr>
        <w:keepNext w:val="0"/>
        <w:keepLines w:val="0"/>
        <w:pageBreakBefore w:val="0"/>
        <w:widowControl w:val="0"/>
        <w:topLinePunct w:val="0"/>
        <w:bidi w:val="0"/>
        <w:jc w:val="center"/>
        <w:rPr>
          <w:rFonts w:hint="default" w:ascii="Times New Roman" w:hAnsi="Times New Roman" w:eastAsia="仿宋" w:cs="Times New Roman"/>
          <w:snapToGrid w:val="0"/>
          <w:color w:val="000000"/>
          <w:kern w:val="0"/>
          <w:sz w:val="36"/>
          <w:szCs w:val="36"/>
          <w:vertAlign w:val="baseline"/>
          <w:lang w:val="en-US" w:eastAsia="zh-CN" w:bidi="ar-SA"/>
        </w:rPr>
      </w:pPr>
    </w:p>
    <w:p w14:paraId="007D08B3">
      <w:pPr>
        <w:keepNext w:val="0"/>
        <w:keepLines w:val="0"/>
        <w:pageBreakBefore w:val="0"/>
        <w:widowControl w:val="0"/>
        <w:topLinePunct w:val="0"/>
        <w:bidi w:val="0"/>
        <w:jc w:val="center"/>
        <w:rPr>
          <w:rFonts w:hint="default" w:ascii="Times New Roman" w:hAnsi="Times New Roman" w:eastAsia="仿宋" w:cs="Times New Roman"/>
          <w:snapToGrid w:val="0"/>
          <w:color w:val="000000"/>
          <w:kern w:val="0"/>
          <w:sz w:val="36"/>
          <w:szCs w:val="36"/>
          <w:vertAlign w:val="baseline"/>
          <w:lang w:val="en-US" w:eastAsia="zh-CN" w:bidi="ar-SA"/>
        </w:rPr>
      </w:pPr>
      <w:r>
        <w:rPr>
          <w:rFonts w:hint="default" w:ascii="Times New Roman" w:hAnsi="Times New Roman" w:eastAsia="仿宋" w:cs="Times New Roman"/>
          <w:snapToGrid w:val="0"/>
          <w:color w:val="000000"/>
          <w:kern w:val="0"/>
          <w:sz w:val="36"/>
          <w:szCs w:val="36"/>
          <w:vertAlign w:val="baseline"/>
          <w:lang w:val="en-US" w:eastAsia="zh-CN" w:bidi="ar-SA"/>
        </w:rPr>
        <w:t>20</w:t>
      </w:r>
      <w:r>
        <w:rPr>
          <w:rFonts w:hint="eastAsia" w:ascii="Times New Roman" w:hAnsi="Times New Roman" w:eastAsia="仿宋" w:cs="Times New Roman"/>
          <w:snapToGrid w:val="0"/>
          <w:color w:val="000000"/>
          <w:kern w:val="0"/>
          <w:sz w:val="36"/>
          <w:szCs w:val="36"/>
          <w:vertAlign w:val="baseline"/>
          <w:lang w:val="en-US" w:eastAsia="zh-CN" w:bidi="ar-SA"/>
        </w:rPr>
        <w:t xml:space="preserve">  </w:t>
      </w:r>
      <w:r>
        <w:rPr>
          <w:rFonts w:hint="default" w:ascii="Times New Roman" w:hAnsi="Times New Roman" w:eastAsia="仿宋" w:cs="Times New Roman"/>
          <w:snapToGrid w:val="0"/>
          <w:color w:val="000000"/>
          <w:kern w:val="0"/>
          <w:sz w:val="36"/>
          <w:szCs w:val="36"/>
          <w:vertAlign w:val="baseline"/>
          <w:lang w:val="en-US" w:eastAsia="zh-CN" w:bidi="ar-SA"/>
        </w:rPr>
        <w:t>年</w:t>
      </w:r>
      <w:r>
        <w:rPr>
          <w:rFonts w:hint="eastAsia" w:ascii="Times New Roman" w:hAnsi="Times New Roman" w:eastAsia="仿宋" w:cs="Times New Roman"/>
          <w:snapToGrid w:val="0"/>
          <w:color w:val="000000"/>
          <w:kern w:val="0"/>
          <w:sz w:val="36"/>
          <w:szCs w:val="36"/>
          <w:vertAlign w:val="baseline"/>
          <w:lang w:val="en-US" w:eastAsia="zh-CN" w:bidi="ar-SA"/>
        </w:rPr>
        <w:t xml:space="preserve">  </w:t>
      </w:r>
      <w:r>
        <w:rPr>
          <w:rFonts w:hint="default" w:ascii="Times New Roman" w:hAnsi="Times New Roman" w:eastAsia="仿宋" w:cs="Times New Roman"/>
          <w:snapToGrid w:val="0"/>
          <w:color w:val="000000"/>
          <w:kern w:val="0"/>
          <w:sz w:val="36"/>
          <w:szCs w:val="36"/>
          <w:vertAlign w:val="baseline"/>
          <w:lang w:val="en-US" w:eastAsia="zh-CN" w:bidi="ar-SA"/>
        </w:rPr>
        <w:t>月</w:t>
      </w:r>
    </w:p>
    <w:p w14:paraId="4663DB33">
      <w:pPr>
        <w:keepNext w:val="0"/>
        <w:keepLines w:val="0"/>
        <w:pageBreakBefore w:val="0"/>
        <w:widowControl w:val="0"/>
        <w:topLinePunct w:val="0"/>
        <w:bidi w:val="0"/>
        <w:rPr>
          <w:rFonts w:hint="default" w:ascii="Times New Roman" w:hAnsi="Times New Roman" w:eastAsia="仿宋" w:cs="Times New Roman"/>
          <w:snapToGrid w:val="0"/>
          <w:color w:val="000000"/>
          <w:kern w:val="0"/>
          <w:sz w:val="36"/>
          <w:szCs w:val="36"/>
          <w:vertAlign w:val="baseline"/>
          <w:lang w:val="en-US" w:eastAsia="zh-CN" w:bidi="ar-SA"/>
        </w:rPr>
      </w:pPr>
      <w:r>
        <w:rPr>
          <w:rFonts w:hint="default" w:ascii="Times New Roman" w:hAnsi="Times New Roman" w:eastAsia="仿宋" w:cs="Times New Roman"/>
          <w:snapToGrid w:val="0"/>
          <w:color w:val="000000"/>
          <w:kern w:val="0"/>
          <w:sz w:val="36"/>
          <w:szCs w:val="36"/>
          <w:vertAlign w:val="baseline"/>
          <w:lang w:val="en-US" w:eastAsia="zh-CN" w:bidi="ar-SA"/>
        </w:rPr>
        <w:br w:type="page"/>
      </w:r>
    </w:p>
    <w:p w14:paraId="18337E95">
      <w:pPr>
        <w:keepNext w:val="0"/>
        <w:keepLines w:val="0"/>
        <w:pageBreakBefore w:val="0"/>
        <w:widowControl w:val="0"/>
        <w:topLinePunct w:val="0"/>
        <w:bidi w:val="0"/>
        <w:spacing w:before="163" w:line="226" w:lineRule="auto"/>
        <w:ind w:left="3300"/>
        <w:rPr>
          <w:rFonts w:hint="default" w:ascii="Times New Roman" w:hAnsi="Times New Roman" w:eastAsia="黑体" w:cs="Times New Roman"/>
          <w:spacing w:val="-8"/>
          <w:sz w:val="31"/>
          <w:szCs w:val="31"/>
        </w:rPr>
      </w:pPr>
    </w:p>
    <w:p w14:paraId="027F9D2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default" w:ascii="Times New Roman" w:hAnsi="Times New Roman" w:eastAsia="黑体" w:cs="Times New Roman"/>
          <w:sz w:val="31"/>
          <w:szCs w:val="31"/>
        </w:rPr>
      </w:pPr>
      <w:r>
        <w:rPr>
          <w:rFonts w:hint="default" w:ascii="Times New Roman" w:hAnsi="Times New Roman" w:eastAsia="黑体" w:cs="Times New Roman"/>
          <w:spacing w:val="-8"/>
          <w:sz w:val="31"/>
          <w:szCs w:val="31"/>
        </w:rPr>
        <w:t>填写说明</w:t>
      </w:r>
    </w:p>
    <w:p w14:paraId="2C563BE7">
      <w:pPr>
        <w:pStyle w:val="13"/>
        <w:keepNext w:val="0"/>
        <w:keepLines w:val="0"/>
        <w:pageBreakBefore w:val="0"/>
        <w:widowControl w:val="0"/>
        <w:topLinePunct w:val="0"/>
        <w:bidi w:val="0"/>
        <w:spacing w:line="266" w:lineRule="auto"/>
        <w:jc w:val="center"/>
        <w:rPr>
          <w:rFonts w:hint="default" w:ascii="Times New Roman" w:hAnsi="Times New Roman" w:cs="Times New Roman"/>
        </w:rPr>
      </w:pPr>
    </w:p>
    <w:p w14:paraId="2DC9E2B1">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28" w:firstLineChars="200"/>
        <w:jc w:val="left"/>
        <w:textAlignment w:val="baseline"/>
        <w:rPr>
          <w:rFonts w:hint="default" w:ascii="Times New Roman" w:hAnsi="Times New Roman" w:eastAsia="仿宋" w:cs="Times New Roman"/>
          <w:sz w:val="31"/>
          <w:szCs w:val="31"/>
        </w:rPr>
      </w:pPr>
      <w:r>
        <w:rPr>
          <w:rFonts w:hint="default" w:ascii="Times New Roman" w:hAnsi="Times New Roman" w:eastAsia="仿宋" w:cs="Times New Roman"/>
          <w:spacing w:val="2"/>
          <w:sz w:val="31"/>
          <w:szCs w:val="31"/>
        </w:rPr>
        <w:t>一、申请企业应当准确、如实填报。</w:t>
      </w:r>
    </w:p>
    <w:p w14:paraId="6E5124B4">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8" w:firstLineChars="200"/>
        <w:jc w:val="left"/>
        <w:textAlignment w:val="baseline"/>
        <w:rPr>
          <w:rFonts w:hint="default" w:ascii="Times New Roman" w:hAnsi="Times New Roman" w:eastAsia="仿宋" w:cs="Times New Roman"/>
          <w:sz w:val="31"/>
          <w:szCs w:val="31"/>
        </w:rPr>
      </w:pPr>
      <w:r>
        <w:rPr>
          <w:rFonts w:hint="default" w:ascii="Times New Roman" w:hAnsi="Times New Roman" w:eastAsia="仿宋" w:cs="Times New Roman"/>
          <w:spacing w:val="7"/>
          <w:sz w:val="31"/>
          <w:szCs w:val="31"/>
        </w:rPr>
        <w:t>二、所属行业</w:t>
      </w:r>
      <w:r>
        <w:rPr>
          <w:rFonts w:hint="eastAsia" w:ascii="Times New Roman" w:hAnsi="Times New Roman" w:eastAsia="仿宋" w:cs="Times New Roman"/>
          <w:spacing w:val="7"/>
          <w:sz w:val="31"/>
          <w:szCs w:val="31"/>
          <w:lang w:eastAsia="zh-CN"/>
        </w:rPr>
        <w:t>、行业代码</w:t>
      </w:r>
      <w:r>
        <w:rPr>
          <w:rFonts w:hint="default" w:ascii="Times New Roman" w:hAnsi="Times New Roman" w:eastAsia="仿宋" w:cs="Times New Roman"/>
          <w:spacing w:val="7"/>
          <w:sz w:val="31"/>
          <w:szCs w:val="31"/>
        </w:rPr>
        <w:t>请依据</w:t>
      </w:r>
      <w:r>
        <w:rPr>
          <w:rFonts w:hint="default" w:ascii="Times New Roman" w:hAnsi="Times New Roman" w:eastAsia="Times New Roman" w:cs="Times New Roman"/>
          <w:sz w:val="31"/>
          <w:szCs w:val="31"/>
        </w:rPr>
        <w:t>GB</w:t>
      </w:r>
      <w:r>
        <w:rPr>
          <w:rFonts w:hint="default" w:ascii="Times New Roman" w:hAnsi="Times New Roman" w:eastAsia="Times New Roman" w:cs="Times New Roman"/>
          <w:spacing w:val="7"/>
          <w:sz w:val="31"/>
          <w:szCs w:val="31"/>
        </w:rPr>
        <w:t>/T4754-2017</w:t>
      </w:r>
      <w:r>
        <w:rPr>
          <w:rFonts w:hint="default" w:ascii="Times New Roman" w:hAnsi="Times New Roman" w:eastAsia="仿宋" w:cs="Times New Roman"/>
          <w:spacing w:val="7"/>
          <w:sz w:val="31"/>
          <w:szCs w:val="31"/>
        </w:rPr>
        <w:t>《国民经</w:t>
      </w:r>
      <w:r>
        <w:rPr>
          <w:rFonts w:hint="default" w:ascii="Times New Roman" w:hAnsi="Times New Roman" w:eastAsia="仿宋" w:cs="Times New Roman"/>
          <w:spacing w:val="6"/>
          <w:sz w:val="31"/>
          <w:szCs w:val="31"/>
        </w:rPr>
        <w:t>济行业分类》</w:t>
      </w:r>
      <w:r>
        <w:rPr>
          <w:rFonts w:hint="default" w:ascii="Times New Roman" w:hAnsi="Times New Roman" w:eastAsia="仿宋" w:cs="Times New Roman"/>
          <w:spacing w:val="8"/>
          <w:sz w:val="31"/>
          <w:szCs w:val="31"/>
        </w:rPr>
        <w:t>填写。</w:t>
      </w:r>
    </w:p>
    <w:p w14:paraId="1878E663">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48" w:firstLineChars="200"/>
        <w:jc w:val="left"/>
        <w:textAlignment w:val="baseline"/>
        <w:rPr>
          <w:rFonts w:hint="eastAsia" w:ascii="Times New Roman" w:hAnsi="Times New Roman" w:eastAsia="仿宋" w:cs="Times New Roman"/>
          <w:spacing w:val="9"/>
          <w:sz w:val="31"/>
          <w:szCs w:val="31"/>
          <w:highlight w:val="none"/>
          <w:lang w:eastAsia="zh-CN"/>
        </w:rPr>
      </w:pPr>
      <w:r>
        <w:rPr>
          <w:rFonts w:hint="default" w:ascii="Times New Roman" w:hAnsi="Times New Roman" w:eastAsia="仿宋" w:cs="Times New Roman"/>
          <w:spacing w:val="7"/>
          <w:sz w:val="31"/>
          <w:szCs w:val="31"/>
          <w:highlight w:val="none"/>
        </w:rPr>
        <w:t>三、</w:t>
      </w:r>
      <w:r>
        <w:rPr>
          <w:rFonts w:hint="eastAsia" w:ascii="Times New Roman" w:hAnsi="Times New Roman" w:eastAsia="仿宋" w:cs="Times New Roman"/>
          <w:spacing w:val="9"/>
          <w:sz w:val="31"/>
          <w:szCs w:val="31"/>
          <w:highlight w:val="none"/>
          <w:lang w:eastAsia="zh-CN"/>
        </w:rPr>
        <w:t>申报材料</w:t>
      </w:r>
      <w:r>
        <w:rPr>
          <w:rFonts w:hint="default" w:ascii="Times New Roman" w:hAnsi="Times New Roman" w:eastAsia="仿宋" w:cs="Times New Roman"/>
          <w:spacing w:val="9"/>
          <w:sz w:val="31"/>
          <w:szCs w:val="31"/>
          <w:highlight w:val="none"/>
        </w:rPr>
        <w:t>使用</w:t>
      </w:r>
      <w:r>
        <w:rPr>
          <w:rFonts w:hint="default" w:ascii="Times New Roman" w:hAnsi="Times New Roman" w:eastAsia="Times New Roman" w:cs="Times New Roman"/>
          <w:spacing w:val="9"/>
          <w:sz w:val="31"/>
          <w:szCs w:val="31"/>
          <w:highlight w:val="none"/>
        </w:rPr>
        <w:t>A4</w:t>
      </w:r>
      <w:r>
        <w:rPr>
          <w:rFonts w:hint="default" w:ascii="Times New Roman" w:hAnsi="Times New Roman" w:eastAsia="仿宋" w:cs="Times New Roman"/>
          <w:spacing w:val="9"/>
          <w:sz w:val="31"/>
          <w:szCs w:val="31"/>
          <w:highlight w:val="none"/>
        </w:rPr>
        <w:t>纸打印装</w:t>
      </w:r>
      <w:r>
        <w:rPr>
          <w:rFonts w:hint="default" w:ascii="Times New Roman" w:hAnsi="Times New Roman" w:eastAsia="仿宋" w:cs="Times New Roman"/>
          <w:spacing w:val="8"/>
          <w:sz w:val="31"/>
          <w:szCs w:val="31"/>
          <w:highlight w:val="none"/>
        </w:rPr>
        <w:t>订</w:t>
      </w:r>
      <w:r>
        <w:rPr>
          <w:rFonts w:hint="default" w:ascii="Times New Roman" w:hAnsi="Times New Roman" w:eastAsia="仿宋" w:cs="Times New Roman"/>
          <w:spacing w:val="18"/>
          <w:sz w:val="31"/>
          <w:szCs w:val="31"/>
          <w:highlight w:val="none"/>
        </w:rPr>
        <w:t>，</w:t>
      </w:r>
      <w:r>
        <w:rPr>
          <w:rFonts w:hint="default" w:ascii="Times New Roman" w:hAnsi="Times New Roman" w:eastAsia="仿宋" w:cs="Times New Roman"/>
          <w:spacing w:val="8"/>
          <w:sz w:val="31"/>
          <w:szCs w:val="31"/>
          <w:highlight w:val="none"/>
        </w:rPr>
        <w:t>封面加盖单位印章，书脊标注申报单位名</w:t>
      </w:r>
      <w:r>
        <w:rPr>
          <w:rFonts w:hint="default" w:ascii="Times New Roman" w:hAnsi="Times New Roman" w:eastAsia="仿宋" w:cs="Times New Roman"/>
          <w:sz w:val="31"/>
          <w:szCs w:val="31"/>
          <w:highlight w:val="none"/>
        </w:rPr>
        <w:t>称，</w:t>
      </w:r>
      <w:r>
        <w:rPr>
          <w:rFonts w:hint="default" w:ascii="Times New Roman" w:hAnsi="Times New Roman" w:eastAsia="仿宋" w:cs="Times New Roman"/>
          <w:spacing w:val="9"/>
          <w:sz w:val="31"/>
          <w:szCs w:val="31"/>
          <w:highlight w:val="none"/>
        </w:rPr>
        <w:t>不同部分之间可采用隔页纸分开。证明材料复</w:t>
      </w:r>
      <w:r>
        <w:rPr>
          <w:rFonts w:hint="default" w:ascii="Times New Roman" w:hAnsi="Times New Roman" w:eastAsia="仿宋" w:cs="Times New Roman"/>
          <w:spacing w:val="8"/>
          <w:sz w:val="31"/>
          <w:szCs w:val="31"/>
          <w:highlight w:val="none"/>
        </w:rPr>
        <w:t>印件清</w:t>
      </w:r>
      <w:r>
        <w:rPr>
          <w:rFonts w:hint="default" w:ascii="Times New Roman" w:hAnsi="Times New Roman" w:eastAsia="仿宋" w:cs="Times New Roman"/>
          <w:spacing w:val="9"/>
          <w:sz w:val="31"/>
          <w:szCs w:val="31"/>
          <w:highlight w:val="none"/>
        </w:rPr>
        <w:t>晰。</w:t>
      </w:r>
      <w:r>
        <w:rPr>
          <w:rFonts w:hint="eastAsia" w:ascii="Times New Roman" w:hAnsi="Times New Roman" w:eastAsia="仿宋" w:cs="Times New Roman"/>
          <w:spacing w:val="9"/>
          <w:sz w:val="31"/>
          <w:szCs w:val="31"/>
          <w:highlight w:val="none"/>
          <w:lang w:eastAsia="zh-CN"/>
        </w:rPr>
        <w:t>附件编码、顺序不允许随意修改。</w:t>
      </w:r>
    </w:p>
    <w:p w14:paraId="35325115">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56" w:firstLineChars="200"/>
        <w:jc w:val="left"/>
        <w:textAlignment w:val="baseline"/>
        <w:rPr>
          <w:rFonts w:hint="default" w:ascii="Times New Roman" w:hAnsi="Times New Roman" w:eastAsia="仿宋" w:cs="Times New Roman"/>
          <w:spacing w:val="9"/>
          <w:sz w:val="31"/>
          <w:szCs w:val="31"/>
          <w:highlight w:val="none"/>
          <w:lang w:val="en-US" w:eastAsia="zh-CN"/>
        </w:rPr>
      </w:pPr>
      <w:r>
        <w:rPr>
          <w:rFonts w:hint="eastAsia" w:ascii="Times New Roman" w:hAnsi="Times New Roman" w:eastAsia="仿宋" w:cs="Times New Roman"/>
          <w:spacing w:val="9"/>
          <w:sz w:val="31"/>
          <w:szCs w:val="31"/>
          <w:highlight w:val="none"/>
          <w:lang w:eastAsia="zh-CN"/>
        </w:rPr>
        <w:t>四、评价基准年为</w:t>
      </w:r>
      <w:r>
        <w:rPr>
          <w:rFonts w:hint="eastAsia" w:ascii="Times New Roman" w:hAnsi="Times New Roman" w:eastAsia="仿宋" w:cs="Times New Roman"/>
          <w:spacing w:val="9"/>
          <w:sz w:val="31"/>
          <w:szCs w:val="31"/>
          <w:highlight w:val="none"/>
          <w:lang w:val="en-US" w:eastAsia="zh-CN"/>
        </w:rPr>
        <w:t>2024年。近三年为2023、2024、2025年。</w:t>
      </w:r>
    </w:p>
    <w:p w14:paraId="694BA139">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56" w:firstLineChars="200"/>
        <w:jc w:val="left"/>
        <w:textAlignment w:val="baseline"/>
        <w:rPr>
          <w:rFonts w:hint="default" w:ascii="Times New Roman" w:hAnsi="Times New Roman" w:eastAsia="仿宋" w:cs="Times New Roman"/>
          <w:spacing w:val="9"/>
          <w:sz w:val="31"/>
          <w:szCs w:val="31"/>
          <w:highlight w:val="none"/>
          <w:lang w:val="en-US" w:eastAsia="zh-CN"/>
        </w:rPr>
      </w:pPr>
      <w:r>
        <w:rPr>
          <w:rFonts w:hint="eastAsia" w:ascii="Times New Roman" w:hAnsi="Times New Roman" w:eastAsia="仿宋" w:cs="Times New Roman"/>
          <w:spacing w:val="9"/>
          <w:sz w:val="31"/>
          <w:szCs w:val="31"/>
          <w:highlight w:val="none"/>
          <w:lang w:eastAsia="zh-CN"/>
        </w:rPr>
        <w:t>五、绿色工厂评价要求、指标计算方法、可再生能源电力消费核算清单、国家有关定额等参见石家庄市绿色工厂申报材料说明</w:t>
      </w:r>
      <w:r>
        <w:rPr>
          <w:rFonts w:hint="eastAsia" w:ascii="Times New Roman" w:hAnsi="Times New Roman" w:eastAsia="仿宋" w:cs="Times New Roman"/>
          <w:spacing w:val="9"/>
          <w:sz w:val="31"/>
          <w:szCs w:val="31"/>
          <w:highlight w:val="none"/>
          <w:lang w:val="en-US" w:eastAsia="zh-CN"/>
        </w:rPr>
        <w:t>。</w:t>
      </w:r>
    </w:p>
    <w:p w14:paraId="2E84D4F5">
      <w:pPr>
        <w:keepNext w:val="0"/>
        <w:keepLines w:val="0"/>
        <w:pageBreakBefore w:val="0"/>
        <w:widowControl w:val="0"/>
        <w:kinsoku/>
        <w:wordWrap/>
        <w:overflowPunct w:val="0"/>
        <w:topLinePunct w:val="0"/>
        <w:autoSpaceDE w:val="0"/>
        <w:autoSpaceDN w:val="0"/>
        <w:bidi w:val="0"/>
        <w:adjustRightInd w:val="0"/>
        <w:snapToGrid w:val="0"/>
        <w:spacing w:line="600" w:lineRule="exact"/>
        <w:ind w:left="0" w:right="0" w:firstLine="656" w:firstLineChars="200"/>
        <w:jc w:val="left"/>
        <w:textAlignment w:val="baseline"/>
        <w:rPr>
          <w:rFonts w:hint="default" w:ascii="Times New Roman" w:hAnsi="Times New Roman" w:eastAsia="仿宋" w:cs="Times New Roman"/>
          <w:spacing w:val="9"/>
          <w:sz w:val="31"/>
          <w:szCs w:val="31"/>
          <w:highlight w:val="none"/>
        </w:rPr>
      </w:pPr>
    </w:p>
    <w:p w14:paraId="6FA82636">
      <w:pPr>
        <w:keepNext w:val="0"/>
        <w:keepLines w:val="0"/>
        <w:pageBreakBefore w:val="0"/>
        <w:widowControl w:val="0"/>
        <w:topLinePunct w:val="0"/>
        <w:bidi w:val="0"/>
        <w:rPr>
          <w:rFonts w:hint="default" w:ascii="Times New Roman" w:hAnsi="Times New Roman" w:eastAsia="仿宋" w:cs="Times New Roman"/>
          <w:snapToGrid w:val="0"/>
          <w:color w:val="000000"/>
          <w:kern w:val="0"/>
          <w:sz w:val="36"/>
          <w:szCs w:val="36"/>
          <w:vertAlign w:val="baseline"/>
          <w:lang w:val="en-US" w:eastAsia="zh-CN" w:bidi="ar-SA"/>
        </w:rPr>
      </w:pPr>
      <w:r>
        <w:rPr>
          <w:rFonts w:hint="default" w:ascii="Times New Roman" w:hAnsi="Times New Roman" w:eastAsia="仿宋" w:cs="Times New Roman"/>
          <w:snapToGrid w:val="0"/>
          <w:color w:val="000000"/>
          <w:kern w:val="0"/>
          <w:sz w:val="36"/>
          <w:szCs w:val="36"/>
          <w:vertAlign w:val="baseline"/>
          <w:lang w:val="en-US" w:eastAsia="zh-CN" w:bidi="ar-SA"/>
        </w:rPr>
        <w:br w:type="page"/>
      </w:r>
    </w:p>
    <w:p w14:paraId="14D98420">
      <w:pPr>
        <w:keepNext w:val="0"/>
        <w:keepLines w:val="0"/>
        <w:pageBreakBefore w:val="0"/>
        <w:widowControl w:val="0"/>
        <w:topLinePunct w:val="0"/>
        <w:bidi w:val="0"/>
        <w:jc w:val="center"/>
        <w:rPr>
          <w:rFonts w:hint="default" w:ascii="Times New Roman" w:hAnsi="Times New Roman" w:eastAsia="黑体" w:cs="Times New Roman"/>
          <w:snapToGrid w:val="0"/>
          <w:color w:val="000000"/>
          <w:kern w:val="0"/>
          <w:sz w:val="32"/>
          <w:szCs w:val="32"/>
          <w:vertAlign w:val="baseline"/>
          <w:lang w:val="en-US" w:eastAsia="zh-CN" w:bidi="ar-SA"/>
        </w:rPr>
      </w:pPr>
      <w:r>
        <w:rPr>
          <w:rFonts w:hint="default" w:ascii="Times New Roman" w:hAnsi="Times New Roman" w:eastAsia="黑体" w:cs="Times New Roman"/>
          <w:snapToGrid w:val="0"/>
          <w:color w:val="000000"/>
          <w:kern w:val="0"/>
          <w:sz w:val="32"/>
          <w:szCs w:val="32"/>
          <w:vertAlign w:val="baseline"/>
          <w:lang w:val="en-US" w:eastAsia="zh-CN" w:bidi="ar-SA"/>
        </w:rPr>
        <w:t>一、企业基本信息表</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88"/>
        <w:gridCol w:w="2077"/>
        <w:gridCol w:w="1874"/>
        <w:gridCol w:w="2283"/>
      </w:tblGrid>
      <w:tr w14:paraId="2CA11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288" w:type="dxa"/>
            <w:vAlign w:val="center"/>
          </w:tcPr>
          <w:p w14:paraId="097E4E5C">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工厂名称</w:t>
            </w:r>
          </w:p>
        </w:tc>
        <w:tc>
          <w:tcPr>
            <w:tcW w:w="6234" w:type="dxa"/>
            <w:gridSpan w:val="3"/>
            <w:vAlign w:val="center"/>
          </w:tcPr>
          <w:p w14:paraId="65675965">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0E7D7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288" w:type="dxa"/>
            <w:vAlign w:val="center"/>
          </w:tcPr>
          <w:p w14:paraId="54348F8B">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通讯地址</w:t>
            </w:r>
          </w:p>
        </w:tc>
        <w:tc>
          <w:tcPr>
            <w:tcW w:w="6234" w:type="dxa"/>
            <w:gridSpan w:val="3"/>
            <w:vAlign w:val="center"/>
          </w:tcPr>
          <w:p w14:paraId="6AB63677">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3C499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288" w:type="dxa"/>
            <w:vAlign w:val="center"/>
          </w:tcPr>
          <w:p w14:paraId="5C69A21B">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所属行业</w:t>
            </w:r>
          </w:p>
        </w:tc>
        <w:tc>
          <w:tcPr>
            <w:tcW w:w="6234" w:type="dxa"/>
            <w:gridSpan w:val="3"/>
            <w:vAlign w:val="center"/>
          </w:tcPr>
          <w:p w14:paraId="6F3D587E">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6B23F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288" w:type="dxa"/>
            <w:vAlign w:val="center"/>
          </w:tcPr>
          <w:p w14:paraId="15D9A0B7">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行业代码</w:t>
            </w:r>
          </w:p>
          <w:p w14:paraId="2B6AF690">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按照企业主导产业类型填写统计局四位代码</w:t>
            </w:r>
            <w:r>
              <w:rPr>
                <w:rFonts w:hint="eastAsia" w:ascii="Times New Roman" w:hAnsi="Times New Roman" w:eastAsia="仿宋" w:cs="Times New Roman"/>
                <w:snapToGrid w:val="0"/>
                <w:color w:val="000000"/>
                <w:kern w:val="0"/>
                <w:sz w:val="24"/>
                <w:szCs w:val="24"/>
                <w:vertAlign w:val="baseline"/>
                <w:lang w:val="en-US" w:eastAsia="zh-CN" w:bidi="ar-SA"/>
              </w:rPr>
              <w:t>（</w:t>
            </w:r>
            <w:r>
              <w:rPr>
                <w:rFonts w:hint="default" w:ascii="Times New Roman" w:hAnsi="Times New Roman" w:eastAsia="仿宋" w:cs="Times New Roman"/>
                <w:snapToGrid w:val="0"/>
                <w:color w:val="000000"/>
                <w:kern w:val="0"/>
                <w:sz w:val="24"/>
                <w:szCs w:val="24"/>
                <w:vertAlign w:val="baseline"/>
                <w:lang w:val="en-US" w:eastAsia="zh-CN" w:bidi="ar-SA"/>
              </w:rPr>
              <w:t>只填写1个代码</w:t>
            </w:r>
            <w:r>
              <w:rPr>
                <w:rFonts w:hint="eastAsia" w:ascii="Times New Roman" w:hAnsi="Times New Roman" w:eastAsia="仿宋" w:cs="Times New Roman"/>
                <w:snapToGrid w:val="0"/>
                <w:color w:val="000000"/>
                <w:kern w:val="0"/>
                <w:sz w:val="24"/>
                <w:szCs w:val="24"/>
                <w:vertAlign w:val="baseline"/>
                <w:lang w:val="en-US" w:eastAsia="zh-CN" w:bidi="ar-SA"/>
              </w:rPr>
              <w:t>）</w:t>
            </w:r>
          </w:p>
        </w:tc>
        <w:tc>
          <w:tcPr>
            <w:tcW w:w="6234" w:type="dxa"/>
            <w:gridSpan w:val="3"/>
            <w:vAlign w:val="center"/>
          </w:tcPr>
          <w:p w14:paraId="3987F3A1">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3584F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288" w:type="dxa"/>
            <w:vAlign w:val="center"/>
          </w:tcPr>
          <w:p w14:paraId="3F2A539C">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单位性质</w:t>
            </w:r>
          </w:p>
        </w:tc>
        <w:tc>
          <w:tcPr>
            <w:tcW w:w="6234" w:type="dxa"/>
            <w:gridSpan w:val="3"/>
            <w:vAlign w:val="center"/>
          </w:tcPr>
          <w:p w14:paraId="3F9E64CF">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国有央企</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国有其</w:t>
            </w:r>
            <w:r>
              <w:rPr>
                <w:rFonts w:hint="eastAsia" w:ascii="Times New Roman" w:hAnsi="Times New Roman" w:eastAsia="仿宋" w:cs="Times New Roman"/>
                <w:snapToGrid w:val="0"/>
                <w:color w:val="000000"/>
                <w:kern w:val="0"/>
                <w:sz w:val="24"/>
                <w:szCs w:val="24"/>
                <w:vertAlign w:val="baseline"/>
                <w:lang w:val="en-US" w:eastAsia="zh-CN" w:bidi="ar-SA"/>
              </w:rPr>
              <w:t>他</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合资企业</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民营企业</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外资企业</w:t>
            </w:r>
          </w:p>
        </w:tc>
      </w:tr>
      <w:tr w14:paraId="63719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2288" w:type="dxa"/>
            <w:vMerge w:val="restart"/>
            <w:vAlign w:val="center"/>
          </w:tcPr>
          <w:p w14:paraId="1EF62CC6">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经营情况</w:t>
            </w:r>
          </w:p>
        </w:tc>
        <w:tc>
          <w:tcPr>
            <w:tcW w:w="2077" w:type="dxa"/>
            <w:vAlign w:val="center"/>
          </w:tcPr>
          <w:p w14:paraId="696F162D">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eastAsia"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年度</w:t>
            </w:r>
          </w:p>
        </w:tc>
        <w:tc>
          <w:tcPr>
            <w:tcW w:w="4157" w:type="dxa"/>
            <w:gridSpan w:val="2"/>
            <w:vAlign w:val="center"/>
          </w:tcPr>
          <w:p w14:paraId="37F74250">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eastAsia"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主营业务收入（万元）</w:t>
            </w:r>
          </w:p>
        </w:tc>
      </w:tr>
      <w:tr w14:paraId="4BD99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2288" w:type="dxa"/>
            <w:vMerge w:val="continue"/>
            <w:vAlign w:val="center"/>
          </w:tcPr>
          <w:p w14:paraId="4E52BB09">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p>
        </w:tc>
        <w:tc>
          <w:tcPr>
            <w:tcW w:w="2077" w:type="dxa"/>
            <w:vAlign w:val="center"/>
          </w:tcPr>
          <w:p w14:paraId="4E87E5CD">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2023年</w:t>
            </w:r>
          </w:p>
        </w:tc>
        <w:tc>
          <w:tcPr>
            <w:tcW w:w="4157" w:type="dxa"/>
            <w:gridSpan w:val="2"/>
            <w:vAlign w:val="center"/>
          </w:tcPr>
          <w:p w14:paraId="197E2FD1">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eastAsia" w:ascii="Times New Roman" w:hAnsi="Times New Roman" w:eastAsia="仿宋" w:cs="Times New Roman"/>
                <w:snapToGrid w:val="0"/>
                <w:color w:val="auto"/>
                <w:kern w:val="0"/>
                <w:sz w:val="24"/>
                <w:szCs w:val="24"/>
                <w:highlight w:val="none"/>
                <w:vertAlign w:val="baseline"/>
                <w:lang w:val="en-US" w:eastAsia="zh-CN" w:bidi="ar-SA"/>
              </w:rPr>
            </w:pPr>
          </w:p>
        </w:tc>
      </w:tr>
      <w:tr w14:paraId="59A76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2288" w:type="dxa"/>
            <w:vMerge w:val="continue"/>
            <w:vAlign w:val="center"/>
          </w:tcPr>
          <w:p w14:paraId="5764DBEB">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color w:val="auto"/>
                <w:highlight w:val="none"/>
              </w:rPr>
            </w:pPr>
          </w:p>
        </w:tc>
        <w:tc>
          <w:tcPr>
            <w:tcW w:w="2077" w:type="dxa"/>
            <w:vAlign w:val="center"/>
          </w:tcPr>
          <w:p w14:paraId="5BF0273A">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eastAsia="宋体"/>
                <w:color w:val="auto"/>
                <w:highlight w:val="none"/>
                <w:lang w:val="en-US" w:eastAsia="zh-CN"/>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2024</w:t>
            </w:r>
            <w:r>
              <w:rPr>
                <w:rFonts w:hint="eastAsia" w:eastAsia="宋体"/>
                <w:color w:val="auto"/>
                <w:highlight w:val="none"/>
                <w:lang w:val="en-US" w:eastAsia="zh-CN"/>
              </w:rPr>
              <w:t>年</w:t>
            </w:r>
          </w:p>
        </w:tc>
        <w:tc>
          <w:tcPr>
            <w:tcW w:w="4157" w:type="dxa"/>
            <w:gridSpan w:val="2"/>
            <w:vAlign w:val="top"/>
          </w:tcPr>
          <w:p w14:paraId="75CAC7A7">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left"/>
              <w:textAlignment w:val="baseline"/>
              <w:rPr>
                <w:rFonts w:hint="eastAsia" w:ascii="Times New Roman" w:hAnsi="Times New Roman" w:eastAsia="仿宋" w:cs="Times New Roman"/>
                <w:snapToGrid w:val="0"/>
                <w:color w:val="auto"/>
                <w:kern w:val="0"/>
                <w:sz w:val="24"/>
                <w:szCs w:val="24"/>
                <w:highlight w:val="none"/>
                <w:vertAlign w:val="baseline"/>
                <w:lang w:val="en-US" w:eastAsia="zh-CN" w:bidi="ar-SA"/>
              </w:rPr>
            </w:pPr>
          </w:p>
        </w:tc>
      </w:tr>
      <w:tr w14:paraId="585C7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2288" w:type="dxa"/>
            <w:vMerge w:val="continue"/>
            <w:vAlign w:val="center"/>
          </w:tcPr>
          <w:p w14:paraId="4A3DAF83">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eastAsia" w:ascii="Times New Roman" w:hAnsi="Times New Roman" w:eastAsia="仿宋" w:cs="Times New Roman"/>
                <w:snapToGrid w:val="0"/>
                <w:color w:val="auto"/>
                <w:kern w:val="0"/>
                <w:sz w:val="24"/>
                <w:szCs w:val="24"/>
                <w:highlight w:val="none"/>
                <w:vertAlign w:val="baseline"/>
                <w:lang w:val="en-US" w:eastAsia="zh-CN" w:bidi="ar-SA"/>
              </w:rPr>
            </w:pPr>
          </w:p>
        </w:tc>
        <w:tc>
          <w:tcPr>
            <w:tcW w:w="2077" w:type="dxa"/>
            <w:vAlign w:val="center"/>
          </w:tcPr>
          <w:p w14:paraId="3EE4917E">
            <w:pPr>
              <w:keepNext w:val="0"/>
              <w:keepLines w:val="0"/>
              <w:pageBreakBefore w:val="0"/>
              <w:widowControl w:val="0"/>
              <w:kinsoku w:val="0"/>
              <w:wordWrap/>
              <w:overflowPunct/>
              <w:topLinePunct w:val="0"/>
              <w:autoSpaceDE w:val="0"/>
              <w:autoSpaceDN w:val="0"/>
              <w:bidi w:val="0"/>
              <w:adjustRightInd w:val="0"/>
              <w:snapToGrid w:val="0"/>
              <w:spacing w:line="340" w:lineRule="exact"/>
              <w:ind w:left="0" w:leftChars="0" w:firstLine="0"/>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2025年（预估）</w:t>
            </w:r>
          </w:p>
        </w:tc>
        <w:tc>
          <w:tcPr>
            <w:tcW w:w="4157" w:type="dxa"/>
            <w:gridSpan w:val="2"/>
            <w:vAlign w:val="center"/>
          </w:tcPr>
          <w:p w14:paraId="20CFFF31">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eastAsia" w:ascii="Times New Roman" w:hAnsi="Times New Roman" w:eastAsia="仿宋" w:cs="Times New Roman"/>
                <w:snapToGrid w:val="0"/>
                <w:color w:val="auto"/>
                <w:kern w:val="0"/>
                <w:sz w:val="24"/>
                <w:szCs w:val="24"/>
                <w:highlight w:val="none"/>
                <w:vertAlign w:val="baseline"/>
                <w:lang w:val="en-US" w:eastAsia="zh-CN" w:bidi="ar-SA"/>
              </w:rPr>
            </w:pPr>
          </w:p>
        </w:tc>
      </w:tr>
      <w:tr w14:paraId="5AF48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trPr>
        <w:tc>
          <w:tcPr>
            <w:tcW w:w="2288" w:type="dxa"/>
            <w:vAlign w:val="center"/>
          </w:tcPr>
          <w:p w14:paraId="6C4EF963">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申报工作联系部门</w:t>
            </w:r>
          </w:p>
        </w:tc>
        <w:tc>
          <w:tcPr>
            <w:tcW w:w="2077" w:type="dxa"/>
            <w:vAlign w:val="center"/>
          </w:tcPr>
          <w:p w14:paraId="355AE8EF">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874" w:type="dxa"/>
            <w:vAlign w:val="center"/>
          </w:tcPr>
          <w:p w14:paraId="72AD093E">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联系人</w:t>
            </w:r>
          </w:p>
        </w:tc>
        <w:tc>
          <w:tcPr>
            <w:tcW w:w="2283" w:type="dxa"/>
            <w:vAlign w:val="center"/>
          </w:tcPr>
          <w:p w14:paraId="7A5BB71E">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3463D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288" w:type="dxa"/>
            <w:vAlign w:val="center"/>
          </w:tcPr>
          <w:p w14:paraId="3EC842B8">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联系电话</w:t>
            </w:r>
          </w:p>
        </w:tc>
        <w:tc>
          <w:tcPr>
            <w:tcW w:w="2077" w:type="dxa"/>
            <w:vAlign w:val="center"/>
          </w:tcPr>
          <w:p w14:paraId="43DF014D">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874" w:type="dxa"/>
            <w:vAlign w:val="center"/>
          </w:tcPr>
          <w:p w14:paraId="4FFB5A4E">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电子邮箱</w:t>
            </w:r>
          </w:p>
        </w:tc>
        <w:tc>
          <w:tcPr>
            <w:tcW w:w="2283" w:type="dxa"/>
            <w:vAlign w:val="center"/>
          </w:tcPr>
          <w:p w14:paraId="783876F6">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2D29D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0" w:hRule="atLeast"/>
        </w:trPr>
        <w:tc>
          <w:tcPr>
            <w:tcW w:w="2288" w:type="dxa"/>
            <w:vAlign w:val="center"/>
          </w:tcPr>
          <w:p w14:paraId="6AF9EE6A">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企业工艺情况简介</w:t>
            </w:r>
            <w:r>
              <w:rPr>
                <w:rFonts w:hint="eastAsia" w:ascii="Times New Roman" w:hAnsi="Times New Roman" w:eastAsia="仿宋" w:cs="Times New Roman"/>
                <w:snapToGrid w:val="0"/>
                <w:color w:val="000000"/>
                <w:kern w:val="0"/>
                <w:sz w:val="24"/>
                <w:szCs w:val="24"/>
                <w:vertAlign w:val="baseline"/>
                <w:lang w:val="en-US" w:eastAsia="zh-CN" w:bidi="ar-SA"/>
              </w:rPr>
              <w:t>（</w:t>
            </w:r>
            <w:r>
              <w:rPr>
                <w:rFonts w:hint="default" w:ascii="Times New Roman" w:hAnsi="Times New Roman" w:eastAsia="仿宋" w:cs="Times New Roman"/>
                <w:snapToGrid w:val="0"/>
                <w:color w:val="000000"/>
                <w:kern w:val="0"/>
                <w:sz w:val="24"/>
                <w:szCs w:val="24"/>
                <w:vertAlign w:val="baseline"/>
                <w:lang w:val="en-US" w:eastAsia="zh-CN" w:bidi="ar-SA"/>
              </w:rPr>
              <w:t>200字</w:t>
            </w:r>
            <w:r>
              <w:rPr>
                <w:rFonts w:hint="eastAsia" w:ascii="Times New Roman" w:hAnsi="Times New Roman" w:eastAsia="仿宋" w:cs="Times New Roman"/>
                <w:snapToGrid w:val="0"/>
                <w:color w:val="000000"/>
                <w:kern w:val="0"/>
                <w:sz w:val="24"/>
                <w:szCs w:val="24"/>
                <w:vertAlign w:val="baseline"/>
                <w:lang w:val="en-US" w:eastAsia="zh-CN" w:bidi="ar-SA"/>
              </w:rPr>
              <w:t>）</w:t>
            </w:r>
          </w:p>
        </w:tc>
        <w:tc>
          <w:tcPr>
            <w:tcW w:w="6234" w:type="dxa"/>
            <w:gridSpan w:val="3"/>
            <w:vAlign w:val="center"/>
          </w:tcPr>
          <w:p w14:paraId="2FFE4AC6">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145DC167">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3901AAF3">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2FD463F2">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09194A3D">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07CA39E2">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30C2C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288" w:type="dxa"/>
            <w:vAlign w:val="center"/>
          </w:tcPr>
          <w:p w14:paraId="2B54424B">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企业绿色发展情况简要介绍</w:t>
            </w:r>
            <w:r>
              <w:rPr>
                <w:rFonts w:hint="eastAsia" w:ascii="Times New Roman" w:hAnsi="Times New Roman" w:eastAsia="仿宋" w:cs="Times New Roman"/>
                <w:snapToGrid w:val="0"/>
                <w:color w:val="000000"/>
                <w:kern w:val="0"/>
                <w:sz w:val="24"/>
                <w:szCs w:val="24"/>
                <w:vertAlign w:val="baseline"/>
                <w:lang w:val="en-US" w:eastAsia="zh-CN" w:bidi="ar-SA"/>
              </w:rPr>
              <w:t>（</w:t>
            </w:r>
            <w:r>
              <w:rPr>
                <w:rFonts w:hint="default" w:ascii="Times New Roman" w:hAnsi="Times New Roman" w:eastAsia="仿宋" w:cs="Times New Roman"/>
                <w:snapToGrid w:val="0"/>
                <w:color w:val="000000"/>
                <w:kern w:val="0"/>
                <w:sz w:val="24"/>
                <w:szCs w:val="24"/>
                <w:vertAlign w:val="baseline"/>
                <w:lang w:val="en-US" w:eastAsia="zh-CN" w:bidi="ar-SA"/>
              </w:rPr>
              <w:t>500字</w:t>
            </w:r>
            <w:r>
              <w:rPr>
                <w:rFonts w:hint="eastAsia" w:ascii="Times New Roman" w:hAnsi="Times New Roman" w:eastAsia="仿宋" w:cs="Times New Roman"/>
                <w:snapToGrid w:val="0"/>
                <w:color w:val="000000"/>
                <w:kern w:val="0"/>
                <w:sz w:val="24"/>
                <w:szCs w:val="24"/>
                <w:vertAlign w:val="baseline"/>
                <w:lang w:val="en-US" w:eastAsia="zh-CN" w:bidi="ar-SA"/>
              </w:rPr>
              <w:t>）</w:t>
            </w:r>
          </w:p>
        </w:tc>
        <w:tc>
          <w:tcPr>
            <w:tcW w:w="6234" w:type="dxa"/>
            <w:gridSpan w:val="3"/>
            <w:vAlign w:val="center"/>
          </w:tcPr>
          <w:p w14:paraId="5AE4C244">
            <w:pPr>
              <w:keepNext w:val="0"/>
              <w:keepLines w:val="0"/>
              <w:pageBreakBefore w:val="0"/>
              <w:widowControl w:val="0"/>
              <w:kinsoku w:val="0"/>
              <w:wordWrap/>
              <w:overflowPunct/>
              <w:topLinePunct w:val="0"/>
              <w:autoSpaceDE w:val="0"/>
              <w:autoSpaceDN w:val="0"/>
              <w:bidi w:val="0"/>
              <w:adjustRightInd w:val="0"/>
              <w:snapToGrid w:val="0"/>
              <w:spacing w:line="400" w:lineRule="exact"/>
              <w:ind w:left="0" w:leftChars="0" w:firstLine="0"/>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5B885B84">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7F304640">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19041413">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78F4EC02">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5EC5A053">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7FD0176F">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72A9346A">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2206AC75">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5BF23DFB">
            <w:pPr>
              <w:pStyle w:val="23"/>
              <w:keepNext w:val="0"/>
              <w:keepLines w:val="0"/>
              <w:pageBreakBefore w:val="0"/>
              <w:widowControl w:val="0"/>
              <w:kinsoku w:val="0"/>
              <w:wordWrap/>
              <w:overflowPunct/>
              <w:topLinePunct w:val="0"/>
              <w:autoSpaceDE w:val="0"/>
              <w:autoSpaceDN w:val="0"/>
              <w:bidi w:val="0"/>
              <w:adjustRightInd w:val="0"/>
              <w:snapToGrid w:val="0"/>
              <w:spacing w:after="0" w:line="400" w:lineRule="exact"/>
              <w:ind w:left="0" w:leftChars="0" w:firstLine="0"/>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bl>
    <w:p w14:paraId="1C25AFA8">
      <w:pPr>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br w:type="page"/>
      </w:r>
    </w:p>
    <w:p w14:paraId="0F9B653A">
      <w:pPr>
        <w:keepNext w:val="0"/>
        <w:keepLines w:val="0"/>
        <w:pageBreakBefore w:val="0"/>
        <w:widowControl w:val="0"/>
        <w:topLinePunct w:val="0"/>
        <w:bidi w:val="0"/>
        <w:jc w:val="center"/>
        <w:rPr>
          <w:rFonts w:hint="default" w:ascii="Times New Roman" w:hAnsi="Times New Roman" w:eastAsia="黑体" w:cs="Times New Roman"/>
          <w:snapToGrid w:val="0"/>
          <w:color w:val="000000"/>
          <w:kern w:val="0"/>
          <w:sz w:val="32"/>
          <w:szCs w:val="32"/>
          <w:vertAlign w:val="baseline"/>
          <w:lang w:val="en-US" w:eastAsia="zh-CN" w:bidi="ar-SA"/>
        </w:rPr>
      </w:pPr>
      <w:r>
        <w:rPr>
          <w:rFonts w:hint="default" w:ascii="Times New Roman" w:hAnsi="Times New Roman" w:eastAsia="黑体" w:cs="Times New Roman"/>
          <w:snapToGrid w:val="0"/>
          <w:color w:val="000000"/>
          <w:kern w:val="0"/>
          <w:sz w:val="32"/>
          <w:szCs w:val="32"/>
          <w:vertAlign w:val="baseline"/>
          <w:lang w:val="en-US" w:eastAsia="zh-CN" w:bidi="ar-SA"/>
        </w:rPr>
        <w:t>二、基本要求</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4"/>
        <w:gridCol w:w="5076"/>
        <w:gridCol w:w="2612"/>
      </w:tblGrid>
      <w:tr w14:paraId="453FB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34" w:type="dxa"/>
            <w:vAlign w:val="center"/>
          </w:tcPr>
          <w:p w14:paraId="4ECAD43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序号</w:t>
            </w:r>
          </w:p>
        </w:tc>
        <w:tc>
          <w:tcPr>
            <w:tcW w:w="5076" w:type="dxa"/>
            <w:vAlign w:val="center"/>
          </w:tcPr>
          <w:p w14:paraId="5FBE151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基本要求</w:t>
            </w:r>
          </w:p>
        </w:tc>
        <w:tc>
          <w:tcPr>
            <w:tcW w:w="2612" w:type="dxa"/>
            <w:vAlign w:val="center"/>
          </w:tcPr>
          <w:p w14:paraId="4778C49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是否符合要求</w:t>
            </w:r>
          </w:p>
        </w:tc>
      </w:tr>
      <w:tr w14:paraId="3D7CF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5" w:hRule="atLeast"/>
        </w:trPr>
        <w:tc>
          <w:tcPr>
            <w:tcW w:w="834" w:type="dxa"/>
            <w:vAlign w:val="center"/>
          </w:tcPr>
          <w:p w14:paraId="48D0C5B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w:t>
            </w:r>
          </w:p>
        </w:tc>
        <w:tc>
          <w:tcPr>
            <w:tcW w:w="5076" w:type="dxa"/>
            <w:vAlign w:val="center"/>
          </w:tcPr>
          <w:p w14:paraId="6DFFD1BD">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工厂应依法设立，近三年无下列情况：</w:t>
            </w:r>
          </w:p>
          <w:p w14:paraId="533DEA7A">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未正常经营生产（工商注销、连续停产12个月以上、被市场监督管理部门列入经营异常名单且未被移出等）；</w:t>
            </w:r>
          </w:p>
          <w:p w14:paraId="3271ACE3">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发生安全（含网络安全、数据安全）、质量、环境污染等事故以及偷漏税等违法违规行为；</w:t>
            </w:r>
          </w:p>
          <w:p w14:paraId="497C8E5F">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被动态调整出绿色制造名单；</w:t>
            </w:r>
          </w:p>
          <w:p w14:paraId="2571D297">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在</w:t>
            </w:r>
            <w:r>
              <w:rPr>
                <w:rFonts w:hint="eastAsia" w:ascii="Times New Roman" w:hAnsi="Times New Roman" w:eastAsia="仿宋" w:cs="Times New Roman"/>
                <w:snapToGrid w:val="0"/>
                <w:color w:val="000000"/>
                <w:kern w:val="0"/>
                <w:sz w:val="24"/>
                <w:szCs w:val="24"/>
                <w:vertAlign w:val="baseline"/>
                <w:lang w:val="en-US" w:eastAsia="zh-CN" w:bidi="ar-SA"/>
              </w:rPr>
              <w:t>国家、省</w:t>
            </w:r>
            <w:r>
              <w:rPr>
                <w:rFonts w:hint="default" w:ascii="Times New Roman" w:hAnsi="Times New Roman" w:eastAsia="仿宋" w:cs="Times New Roman"/>
                <w:snapToGrid w:val="0"/>
                <w:color w:val="000000"/>
                <w:kern w:val="0"/>
                <w:sz w:val="24"/>
                <w:szCs w:val="24"/>
                <w:vertAlign w:val="baseline"/>
                <w:lang w:val="en-US" w:eastAsia="zh-CN" w:bidi="ar-SA"/>
              </w:rPr>
              <w:t>相关督查工作中被发现存在严重问题；</w:t>
            </w:r>
          </w:p>
          <w:p w14:paraId="1A953609">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被列入工业节能监察整改名单且未按要求完成整改；</w:t>
            </w:r>
          </w:p>
          <w:p w14:paraId="10CC89DF">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企业被列为失信被执行人。</w:t>
            </w:r>
          </w:p>
        </w:tc>
        <w:tc>
          <w:tcPr>
            <w:tcW w:w="2612" w:type="dxa"/>
            <w:vAlign w:val="center"/>
          </w:tcPr>
          <w:p w14:paraId="67F0BD2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是</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否</w:t>
            </w:r>
          </w:p>
        </w:tc>
      </w:tr>
      <w:tr w14:paraId="2E62E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trPr>
        <w:tc>
          <w:tcPr>
            <w:tcW w:w="834" w:type="dxa"/>
            <w:vAlign w:val="center"/>
          </w:tcPr>
          <w:p w14:paraId="36FB0D0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2</w:t>
            </w:r>
          </w:p>
        </w:tc>
        <w:tc>
          <w:tcPr>
            <w:tcW w:w="5076" w:type="dxa"/>
            <w:vAlign w:val="center"/>
          </w:tcPr>
          <w:p w14:paraId="38980C98">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工厂应明确绿色制造相关管理层职责，制定绿色低碳发展中长期规划及年度量化目标。</w:t>
            </w:r>
          </w:p>
        </w:tc>
        <w:tc>
          <w:tcPr>
            <w:tcW w:w="2612" w:type="dxa"/>
            <w:vAlign w:val="center"/>
          </w:tcPr>
          <w:p w14:paraId="4EE4CBB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是</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否</w:t>
            </w:r>
          </w:p>
        </w:tc>
      </w:tr>
      <w:tr w14:paraId="22C7A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1" w:hRule="atLeast"/>
        </w:trPr>
        <w:tc>
          <w:tcPr>
            <w:tcW w:w="834" w:type="dxa"/>
            <w:vAlign w:val="center"/>
          </w:tcPr>
          <w:p w14:paraId="73541B3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3</w:t>
            </w:r>
          </w:p>
        </w:tc>
        <w:tc>
          <w:tcPr>
            <w:tcW w:w="5076" w:type="dxa"/>
            <w:vAlign w:val="center"/>
          </w:tcPr>
          <w:p w14:paraId="6B01BABA">
            <w:pPr>
              <w:keepNext w:val="0"/>
              <w:keepLines w:val="0"/>
              <w:pageBreakBefore w:val="0"/>
              <w:widowControl w:val="0"/>
              <w:kinsoku w:val="0"/>
              <w:wordWrap/>
              <w:overflowPunct/>
              <w:topLinePunct w:val="0"/>
              <w:autoSpaceDE w:val="0"/>
              <w:autoSpaceDN w:val="0"/>
              <w:bidi w:val="0"/>
              <w:adjustRightInd w:val="0"/>
              <w:snapToGrid w:val="0"/>
              <w:spacing w:line="400" w:lineRule="exact"/>
              <w:jc w:val="left"/>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工厂按照GB/T19001、GB/T23331、GB/T24001、GB/T45001或相关行业适用的其他标准建立、实施、保持并持续改进质量、环境、能源和职业健康安全管理体系。</w:t>
            </w:r>
          </w:p>
        </w:tc>
        <w:tc>
          <w:tcPr>
            <w:tcW w:w="2612" w:type="dxa"/>
            <w:vAlign w:val="center"/>
          </w:tcPr>
          <w:p w14:paraId="19763D1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是</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否</w:t>
            </w:r>
          </w:p>
        </w:tc>
      </w:tr>
    </w:tbl>
    <w:p w14:paraId="2FFF7973">
      <w:pPr>
        <w:keepNext w:val="0"/>
        <w:keepLines w:val="0"/>
        <w:pageBreakBefore w:val="0"/>
        <w:widowControl w:val="0"/>
        <w:topLinePunct w:val="0"/>
        <w:bidi w:val="0"/>
        <w:jc w:val="center"/>
        <w:rPr>
          <w:rFonts w:hint="default" w:ascii="Times New Roman" w:hAnsi="Times New Roman" w:eastAsia="仿宋" w:cs="Times New Roman"/>
          <w:snapToGrid w:val="0"/>
          <w:color w:val="000000"/>
          <w:kern w:val="0"/>
          <w:sz w:val="24"/>
          <w:szCs w:val="24"/>
          <w:vertAlign w:val="baseline"/>
          <w:lang w:val="en-US" w:eastAsia="zh-CN" w:bidi="ar-SA"/>
        </w:rPr>
        <w:sectPr>
          <w:footerReference r:id="rId5" w:type="default"/>
          <w:pgSz w:w="11906" w:h="16838"/>
          <w:pgMar w:top="1304" w:right="1474" w:bottom="1304"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2E65781D">
      <w:pPr>
        <w:keepNext w:val="0"/>
        <w:keepLines w:val="0"/>
        <w:pageBreakBefore w:val="0"/>
        <w:widowControl w:val="0"/>
        <w:topLinePunct w:val="0"/>
        <w:bidi w:val="0"/>
        <w:jc w:val="center"/>
        <w:rPr>
          <w:rFonts w:hint="default" w:ascii="Times New Roman" w:hAnsi="Times New Roman" w:eastAsia="黑体" w:cs="Times New Roman"/>
          <w:snapToGrid w:val="0"/>
          <w:color w:val="000000"/>
          <w:kern w:val="0"/>
          <w:sz w:val="32"/>
          <w:szCs w:val="32"/>
          <w:vertAlign w:val="baseline"/>
          <w:lang w:val="en-US" w:eastAsia="zh-CN" w:bidi="ar-SA"/>
        </w:rPr>
      </w:pPr>
      <w:r>
        <w:rPr>
          <w:rFonts w:hint="default" w:ascii="Times New Roman" w:hAnsi="Times New Roman" w:eastAsia="黑体" w:cs="Times New Roman"/>
          <w:snapToGrid w:val="0"/>
          <w:color w:val="000000"/>
          <w:kern w:val="0"/>
          <w:sz w:val="32"/>
          <w:szCs w:val="32"/>
          <w:vertAlign w:val="baseline"/>
          <w:lang w:val="en-US" w:eastAsia="zh-CN" w:bidi="ar-SA"/>
        </w:rPr>
        <w:t>三、评价指标表</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6"/>
        <w:gridCol w:w="840"/>
        <w:gridCol w:w="1755"/>
        <w:gridCol w:w="3800"/>
        <w:gridCol w:w="1315"/>
        <w:gridCol w:w="1575"/>
        <w:gridCol w:w="2061"/>
        <w:gridCol w:w="2062"/>
      </w:tblGrid>
      <w:tr w14:paraId="1F8C1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766" w:type="dxa"/>
            <w:vAlign w:val="center"/>
          </w:tcPr>
          <w:p w14:paraId="7B4539B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一级指标</w:t>
            </w:r>
          </w:p>
        </w:tc>
        <w:tc>
          <w:tcPr>
            <w:tcW w:w="840" w:type="dxa"/>
            <w:vAlign w:val="center"/>
          </w:tcPr>
          <w:p w14:paraId="708891F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序号</w:t>
            </w:r>
          </w:p>
        </w:tc>
        <w:tc>
          <w:tcPr>
            <w:tcW w:w="1755" w:type="dxa"/>
            <w:vAlign w:val="center"/>
          </w:tcPr>
          <w:p w14:paraId="406843C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二级指标</w:t>
            </w:r>
          </w:p>
        </w:tc>
        <w:tc>
          <w:tcPr>
            <w:tcW w:w="3800" w:type="dxa"/>
            <w:vAlign w:val="center"/>
          </w:tcPr>
          <w:p w14:paraId="15EA6DA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三级指标</w:t>
            </w:r>
          </w:p>
        </w:tc>
        <w:tc>
          <w:tcPr>
            <w:tcW w:w="1315" w:type="dxa"/>
            <w:vAlign w:val="center"/>
          </w:tcPr>
          <w:p w14:paraId="2631A06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指标类型</w:t>
            </w:r>
          </w:p>
        </w:tc>
        <w:tc>
          <w:tcPr>
            <w:tcW w:w="1575" w:type="dxa"/>
            <w:vAlign w:val="center"/>
          </w:tcPr>
          <w:p w14:paraId="6E6B264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单位</w:t>
            </w:r>
          </w:p>
        </w:tc>
        <w:tc>
          <w:tcPr>
            <w:tcW w:w="4123" w:type="dxa"/>
            <w:gridSpan w:val="2"/>
            <w:vAlign w:val="center"/>
          </w:tcPr>
          <w:p w14:paraId="07652D9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vertAlign w:val="baseline"/>
                <w:lang w:val="en-US" w:eastAsia="zh-CN" w:bidi="ar-SA"/>
              </w:rPr>
            </w:pPr>
            <w:r>
              <w:rPr>
                <w:rFonts w:hint="default" w:ascii="Times New Roman" w:hAnsi="Times New Roman" w:eastAsia="仿宋" w:cs="Times New Roman"/>
                <w:b/>
                <w:bCs/>
                <w:snapToGrid w:val="0"/>
                <w:color w:val="000000"/>
                <w:kern w:val="0"/>
                <w:sz w:val="24"/>
                <w:szCs w:val="24"/>
                <w:vertAlign w:val="baseline"/>
                <w:lang w:val="en-US" w:eastAsia="zh-CN" w:bidi="ar-SA"/>
              </w:rPr>
              <w:t>2024年指标值</w:t>
            </w:r>
            <w:r>
              <w:rPr>
                <w:rFonts w:hint="eastAsia" w:ascii="Times New Roman" w:hAnsi="Times New Roman" w:eastAsia="仿宋" w:cs="Times New Roman"/>
                <w:b/>
                <w:bCs/>
                <w:snapToGrid w:val="0"/>
                <w:color w:val="000000"/>
                <w:kern w:val="0"/>
                <w:sz w:val="24"/>
                <w:szCs w:val="24"/>
                <w:vertAlign w:val="baseline"/>
                <w:lang w:val="en-US" w:eastAsia="zh-CN" w:bidi="ar-SA"/>
              </w:rPr>
              <w:t>（</w:t>
            </w:r>
            <w:r>
              <w:rPr>
                <w:rFonts w:hint="default" w:ascii="Times New Roman" w:hAnsi="Times New Roman" w:eastAsia="仿宋" w:cs="Times New Roman"/>
                <w:b/>
                <w:bCs/>
                <w:snapToGrid w:val="0"/>
                <w:color w:val="000000"/>
                <w:kern w:val="0"/>
                <w:sz w:val="24"/>
                <w:szCs w:val="24"/>
                <w:vertAlign w:val="baseline"/>
                <w:lang w:val="en-US" w:eastAsia="zh-CN" w:bidi="ar-SA"/>
              </w:rPr>
              <w:t>不适用指标</w:t>
            </w:r>
            <w:r>
              <w:rPr>
                <w:rFonts w:hint="eastAsia" w:ascii="Times New Roman" w:hAnsi="Times New Roman" w:eastAsia="仿宋" w:cs="Times New Roman"/>
                <w:b/>
                <w:bCs/>
                <w:snapToGrid w:val="0"/>
                <w:color w:val="000000"/>
                <w:kern w:val="0"/>
                <w:sz w:val="24"/>
                <w:szCs w:val="24"/>
                <w:vertAlign w:val="baseline"/>
                <w:lang w:val="en-US" w:eastAsia="zh-CN" w:bidi="ar-SA"/>
              </w:rPr>
              <w:t>填“/”）</w:t>
            </w:r>
          </w:p>
        </w:tc>
      </w:tr>
      <w:tr w14:paraId="778D1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66" w:type="dxa"/>
            <w:vMerge w:val="restart"/>
            <w:vAlign w:val="center"/>
          </w:tcPr>
          <w:p w14:paraId="4D85D76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能源低碳化</w:t>
            </w:r>
          </w:p>
        </w:tc>
        <w:tc>
          <w:tcPr>
            <w:tcW w:w="840" w:type="dxa"/>
            <w:vMerge w:val="restart"/>
            <w:vAlign w:val="center"/>
          </w:tcPr>
          <w:p w14:paraId="54B16A9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w:t>
            </w:r>
          </w:p>
        </w:tc>
        <w:tc>
          <w:tcPr>
            <w:tcW w:w="1755" w:type="dxa"/>
            <w:vMerge w:val="restart"/>
            <w:vAlign w:val="center"/>
          </w:tcPr>
          <w:p w14:paraId="1911835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能源消耗强度</w:t>
            </w:r>
          </w:p>
        </w:tc>
        <w:tc>
          <w:tcPr>
            <w:tcW w:w="3800" w:type="dxa"/>
            <w:vMerge w:val="restart"/>
            <w:vAlign w:val="center"/>
          </w:tcPr>
          <w:p w14:paraId="1C27823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单位产品综合能耗（有适用国家强制性能源消耗限额标准时必选，涉及多种产品适用标准时，仅填写综合能耗排序前三以内的产品）</w:t>
            </w:r>
          </w:p>
        </w:tc>
        <w:tc>
          <w:tcPr>
            <w:tcW w:w="1315" w:type="dxa"/>
            <w:vMerge w:val="restart"/>
            <w:vAlign w:val="center"/>
          </w:tcPr>
          <w:p w14:paraId="69FA31E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逆向定量</w:t>
            </w:r>
          </w:p>
        </w:tc>
        <w:tc>
          <w:tcPr>
            <w:tcW w:w="1575" w:type="dxa"/>
            <w:vMerge w:val="restart"/>
            <w:vAlign w:val="center"/>
          </w:tcPr>
          <w:p w14:paraId="6C1A623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tce/产品单位或kgce/产品单位</w:t>
            </w:r>
          </w:p>
        </w:tc>
        <w:tc>
          <w:tcPr>
            <w:tcW w:w="2061" w:type="dxa"/>
            <w:vAlign w:val="center"/>
          </w:tcPr>
          <w:p w14:paraId="4840021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w:t>
            </w:r>
            <w:r>
              <w:rPr>
                <w:rFonts w:hint="default" w:ascii="Times New Roman" w:hAnsi="Times New Roman" w:eastAsia="仿宋" w:cs="Times New Roman"/>
                <w:snapToGrid w:val="0"/>
                <w:color w:val="auto"/>
                <w:kern w:val="0"/>
                <w:sz w:val="24"/>
                <w:szCs w:val="24"/>
                <w:highlight w:val="none"/>
                <w:vertAlign w:val="baseline"/>
                <w:lang w:val="en-US" w:eastAsia="zh-CN" w:bidi="ar-SA"/>
              </w:rPr>
              <w:t>产品一名称</w:t>
            </w:r>
            <w:r>
              <w:rPr>
                <w:rFonts w:hint="eastAsia" w:ascii="Times New Roman" w:hAnsi="Times New Roman" w:eastAsia="仿宋" w:cs="Times New Roman"/>
                <w:snapToGrid w:val="0"/>
                <w:color w:val="auto"/>
                <w:kern w:val="0"/>
                <w:sz w:val="24"/>
                <w:szCs w:val="24"/>
                <w:highlight w:val="none"/>
                <w:vertAlign w:val="baseline"/>
                <w:lang w:val="en-US" w:eastAsia="zh-CN" w:bidi="ar-SA"/>
              </w:rPr>
              <w:t>）</w:t>
            </w:r>
          </w:p>
        </w:tc>
        <w:tc>
          <w:tcPr>
            <w:tcW w:w="2062" w:type="dxa"/>
            <w:vAlign w:val="center"/>
          </w:tcPr>
          <w:p w14:paraId="26DE7AC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p>
        </w:tc>
      </w:tr>
      <w:tr w14:paraId="25190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66" w:type="dxa"/>
            <w:vMerge w:val="continue"/>
            <w:vAlign w:val="center"/>
          </w:tcPr>
          <w:p w14:paraId="25C60D3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840" w:type="dxa"/>
            <w:vMerge w:val="continue"/>
            <w:vAlign w:val="center"/>
          </w:tcPr>
          <w:p w14:paraId="7EFFDB7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1755" w:type="dxa"/>
            <w:vMerge w:val="continue"/>
            <w:vAlign w:val="center"/>
          </w:tcPr>
          <w:p w14:paraId="40E02C9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3800" w:type="dxa"/>
            <w:vMerge w:val="continue"/>
            <w:vAlign w:val="center"/>
          </w:tcPr>
          <w:p w14:paraId="0E07B48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315" w:type="dxa"/>
            <w:vMerge w:val="continue"/>
            <w:vAlign w:val="center"/>
          </w:tcPr>
          <w:p w14:paraId="26D1470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575" w:type="dxa"/>
            <w:vMerge w:val="continue"/>
            <w:vAlign w:val="center"/>
          </w:tcPr>
          <w:p w14:paraId="510B382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2061" w:type="dxa"/>
            <w:vAlign w:val="center"/>
          </w:tcPr>
          <w:p w14:paraId="64B650B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w:t>
            </w:r>
            <w:r>
              <w:rPr>
                <w:rFonts w:hint="default" w:ascii="Times New Roman" w:hAnsi="Times New Roman" w:eastAsia="仿宋" w:cs="Times New Roman"/>
                <w:snapToGrid w:val="0"/>
                <w:color w:val="auto"/>
                <w:kern w:val="0"/>
                <w:sz w:val="24"/>
                <w:szCs w:val="24"/>
                <w:highlight w:val="none"/>
                <w:vertAlign w:val="baseline"/>
                <w:lang w:val="en-US" w:eastAsia="zh-CN" w:bidi="ar-SA"/>
              </w:rPr>
              <w:t>产品二名称</w:t>
            </w:r>
            <w:r>
              <w:rPr>
                <w:rFonts w:hint="eastAsia" w:ascii="Times New Roman" w:hAnsi="Times New Roman" w:eastAsia="仿宋" w:cs="Times New Roman"/>
                <w:snapToGrid w:val="0"/>
                <w:color w:val="auto"/>
                <w:kern w:val="0"/>
                <w:sz w:val="24"/>
                <w:szCs w:val="24"/>
                <w:highlight w:val="none"/>
                <w:vertAlign w:val="baseline"/>
                <w:lang w:val="en-US" w:eastAsia="zh-CN" w:bidi="ar-SA"/>
              </w:rPr>
              <w:t>）</w:t>
            </w:r>
          </w:p>
        </w:tc>
        <w:tc>
          <w:tcPr>
            <w:tcW w:w="2062" w:type="dxa"/>
            <w:vAlign w:val="center"/>
          </w:tcPr>
          <w:p w14:paraId="2828AE1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r>
      <w:tr w14:paraId="5B924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66" w:type="dxa"/>
            <w:vMerge w:val="continue"/>
            <w:vAlign w:val="center"/>
          </w:tcPr>
          <w:p w14:paraId="785815B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840" w:type="dxa"/>
            <w:vMerge w:val="continue"/>
            <w:vAlign w:val="center"/>
          </w:tcPr>
          <w:p w14:paraId="439FC60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1755" w:type="dxa"/>
            <w:vMerge w:val="continue"/>
            <w:vAlign w:val="center"/>
          </w:tcPr>
          <w:p w14:paraId="46EAA5F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3800" w:type="dxa"/>
            <w:vMerge w:val="continue"/>
            <w:vAlign w:val="center"/>
          </w:tcPr>
          <w:p w14:paraId="13E55F7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315" w:type="dxa"/>
            <w:vMerge w:val="continue"/>
            <w:vAlign w:val="center"/>
          </w:tcPr>
          <w:p w14:paraId="6D12361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575" w:type="dxa"/>
            <w:vMerge w:val="continue"/>
            <w:vAlign w:val="center"/>
          </w:tcPr>
          <w:p w14:paraId="63F9E23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2061" w:type="dxa"/>
            <w:vAlign w:val="center"/>
          </w:tcPr>
          <w:p w14:paraId="74B9098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w:t>
            </w:r>
            <w:r>
              <w:rPr>
                <w:rFonts w:hint="default" w:ascii="Times New Roman" w:hAnsi="Times New Roman" w:eastAsia="仿宋" w:cs="Times New Roman"/>
                <w:snapToGrid w:val="0"/>
                <w:color w:val="auto"/>
                <w:kern w:val="0"/>
                <w:sz w:val="24"/>
                <w:szCs w:val="24"/>
                <w:highlight w:val="none"/>
                <w:vertAlign w:val="baseline"/>
                <w:lang w:val="en-US" w:eastAsia="zh-CN" w:bidi="ar-SA"/>
              </w:rPr>
              <w:t>产品三名称</w:t>
            </w:r>
            <w:r>
              <w:rPr>
                <w:rFonts w:hint="eastAsia" w:ascii="Times New Roman" w:hAnsi="Times New Roman" w:eastAsia="仿宋" w:cs="Times New Roman"/>
                <w:snapToGrid w:val="0"/>
                <w:color w:val="auto"/>
                <w:kern w:val="0"/>
                <w:sz w:val="24"/>
                <w:szCs w:val="24"/>
                <w:highlight w:val="none"/>
                <w:vertAlign w:val="baseline"/>
                <w:lang w:val="en-US" w:eastAsia="zh-CN" w:bidi="ar-SA"/>
              </w:rPr>
              <w:t>）</w:t>
            </w:r>
          </w:p>
        </w:tc>
        <w:tc>
          <w:tcPr>
            <w:tcW w:w="2062" w:type="dxa"/>
            <w:vAlign w:val="center"/>
          </w:tcPr>
          <w:p w14:paraId="5A3D5A7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r>
      <w:tr w14:paraId="42F15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43C7F86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Merge w:val="continue"/>
            <w:vAlign w:val="center"/>
          </w:tcPr>
          <w:p w14:paraId="2355B80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755" w:type="dxa"/>
            <w:vMerge w:val="continue"/>
            <w:vAlign w:val="center"/>
          </w:tcPr>
          <w:p w14:paraId="3BD7003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3800" w:type="dxa"/>
            <w:vAlign w:val="center"/>
          </w:tcPr>
          <w:p w14:paraId="7498CA0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单位产值综合能耗（无适用国家强制性能源消耗限额标准时选用）</w:t>
            </w:r>
          </w:p>
        </w:tc>
        <w:tc>
          <w:tcPr>
            <w:tcW w:w="1315" w:type="dxa"/>
            <w:vAlign w:val="center"/>
          </w:tcPr>
          <w:p w14:paraId="6B8FF20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逆向定量</w:t>
            </w:r>
          </w:p>
        </w:tc>
        <w:tc>
          <w:tcPr>
            <w:tcW w:w="1575" w:type="dxa"/>
            <w:vAlign w:val="center"/>
          </w:tcPr>
          <w:p w14:paraId="69D2AEB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kgce/万元</w:t>
            </w:r>
          </w:p>
        </w:tc>
        <w:tc>
          <w:tcPr>
            <w:tcW w:w="4123" w:type="dxa"/>
            <w:gridSpan w:val="2"/>
            <w:vAlign w:val="center"/>
          </w:tcPr>
          <w:p w14:paraId="3B10290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p>
        </w:tc>
      </w:tr>
      <w:tr w14:paraId="153BA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5EF9E34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Align w:val="center"/>
          </w:tcPr>
          <w:p w14:paraId="7F2630D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2</w:t>
            </w:r>
          </w:p>
        </w:tc>
        <w:tc>
          <w:tcPr>
            <w:tcW w:w="1755" w:type="dxa"/>
            <w:vAlign w:val="center"/>
          </w:tcPr>
          <w:p w14:paraId="295E3CB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碳排放强度</w:t>
            </w:r>
          </w:p>
        </w:tc>
        <w:tc>
          <w:tcPr>
            <w:tcW w:w="3800" w:type="dxa"/>
            <w:vAlign w:val="center"/>
          </w:tcPr>
          <w:p w14:paraId="17508D2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单位产值碳排放量</w:t>
            </w:r>
          </w:p>
        </w:tc>
        <w:tc>
          <w:tcPr>
            <w:tcW w:w="1315" w:type="dxa"/>
            <w:vAlign w:val="center"/>
          </w:tcPr>
          <w:p w14:paraId="1B3B02E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逆向定量</w:t>
            </w:r>
          </w:p>
        </w:tc>
        <w:tc>
          <w:tcPr>
            <w:tcW w:w="1575" w:type="dxa"/>
            <w:vAlign w:val="center"/>
          </w:tcPr>
          <w:p w14:paraId="3833C93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kgCO</w:t>
            </w:r>
            <w:r>
              <w:rPr>
                <w:rFonts w:hint="default" w:ascii="Times New Roman" w:hAnsi="Times New Roman" w:eastAsia="仿宋" w:cs="Times New Roman"/>
                <w:snapToGrid w:val="0"/>
                <w:color w:val="000000"/>
                <w:kern w:val="0"/>
                <w:sz w:val="24"/>
                <w:szCs w:val="24"/>
                <w:vertAlign w:val="subscript"/>
                <w:lang w:val="en-US" w:eastAsia="zh-CN" w:bidi="ar-SA"/>
              </w:rPr>
              <w:t>2</w:t>
            </w:r>
            <w:r>
              <w:rPr>
                <w:rFonts w:hint="default" w:ascii="Times New Roman" w:hAnsi="Times New Roman" w:eastAsia="仿宋" w:cs="Times New Roman"/>
                <w:snapToGrid w:val="0"/>
                <w:color w:val="000000"/>
                <w:kern w:val="0"/>
                <w:sz w:val="24"/>
                <w:szCs w:val="24"/>
                <w:vertAlign w:val="baseline"/>
                <w:lang w:val="en-US" w:eastAsia="zh-CN" w:bidi="ar-SA"/>
              </w:rPr>
              <w:t>/万元</w:t>
            </w:r>
          </w:p>
        </w:tc>
        <w:tc>
          <w:tcPr>
            <w:tcW w:w="4123" w:type="dxa"/>
            <w:gridSpan w:val="2"/>
            <w:vAlign w:val="center"/>
          </w:tcPr>
          <w:p w14:paraId="68F95CE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13C59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406A499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Align w:val="center"/>
          </w:tcPr>
          <w:p w14:paraId="7C15EA0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3</w:t>
            </w:r>
          </w:p>
        </w:tc>
        <w:tc>
          <w:tcPr>
            <w:tcW w:w="5555" w:type="dxa"/>
            <w:gridSpan w:val="2"/>
            <w:vAlign w:val="center"/>
          </w:tcPr>
          <w:p w14:paraId="11B0E69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可再生能源利用率</w:t>
            </w:r>
          </w:p>
        </w:tc>
        <w:tc>
          <w:tcPr>
            <w:tcW w:w="1315" w:type="dxa"/>
            <w:vAlign w:val="center"/>
          </w:tcPr>
          <w:p w14:paraId="2D804E0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29CBD9D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18F0478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6AB7B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58B3959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Align w:val="center"/>
          </w:tcPr>
          <w:p w14:paraId="76BC12F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4</w:t>
            </w:r>
          </w:p>
        </w:tc>
        <w:tc>
          <w:tcPr>
            <w:tcW w:w="1755" w:type="dxa"/>
            <w:vAlign w:val="center"/>
          </w:tcPr>
          <w:p w14:paraId="5DE99B0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能碳管理系统平台功能符合数量</w:t>
            </w:r>
          </w:p>
        </w:tc>
        <w:tc>
          <w:tcPr>
            <w:tcW w:w="3800" w:type="dxa"/>
            <w:vAlign w:val="center"/>
          </w:tcPr>
          <w:p w14:paraId="7CC01E3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能碳管理系统平台功能符合数量</w:t>
            </w:r>
          </w:p>
        </w:tc>
        <w:tc>
          <w:tcPr>
            <w:tcW w:w="1315" w:type="dxa"/>
            <w:vAlign w:val="center"/>
          </w:tcPr>
          <w:p w14:paraId="5BE8C1C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22539ED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项</w:t>
            </w:r>
          </w:p>
        </w:tc>
        <w:tc>
          <w:tcPr>
            <w:tcW w:w="4123" w:type="dxa"/>
            <w:gridSpan w:val="2"/>
            <w:vAlign w:val="center"/>
          </w:tcPr>
          <w:p w14:paraId="53BC9BB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能耗查询</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能源消费量和强度计算</w:t>
            </w:r>
            <w:r>
              <w:rPr>
                <w:rFonts w:hint="eastAsia" w:ascii="Times New Roman" w:hAnsi="Times New Roman" w:eastAsia="仿宋" w:cs="Times New Roman"/>
                <w:snapToGrid w:val="0"/>
                <w:color w:val="000000"/>
                <w:kern w:val="0"/>
                <w:sz w:val="24"/>
                <w:szCs w:val="24"/>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vertAlign w:val="baseline"/>
                <w:lang w:val="en-US" w:eastAsia="zh-CN" w:bidi="ar-SA"/>
              </w:rPr>
              <w:t>能</w:t>
            </w:r>
            <w:r>
              <w:rPr>
                <w:rFonts w:hint="default" w:ascii="Times New Roman" w:hAnsi="Times New Roman" w:eastAsia="仿宋" w:cs="Times New Roman"/>
                <w:snapToGrid w:val="0"/>
                <w:color w:val="000000"/>
                <w:kern w:val="0"/>
                <w:sz w:val="24"/>
                <w:szCs w:val="24"/>
                <w:highlight w:val="none"/>
                <w:vertAlign w:val="baseline"/>
                <w:lang w:val="en-US" w:eastAsia="zh-CN" w:bidi="ar-SA"/>
              </w:rPr>
              <w:t>源消费分析与用能策略推荐</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能效对标</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能流分析</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能效平衡与优化</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用能与碳排放预算管理</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碳排放核算</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碳足迹核算</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供应链碳管理</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碳核查支撑</w:t>
            </w:r>
            <w:r>
              <w:rPr>
                <w:rFonts w:hint="eastAsia" w:ascii="Times New Roman" w:hAnsi="Times New Roman" w:eastAsia="仿宋" w:cs="Times New Roman"/>
                <w:snapToGrid w:val="0"/>
                <w:color w:val="000000"/>
                <w:kern w:val="0"/>
                <w:sz w:val="24"/>
                <w:szCs w:val="24"/>
                <w:highlight w:val="none"/>
                <w:vertAlign w:val="baseline"/>
                <w:lang w:val="en-US" w:eastAsia="zh-CN" w:bidi="ar-SA"/>
              </w:rPr>
              <w:sym w:font="Wingdings" w:char="00A8"/>
            </w:r>
            <w:r>
              <w:rPr>
                <w:rFonts w:hint="default" w:ascii="Times New Roman" w:hAnsi="Times New Roman" w:eastAsia="仿宋" w:cs="Times New Roman"/>
                <w:snapToGrid w:val="0"/>
                <w:color w:val="000000"/>
                <w:kern w:val="0"/>
                <w:sz w:val="24"/>
                <w:szCs w:val="24"/>
                <w:highlight w:val="none"/>
                <w:vertAlign w:val="baseline"/>
                <w:lang w:val="en-US" w:eastAsia="zh-CN" w:bidi="ar-SA"/>
              </w:rPr>
              <w:t>碳资产管理</w:t>
            </w:r>
          </w:p>
        </w:tc>
      </w:tr>
      <w:tr w14:paraId="5E9F4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restart"/>
            <w:vAlign w:val="center"/>
          </w:tcPr>
          <w:p w14:paraId="40AF26B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资源高效化</w:t>
            </w:r>
          </w:p>
        </w:tc>
        <w:tc>
          <w:tcPr>
            <w:tcW w:w="840" w:type="dxa"/>
            <w:vMerge w:val="restart"/>
            <w:vAlign w:val="center"/>
          </w:tcPr>
          <w:p w14:paraId="219780F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5</w:t>
            </w:r>
          </w:p>
        </w:tc>
        <w:tc>
          <w:tcPr>
            <w:tcW w:w="1755" w:type="dxa"/>
            <w:vMerge w:val="restart"/>
            <w:vAlign w:val="center"/>
          </w:tcPr>
          <w:p w14:paraId="0B887CC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节约原材料</w:t>
            </w:r>
          </w:p>
        </w:tc>
        <w:tc>
          <w:tcPr>
            <w:tcW w:w="3800" w:type="dxa"/>
            <w:vAlign w:val="center"/>
          </w:tcPr>
          <w:p w14:paraId="29C3CC5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减少生产过程中原辅材料消耗应用案例</w:t>
            </w:r>
          </w:p>
        </w:tc>
        <w:tc>
          <w:tcPr>
            <w:tcW w:w="1315" w:type="dxa"/>
            <w:vAlign w:val="center"/>
          </w:tcPr>
          <w:p w14:paraId="04E95ED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正向定性</w:t>
            </w:r>
          </w:p>
        </w:tc>
        <w:tc>
          <w:tcPr>
            <w:tcW w:w="1575" w:type="dxa"/>
            <w:vAlign w:val="center"/>
          </w:tcPr>
          <w:p w14:paraId="7AD66C2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58E7F30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提供本单位减少生产过程中原辅材料消耗的应用案例</w:t>
            </w:r>
          </w:p>
        </w:tc>
      </w:tr>
      <w:tr w14:paraId="00EB4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31849B5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840" w:type="dxa"/>
            <w:vMerge w:val="continue"/>
            <w:vAlign w:val="center"/>
          </w:tcPr>
          <w:p w14:paraId="2658240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1755" w:type="dxa"/>
            <w:vMerge w:val="continue"/>
            <w:vAlign w:val="center"/>
          </w:tcPr>
          <w:p w14:paraId="7476F17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3800" w:type="dxa"/>
            <w:vAlign w:val="center"/>
          </w:tcPr>
          <w:p w14:paraId="1F5776D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使用再生材料、回收再利用材料或可回收材料替代原生材料、不可回收材料改善应用案例</w:t>
            </w:r>
          </w:p>
        </w:tc>
        <w:tc>
          <w:tcPr>
            <w:tcW w:w="1315" w:type="dxa"/>
            <w:vAlign w:val="center"/>
          </w:tcPr>
          <w:p w14:paraId="7596296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正向定性</w:t>
            </w:r>
          </w:p>
        </w:tc>
        <w:tc>
          <w:tcPr>
            <w:tcW w:w="1575" w:type="dxa"/>
            <w:vAlign w:val="center"/>
          </w:tcPr>
          <w:p w14:paraId="2CAE62B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1CA8FC8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提供本单位使用再生材料、回收再利用材料或可回收材料替代原生材料、不可回收材料改善应用案例</w:t>
            </w:r>
          </w:p>
        </w:tc>
      </w:tr>
      <w:tr w14:paraId="1FD40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66" w:type="dxa"/>
            <w:vMerge w:val="continue"/>
            <w:vAlign w:val="center"/>
          </w:tcPr>
          <w:p w14:paraId="5BB3071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Merge w:val="restart"/>
            <w:vAlign w:val="center"/>
          </w:tcPr>
          <w:p w14:paraId="734034D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6</w:t>
            </w:r>
          </w:p>
        </w:tc>
        <w:tc>
          <w:tcPr>
            <w:tcW w:w="1755" w:type="dxa"/>
            <w:vMerge w:val="restart"/>
            <w:vAlign w:val="center"/>
          </w:tcPr>
          <w:p w14:paraId="469AD2D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取水强度</w:t>
            </w:r>
          </w:p>
        </w:tc>
        <w:tc>
          <w:tcPr>
            <w:tcW w:w="3800" w:type="dxa"/>
            <w:vMerge w:val="restart"/>
            <w:vAlign w:val="center"/>
          </w:tcPr>
          <w:p w14:paraId="3C676B7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单位产品取水量（有适用工业用水定额国家标准时必选，涉及多种产品适用标准时，仅填写取水量排序前三以内的产品）</w:t>
            </w:r>
          </w:p>
        </w:tc>
        <w:tc>
          <w:tcPr>
            <w:tcW w:w="1315" w:type="dxa"/>
            <w:vMerge w:val="restart"/>
            <w:vAlign w:val="center"/>
          </w:tcPr>
          <w:p w14:paraId="0FE19DC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逆向</w:t>
            </w:r>
            <w:r>
              <w:rPr>
                <w:rFonts w:hint="default" w:ascii="Times New Roman" w:hAnsi="Times New Roman" w:eastAsia="仿宋" w:cs="Times New Roman"/>
                <w:snapToGrid w:val="0"/>
                <w:color w:val="auto"/>
                <w:kern w:val="0"/>
                <w:sz w:val="24"/>
                <w:szCs w:val="24"/>
                <w:highlight w:val="none"/>
                <w:vertAlign w:val="baseline"/>
                <w:lang w:val="en-US" w:eastAsia="zh-CN" w:bidi="ar-SA"/>
              </w:rPr>
              <w:t>定量</w:t>
            </w:r>
          </w:p>
        </w:tc>
        <w:tc>
          <w:tcPr>
            <w:tcW w:w="1575" w:type="dxa"/>
            <w:vMerge w:val="restart"/>
            <w:vAlign w:val="center"/>
          </w:tcPr>
          <w:p w14:paraId="2E2B2BD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m</w:t>
            </w:r>
            <w:r>
              <w:rPr>
                <w:rFonts w:hint="default" w:ascii="Times New Roman" w:hAnsi="Times New Roman" w:eastAsia="仿宋" w:cs="Times New Roman"/>
                <w:snapToGrid w:val="0"/>
                <w:color w:val="auto"/>
                <w:kern w:val="0"/>
                <w:sz w:val="24"/>
                <w:szCs w:val="24"/>
                <w:highlight w:val="none"/>
                <w:vertAlign w:val="superscript"/>
                <w:lang w:val="en-US" w:eastAsia="zh-CN" w:bidi="ar-SA"/>
              </w:rPr>
              <w:t>3</w:t>
            </w:r>
            <w:r>
              <w:rPr>
                <w:rFonts w:hint="default" w:ascii="Times New Roman" w:hAnsi="Times New Roman" w:eastAsia="仿宋" w:cs="Times New Roman"/>
                <w:snapToGrid w:val="0"/>
                <w:color w:val="auto"/>
                <w:kern w:val="0"/>
                <w:sz w:val="24"/>
                <w:szCs w:val="24"/>
                <w:highlight w:val="none"/>
                <w:vertAlign w:val="baseline"/>
                <w:lang w:val="en-US" w:eastAsia="zh-CN" w:bidi="ar-SA"/>
              </w:rPr>
              <w:t>/产品单位</w:t>
            </w:r>
          </w:p>
        </w:tc>
        <w:tc>
          <w:tcPr>
            <w:tcW w:w="2061" w:type="dxa"/>
            <w:shd w:val="clear" w:color="auto" w:fill="auto"/>
            <w:vAlign w:val="center"/>
          </w:tcPr>
          <w:p w14:paraId="501B2D7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w:t>
            </w:r>
            <w:r>
              <w:rPr>
                <w:rFonts w:hint="default" w:ascii="Times New Roman" w:hAnsi="Times New Roman" w:eastAsia="仿宋" w:cs="Times New Roman"/>
                <w:snapToGrid w:val="0"/>
                <w:color w:val="auto"/>
                <w:kern w:val="0"/>
                <w:sz w:val="24"/>
                <w:szCs w:val="24"/>
                <w:highlight w:val="none"/>
                <w:vertAlign w:val="baseline"/>
                <w:lang w:val="en-US" w:eastAsia="zh-CN" w:bidi="ar-SA"/>
              </w:rPr>
              <w:t>产品一名称</w:t>
            </w:r>
            <w:r>
              <w:rPr>
                <w:rFonts w:hint="eastAsia" w:ascii="Times New Roman" w:hAnsi="Times New Roman" w:eastAsia="仿宋" w:cs="Times New Roman"/>
                <w:snapToGrid w:val="0"/>
                <w:color w:val="auto"/>
                <w:kern w:val="0"/>
                <w:sz w:val="24"/>
                <w:szCs w:val="24"/>
                <w:highlight w:val="none"/>
                <w:vertAlign w:val="baseline"/>
                <w:lang w:val="en-US" w:eastAsia="zh-CN" w:bidi="ar-SA"/>
              </w:rPr>
              <w:t>）</w:t>
            </w:r>
          </w:p>
        </w:tc>
        <w:tc>
          <w:tcPr>
            <w:tcW w:w="2062" w:type="dxa"/>
            <w:vAlign w:val="center"/>
          </w:tcPr>
          <w:p w14:paraId="1E08459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p>
        </w:tc>
      </w:tr>
      <w:tr w14:paraId="48C9E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66" w:type="dxa"/>
            <w:vMerge w:val="continue"/>
            <w:vAlign w:val="center"/>
          </w:tcPr>
          <w:p w14:paraId="2511967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840" w:type="dxa"/>
            <w:vMerge w:val="continue"/>
            <w:vAlign w:val="center"/>
          </w:tcPr>
          <w:p w14:paraId="5609A00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1755" w:type="dxa"/>
            <w:vMerge w:val="continue"/>
            <w:vAlign w:val="center"/>
          </w:tcPr>
          <w:p w14:paraId="53E579C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3800" w:type="dxa"/>
            <w:vMerge w:val="continue"/>
            <w:vAlign w:val="center"/>
          </w:tcPr>
          <w:p w14:paraId="1BF7997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315" w:type="dxa"/>
            <w:vMerge w:val="continue"/>
            <w:vAlign w:val="center"/>
          </w:tcPr>
          <w:p w14:paraId="50E584A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575" w:type="dxa"/>
            <w:vMerge w:val="continue"/>
            <w:vAlign w:val="center"/>
          </w:tcPr>
          <w:p w14:paraId="3C0405D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2061" w:type="dxa"/>
            <w:shd w:val="clear" w:color="auto" w:fill="auto"/>
            <w:vAlign w:val="center"/>
          </w:tcPr>
          <w:p w14:paraId="0537A9F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ascii="Arial" w:hAnsi="Arial" w:eastAsia="Arial" w:cs="Arial"/>
                <w:snapToGrid w:val="0"/>
                <w:color w:val="auto"/>
                <w:kern w:val="0"/>
                <w:sz w:val="21"/>
                <w:szCs w:val="21"/>
                <w:highlight w:val="none"/>
                <w:lang w:val="en-US" w:eastAsia="en-US"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w:t>
            </w:r>
            <w:r>
              <w:rPr>
                <w:rFonts w:hint="default" w:ascii="Times New Roman" w:hAnsi="Times New Roman" w:eastAsia="仿宋" w:cs="Times New Roman"/>
                <w:snapToGrid w:val="0"/>
                <w:color w:val="auto"/>
                <w:kern w:val="0"/>
                <w:sz w:val="24"/>
                <w:szCs w:val="24"/>
                <w:highlight w:val="none"/>
                <w:vertAlign w:val="baseline"/>
                <w:lang w:val="en-US" w:eastAsia="zh-CN" w:bidi="ar-SA"/>
              </w:rPr>
              <w:t>产品二名称</w:t>
            </w:r>
            <w:r>
              <w:rPr>
                <w:rFonts w:hint="eastAsia" w:ascii="Times New Roman" w:hAnsi="Times New Roman" w:eastAsia="仿宋" w:cs="Times New Roman"/>
                <w:snapToGrid w:val="0"/>
                <w:color w:val="auto"/>
                <w:kern w:val="0"/>
                <w:sz w:val="24"/>
                <w:szCs w:val="24"/>
                <w:highlight w:val="none"/>
                <w:vertAlign w:val="baseline"/>
                <w:lang w:val="en-US" w:eastAsia="zh-CN" w:bidi="ar-SA"/>
              </w:rPr>
              <w:t>）</w:t>
            </w:r>
          </w:p>
        </w:tc>
        <w:tc>
          <w:tcPr>
            <w:tcW w:w="2062" w:type="dxa"/>
            <w:vAlign w:val="center"/>
          </w:tcPr>
          <w:p w14:paraId="40D70AB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r>
      <w:tr w14:paraId="5B07D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766" w:type="dxa"/>
            <w:vMerge w:val="continue"/>
            <w:vAlign w:val="center"/>
          </w:tcPr>
          <w:p w14:paraId="6146CE3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840" w:type="dxa"/>
            <w:vMerge w:val="continue"/>
            <w:vAlign w:val="center"/>
          </w:tcPr>
          <w:p w14:paraId="6BBE90D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pPr>
          </w:p>
        </w:tc>
        <w:tc>
          <w:tcPr>
            <w:tcW w:w="1755" w:type="dxa"/>
            <w:vMerge w:val="continue"/>
            <w:vAlign w:val="center"/>
          </w:tcPr>
          <w:p w14:paraId="6B779CB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3800" w:type="dxa"/>
            <w:vMerge w:val="continue"/>
            <w:vAlign w:val="center"/>
          </w:tcPr>
          <w:p w14:paraId="14F0AD1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315" w:type="dxa"/>
            <w:vMerge w:val="continue"/>
            <w:vAlign w:val="center"/>
          </w:tcPr>
          <w:p w14:paraId="7835828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1575" w:type="dxa"/>
            <w:vMerge w:val="continue"/>
            <w:vAlign w:val="center"/>
          </w:tcPr>
          <w:p w14:paraId="7C1AB85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c>
          <w:tcPr>
            <w:tcW w:w="2061" w:type="dxa"/>
            <w:shd w:val="clear" w:color="auto" w:fill="auto"/>
            <w:vAlign w:val="center"/>
          </w:tcPr>
          <w:p w14:paraId="058CB42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ascii="Arial" w:hAnsi="Arial" w:eastAsia="Arial" w:cs="Arial"/>
                <w:snapToGrid w:val="0"/>
                <w:color w:val="auto"/>
                <w:kern w:val="0"/>
                <w:sz w:val="21"/>
                <w:szCs w:val="21"/>
                <w:highlight w:val="none"/>
                <w:lang w:val="en-US" w:eastAsia="en-US"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w:t>
            </w:r>
            <w:r>
              <w:rPr>
                <w:rFonts w:hint="default" w:ascii="Times New Roman" w:hAnsi="Times New Roman" w:eastAsia="仿宋" w:cs="Times New Roman"/>
                <w:snapToGrid w:val="0"/>
                <w:color w:val="auto"/>
                <w:kern w:val="0"/>
                <w:sz w:val="24"/>
                <w:szCs w:val="24"/>
                <w:highlight w:val="none"/>
                <w:vertAlign w:val="baseline"/>
                <w:lang w:val="en-US" w:eastAsia="zh-CN" w:bidi="ar-SA"/>
              </w:rPr>
              <w:t>产品三名称</w:t>
            </w:r>
            <w:r>
              <w:rPr>
                <w:rFonts w:hint="eastAsia" w:ascii="Times New Roman" w:hAnsi="Times New Roman" w:eastAsia="仿宋" w:cs="Times New Roman"/>
                <w:snapToGrid w:val="0"/>
                <w:color w:val="auto"/>
                <w:kern w:val="0"/>
                <w:sz w:val="24"/>
                <w:szCs w:val="24"/>
                <w:highlight w:val="none"/>
                <w:vertAlign w:val="baseline"/>
                <w:lang w:val="en-US" w:eastAsia="zh-CN" w:bidi="ar-SA"/>
              </w:rPr>
              <w:t>）</w:t>
            </w:r>
          </w:p>
        </w:tc>
        <w:tc>
          <w:tcPr>
            <w:tcW w:w="2062" w:type="dxa"/>
            <w:vAlign w:val="center"/>
          </w:tcPr>
          <w:p w14:paraId="1C21B0D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color w:val="auto"/>
                <w:highlight w:val="none"/>
              </w:rPr>
            </w:pPr>
          </w:p>
        </w:tc>
      </w:tr>
      <w:tr w14:paraId="76EA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726198C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Merge w:val="continue"/>
            <w:vAlign w:val="center"/>
          </w:tcPr>
          <w:p w14:paraId="2E2EA07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755" w:type="dxa"/>
            <w:vMerge w:val="continue"/>
            <w:vAlign w:val="center"/>
          </w:tcPr>
          <w:p w14:paraId="7AD053E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p>
        </w:tc>
        <w:tc>
          <w:tcPr>
            <w:tcW w:w="3800" w:type="dxa"/>
            <w:vAlign w:val="center"/>
          </w:tcPr>
          <w:p w14:paraId="65FCE28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单位产值取水量（无适用工业用水定额国家标准时选用）</w:t>
            </w:r>
          </w:p>
        </w:tc>
        <w:tc>
          <w:tcPr>
            <w:tcW w:w="1315" w:type="dxa"/>
            <w:vAlign w:val="center"/>
          </w:tcPr>
          <w:p w14:paraId="4C7CE5F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eastAsia" w:ascii="Times New Roman" w:hAnsi="Times New Roman" w:eastAsia="仿宋" w:cs="Times New Roman"/>
                <w:snapToGrid w:val="0"/>
                <w:color w:val="auto"/>
                <w:kern w:val="0"/>
                <w:sz w:val="24"/>
                <w:szCs w:val="24"/>
                <w:highlight w:val="none"/>
                <w:vertAlign w:val="baseline"/>
                <w:lang w:val="en-US" w:eastAsia="zh-CN" w:bidi="ar-SA"/>
              </w:rPr>
              <w:t>逆向</w:t>
            </w:r>
            <w:r>
              <w:rPr>
                <w:rFonts w:hint="default" w:ascii="Times New Roman" w:hAnsi="Times New Roman" w:eastAsia="仿宋" w:cs="Times New Roman"/>
                <w:snapToGrid w:val="0"/>
                <w:color w:val="auto"/>
                <w:kern w:val="0"/>
                <w:sz w:val="24"/>
                <w:szCs w:val="24"/>
                <w:highlight w:val="none"/>
                <w:vertAlign w:val="baseline"/>
                <w:lang w:val="en-US" w:eastAsia="zh-CN" w:bidi="ar-SA"/>
              </w:rPr>
              <w:t>定量</w:t>
            </w:r>
          </w:p>
        </w:tc>
        <w:tc>
          <w:tcPr>
            <w:tcW w:w="1575" w:type="dxa"/>
            <w:vAlign w:val="center"/>
          </w:tcPr>
          <w:p w14:paraId="1AE316F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r>
              <w:rPr>
                <w:rFonts w:hint="default" w:ascii="Times New Roman" w:hAnsi="Times New Roman" w:eastAsia="仿宋" w:cs="Times New Roman"/>
                <w:snapToGrid w:val="0"/>
                <w:color w:val="auto"/>
                <w:kern w:val="0"/>
                <w:sz w:val="24"/>
                <w:szCs w:val="24"/>
                <w:highlight w:val="none"/>
                <w:vertAlign w:val="baseline"/>
                <w:lang w:val="en-US" w:eastAsia="zh-CN" w:bidi="ar-SA"/>
              </w:rPr>
              <w:t>m</w:t>
            </w:r>
            <w:r>
              <w:rPr>
                <w:rFonts w:hint="default" w:ascii="Times New Roman" w:hAnsi="Times New Roman" w:eastAsia="仿宋" w:cs="Times New Roman"/>
                <w:snapToGrid w:val="0"/>
                <w:color w:val="auto"/>
                <w:kern w:val="0"/>
                <w:sz w:val="24"/>
                <w:szCs w:val="24"/>
                <w:highlight w:val="none"/>
                <w:vertAlign w:val="superscript"/>
                <w:lang w:val="en-US" w:eastAsia="zh-CN" w:bidi="ar-SA"/>
              </w:rPr>
              <w:t>3</w:t>
            </w:r>
            <w:r>
              <w:rPr>
                <w:rFonts w:hint="default" w:ascii="Times New Roman" w:hAnsi="Times New Roman" w:eastAsia="仿宋" w:cs="Times New Roman"/>
                <w:snapToGrid w:val="0"/>
                <w:color w:val="auto"/>
                <w:kern w:val="0"/>
                <w:sz w:val="24"/>
                <w:szCs w:val="24"/>
                <w:highlight w:val="none"/>
                <w:vertAlign w:val="baseline"/>
                <w:lang w:val="en-US" w:eastAsia="zh-CN" w:bidi="ar-SA"/>
              </w:rPr>
              <w:t>/万元</w:t>
            </w:r>
          </w:p>
        </w:tc>
        <w:tc>
          <w:tcPr>
            <w:tcW w:w="4123" w:type="dxa"/>
            <w:gridSpan w:val="2"/>
            <w:vAlign w:val="center"/>
          </w:tcPr>
          <w:p w14:paraId="4B98F39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auto"/>
                <w:kern w:val="0"/>
                <w:sz w:val="24"/>
                <w:szCs w:val="24"/>
                <w:highlight w:val="none"/>
                <w:vertAlign w:val="baseline"/>
                <w:lang w:val="en-US" w:eastAsia="zh-CN" w:bidi="ar-SA"/>
              </w:rPr>
            </w:pPr>
          </w:p>
        </w:tc>
      </w:tr>
      <w:tr w14:paraId="328CE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7147532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Align w:val="center"/>
          </w:tcPr>
          <w:p w14:paraId="5353630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7</w:t>
            </w:r>
          </w:p>
        </w:tc>
        <w:tc>
          <w:tcPr>
            <w:tcW w:w="5555" w:type="dxa"/>
            <w:gridSpan w:val="2"/>
            <w:vAlign w:val="center"/>
          </w:tcPr>
          <w:p w14:paraId="48AF341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工业用水重复利用率</w:t>
            </w:r>
          </w:p>
        </w:tc>
        <w:tc>
          <w:tcPr>
            <w:tcW w:w="1315" w:type="dxa"/>
            <w:vAlign w:val="center"/>
          </w:tcPr>
          <w:p w14:paraId="412129A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7526EAD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5F862DD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435DD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6BE9217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Align w:val="center"/>
          </w:tcPr>
          <w:p w14:paraId="7A2E0FC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8</w:t>
            </w:r>
          </w:p>
        </w:tc>
        <w:tc>
          <w:tcPr>
            <w:tcW w:w="5555" w:type="dxa"/>
            <w:gridSpan w:val="2"/>
            <w:vAlign w:val="center"/>
          </w:tcPr>
          <w:p w14:paraId="5B555E9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一般工业固体废物综合利用率</w:t>
            </w:r>
          </w:p>
        </w:tc>
        <w:tc>
          <w:tcPr>
            <w:tcW w:w="1315" w:type="dxa"/>
            <w:vAlign w:val="center"/>
          </w:tcPr>
          <w:p w14:paraId="18492E7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425AD79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5851630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0E600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restart"/>
            <w:vAlign w:val="center"/>
          </w:tcPr>
          <w:p w14:paraId="270C9A5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生产洁净化</w:t>
            </w:r>
          </w:p>
        </w:tc>
        <w:tc>
          <w:tcPr>
            <w:tcW w:w="840" w:type="dxa"/>
            <w:vAlign w:val="center"/>
          </w:tcPr>
          <w:p w14:paraId="0AA2C5E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9</w:t>
            </w:r>
          </w:p>
        </w:tc>
        <w:tc>
          <w:tcPr>
            <w:tcW w:w="1755" w:type="dxa"/>
            <w:vAlign w:val="center"/>
          </w:tcPr>
          <w:p w14:paraId="74FCFE2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生产工艺设备先进性</w:t>
            </w:r>
          </w:p>
        </w:tc>
        <w:tc>
          <w:tcPr>
            <w:tcW w:w="3800" w:type="dxa"/>
            <w:vAlign w:val="center"/>
          </w:tcPr>
          <w:p w14:paraId="0A2F4ED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p w14:paraId="5F2E114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采用《国家工业和信息化领域节能降碳技术装备推荐目录》《国家鼓励的工业节水工艺、技术和装备目录》《国家工业资源综合利用先进适用工艺技术设备目录》《国家鼓励发展的重大环保技术装备目录》《绿色技术推广目录》《国家重点推广的低碳技术目录》《国家污染防治技术指导目录》《产业结构调整指导目录》范围内的先进技术和设备的数量</w:t>
            </w:r>
          </w:p>
        </w:tc>
        <w:tc>
          <w:tcPr>
            <w:tcW w:w="1315" w:type="dxa"/>
            <w:vAlign w:val="center"/>
          </w:tcPr>
          <w:p w14:paraId="4F35C2A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2B017EA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项</w:t>
            </w:r>
          </w:p>
        </w:tc>
        <w:tc>
          <w:tcPr>
            <w:tcW w:w="4123" w:type="dxa"/>
            <w:gridSpan w:val="2"/>
            <w:vAlign w:val="center"/>
          </w:tcPr>
          <w:p w14:paraId="50B59B0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718BF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11AE930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Merge w:val="restart"/>
            <w:vAlign w:val="center"/>
          </w:tcPr>
          <w:p w14:paraId="28088AB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10</w:t>
            </w:r>
          </w:p>
        </w:tc>
        <w:tc>
          <w:tcPr>
            <w:tcW w:w="1755" w:type="dxa"/>
            <w:vMerge w:val="restart"/>
            <w:vAlign w:val="center"/>
          </w:tcPr>
          <w:p w14:paraId="3A360ED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yellow"/>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绿色低碳改造升级</w:t>
            </w:r>
          </w:p>
        </w:tc>
        <w:tc>
          <w:tcPr>
            <w:tcW w:w="3800" w:type="dxa"/>
            <w:vAlign w:val="center"/>
          </w:tcPr>
          <w:p w14:paraId="25E85AE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近3年实施绿色低碳改造升级年平均项目数量</w:t>
            </w:r>
          </w:p>
        </w:tc>
        <w:tc>
          <w:tcPr>
            <w:tcW w:w="1315" w:type="dxa"/>
            <w:vAlign w:val="center"/>
          </w:tcPr>
          <w:p w14:paraId="0CB14E1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1575" w:type="dxa"/>
            <w:vAlign w:val="center"/>
          </w:tcPr>
          <w:p w14:paraId="298DF62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项</w:t>
            </w:r>
          </w:p>
        </w:tc>
        <w:tc>
          <w:tcPr>
            <w:tcW w:w="4123" w:type="dxa"/>
            <w:gridSpan w:val="2"/>
            <w:vAlign w:val="center"/>
          </w:tcPr>
          <w:p w14:paraId="4B35F41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r>
      <w:tr w14:paraId="040CC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7D8C818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840" w:type="dxa"/>
            <w:vMerge w:val="continue"/>
            <w:vAlign w:val="center"/>
          </w:tcPr>
          <w:p w14:paraId="0497826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1755" w:type="dxa"/>
            <w:vMerge w:val="continue"/>
            <w:vAlign w:val="center"/>
          </w:tcPr>
          <w:p w14:paraId="6E9FA49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yellow"/>
              </w:rPr>
            </w:pPr>
          </w:p>
        </w:tc>
        <w:tc>
          <w:tcPr>
            <w:tcW w:w="3800" w:type="dxa"/>
            <w:vAlign w:val="center"/>
          </w:tcPr>
          <w:p w14:paraId="51A2696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近3年绿色低碳改造升级项目投资额占比</w:t>
            </w:r>
          </w:p>
        </w:tc>
        <w:tc>
          <w:tcPr>
            <w:tcW w:w="1315" w:type="dxa"/>
            <w:vAlign w:val="center"/>
          </w:tcPr>
          <w:p w14:paraId="5574EFE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1575" w:type="dxa"/>
            <w:vAlign w:val="center"/>
          </w:tcPr>
          <w:p w14:paraId="6E1D79D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4123" w:type="dxa"/>
            <w:gridSpan w:val="2"/>
            <w:vAlign w:val="center"/>
          </w:tcPr>
          <w:p w14:paraId="584D91D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r>
      <w:tr w14:paraId="03630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67B801E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Merge w:val="restart"/>
            <w:vAlign w:val="center"/>
          </w:tcPr>
          <w:p w14:paraId="6FB4595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11</w:t>
            </w:r>
          </w:p>
        </w:tc>
        <w:tc>
          <w:tcPr>
            <w:tcW w:w="1755" w:type="dxa"/>
            <w:vMerge w:val="restart"/>
            <w:vAlign w:val="center"/>
          </w:tcPr>
          <w:p w14:paraId="3C996A7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主要污染物年均排放浓度</w:t>
            </w:r>
          </w:p>
        </w:tc>
        <w:tc>
          <w:tcPr>
            <w:tcW w:w="3800" w:type="dxa"/>
            <w:vAlign w:val="center"/>
          </w:tcPr>
          <w:p w14:paraId="6CBD01C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废水主要污染物年均排放浓度优于许可排放浓度限值的最低比例（不涉及工业废水排放的企业不填）</w:t>
            </w:r>
          </w:p>
        </w:tc>
        <w:tc>
          <w:tcPr>
            <w:tcW w:w="1315" w:type="dxa"/>
            <w:vAlign w:val="center"/>
          </w:tcPr>
          <w:p w14:paraId="1DAE7C4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030B461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4356BE2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448D7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3BD683F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840" w:type="dxa"/>
            <w:vMerge w:val="continue"/>
            <w:vAlign w:val="center"/>
          </w:tcPr>
          <w:p w14:paraId="4B5A135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1755" w:type="dxa"/>
            <w:vMerge w:val="continue"/>
            <w:vAlign w:val="center"/>
          </w:tcPr>
          <w:p w14:paraId="35FA0D0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3800" w:type="dxa"/>
            <w:vAlign w:val="center"/>
          </w:tcPr>
          <w:p w14:paraId="5B70094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废气主要污染物年均排放浓度优于许可排放浓度限值的最低比例（不涉及工业废气排放的企业不填）</w:t>
            </w:r>
          </w:p>
        </w:tc>
        <w:tc>
          <w:tcPr>
            <w:tcW w:w="1315" w:type="dxa"/>
            <w:vAlign w:val="center"/>
          </w:tcPr>
          <w:p w14:paraId="6537BAE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p w14:paraId="23299E4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575" w:type="dxa"/>
            <w:vAlign w:val="center"/>
          </w:tcPr>
          <w:p w14:paraId="50942F9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74D4449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27F8E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restart"/>
            <w:vAlign w:val="center"/>
          </w:tcPr>
          <w:p w14:paraId="6F462D6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产品绿色化</w:t>
            </w:r>
          </w:p>
        </w:tc>
        <w:tc>
          <w:tcPr>
            <w:tcW w:w="840" w:type="dxa"/>
            <w:vAlign w:val="center"/>
          </w:tcPr>
          <w:p w14:paraId="1358D09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12</w:t>
            </w:r>
          </w:p>
        </w:tc>
        <w:tc>
          <w:tcPr>
            <w:tcW w:w="1755" w:type="dxa"/>
            <w:vAlign w:val="center"/>
          </w:tcPr>
          <w:p w14:paraId="03C9D64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绿色设计</w:t>
            </w:r>
          </w:p>
        </w:tc>
        <w:tc>
          <w:tcPr>
            <w:tcW w:w="3800" w:type="dxa"/>
            <w:vAlign w:val="center"/>
          </w:tcPr>
          <w:p w14:paraId="6CC433B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绿色设计典型应用案例</w:t>
            </w:r>
          </w:p>
        </w:tc>
        <w:tc>
          <w:tcPr>
            <w:tcW w:w="1315" w:type="dxa"/>
            <w:vAlign w:val="center"/>
          </w:tcPr>
          <w:p w14:paraId="48F6396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正向定性</w:t>
            </w:r>
          </w:p>
        </w:tc>
        <w:tc>
          <w:tcPr>
            <w:tcW w:w="1575" w:type="dxa"/>
            <w:vAlign w:val="center"/>
          </w:tcPr>
          <w:p w14:paraId="2520A6D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7ACF1FF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35D86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49DEB84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shd w:val="clear" w:color="auto" w:fill="auto"/>
            <w:vAlign w:val="center"/>
          </w:tcPr>
          <w:p w14:paraId="599F8A8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13</w:t>
            </w:r>
          </w:p>
        </w:tc>
        <w:tc>
          <w:tcPr>
            <w:tcW w:w="1755" w:type="dxa"/>
            <w:vAlign w:val="center"/>
          </w:tcPr>
          <w:p w14:paraId="33F8BD1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产品碳足迹</w:t>
            </w:r>
          </w:p>
        </w:tc>
        <w:tc>
          <w:tcPr>
            <w:tcW w:w="3800" w:type="dxa"/>
            <w:vAlign w:val="center"/>
          </w:tcPr>
          <w:p w14:paraId="5AD6AF0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开展碳足迹核算产品类别占比</w:t>
            </w:r>
          </w:p>
        </w:tc>
        <w:tc>
          <w:tcPr>
            <w:tcW w:w="1315" w:type="dxa"/>
            <w:shd w:val="clear" w:color="auto" w:fill="auto"/>
            <w:vAlign w:val="center"/>
          </w:tcPr>
          <w:p w14:paraId="3D56815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2CED9AA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1E54885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12603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33D332F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shd w:val="clear" w:color="auto" w:fill="auto"/>
            <w:vAlign w:val="center"/>
          </w:tcPr>
          <w:p w14:paraId="75F94F3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14</w:t>
            </w:r>
          </w:p>
        </w:tc>
        <w:tc>
          <w:tcPr>
            <w:tcW w:w="1755" w:type="dxa"/>
            <w:vAlign w:val="center"/>
          </w:tcPr>
          <w:p w14:paraId="7E0E430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绿色产品</w:t>
            </w:r>
          </w:p>
        </w:tc>
        <w:tc>
          <w:tcPr>
            <w:tcW w:w="3800" w:type="dxa"/>
            <w:vAlign w:val="center"/>
          </w:tcPr>
          <w:p w14:paraId="73E5A19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节能产品占比</w:t>
            </w:r>
          </w:p>
          <w:p w14:paraId="75CD2A8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（有适用国家强制性能效标准时必选）</w:t>
            </w:r>
          </w:p>
        </w:tc>
        <w:tc>
          <w:tcPr>
            <w:tcW w:w="1315" w:type="dxa"/>
            <w:shd w:val="clear" w:color="auto" w:fill="auto"/>
            <w:vAlign w:val="center"/>
          </w:tcPr>
          <w:p w14:paraId="64A333D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14CCCA7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3497ED6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7C6FC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restart"/>
            <w:vAlign w:val="center"/>
          </w:tcPr>
          <w:p w14:paraId="1242718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用地集约化</w:t>
            </w:r>
          </w:p>
        </w:tc>
        <w:tc>
          <w:tcPr>
            <w:tcW w:w="840" w:type="dxa"/>
            <w:vMerge w:val="restart"/>
            <w:vAlign w:val="center"/>
          </w:tcPr>
          <w:p w14:paraId="4445ED3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15</w:t>
            </w:r>
          </w:p>
        </w:tc>
        <w:tc>
          <w:tcPr>
            <w:tcW w:w="1755" w:type="dxa"/>
            <w:vMerge w:val="restart"/>
            <w:vAlign w:val="center"/>
          </w:tcPr>
          <w:p w14:paraId="55AAA26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土地产出率</w:t>
            </w:r>
          </w:p>
        </w:tc>
        <w:tc>
          <w:tcPr>
            <w:tcW w:w="3800" w:type="dxa"/>
            <w:vAlign w:val="center"/>
          </w:tcPr>
          <w:p w14:paraId="7907A7F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单位用地面积产值</w:t>
            </w:r>
          </w:p>
        </w:tc>
        <w:tc>
          <w:tcPr>
            <w:tcW w:w="1315" w:type="dxa"/>
            <w:vAlign w:val="center"/>
          </w:tcPr>
          <w:p w14:paraId="67869FA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46502D7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万元/m</w:t>
            </w:r>
            <w:r>
              <w:rPr>
                <w:rFonts w:hint="default" w:ascii="Times New Roman" w:hAnsi="Times New Roman" w:eastAsia="仿宋" w:cs="Times New Roman"/>
                <w:snapToGrid w:val="0"/>
                <w:color w:val="000000"/>
                <w:kern w:val="0"/>
                <w:sz w:val="24"/>
                <w:szCs w:val="24"/>
                <w:vertAlign w:val="superscript"/>
                <w:lang w:val="en-US" w:eastAsia="zh-CN" w:bidi="ar-SA"/>
              </w:rPr>
              <w:t>2</w:t>
            </w:r>
          </w:p>
        </w:tc>
        <w:tc>
          <w:tcPr>
            <w:tcW w:w="4123" w:type="dxa"/>
            <w:gridSpan w:val="2"/>
            <w:vAlign w:val="center"/>
          </w:tcPr>
          <w:p w14:paraId="4425BE3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260E1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4680408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Merge w:val="continue"/>
            <w:vAlign w:val="center"/>
          </w:tcPr>
          <w:p w14:paraId="3A24CF6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755" w:type="dxa"/>
            <w:vMerge w:val="continue"/>
            <w:vAlign w:val="center"/>
          </w:tcPr>
          <w:p w14:paraId="3EB40F9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3800" w:type="dxa"/>
            <w:vAlign w:val="center"/>
          </w:tcPr>
          <w:p w14:paraId="1FB256D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建筑系数</w:t>
            </w:r>
          </w:p>
        </w:tc>
        <w:tc>
          <w:tcPr>
            <w:tcW w:w="1315" w:type="dxa"/>
            <w:vAlign w:val="center"/>
          </w:tcPr>
          <w:p w14:paraId="02B4A23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72F07CB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6C32A51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5D471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66" w:type="dxa"/>
            <w:vMerge w:val="continue"/>
            <w:vAlign w:val="center"/>
          </w:tcPr>
          <w:p w14:paraId="144578C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840" w:type="dxa"/>
            <w:vMerge w:val="continue"/>
            <w:vAlign w:val="center"/>
          </w:tcPr>
          <w:p w14:paraId="551E5F2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755" w:type="dxa"/>
            <w:vMerge w:val="continue"/>
            <w:vAlign w:val="center"/>
          </w:tcPr>
          <w:p w14:paraId="4C28BAD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3800" w:type="dxa"/>
            <w:vAlign w:val="center"/>
          </w:tcPr>
          <w:p w14:paraId="0CD6AB7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容积率</w:t>
            </w:r>
          </w:p>
        </w:tc>
        <w:tc>
          <w:tcPr>
            <w:tcW w:w="1315" w:type="dxa"/>
            <w:vAlign w:val="center"/>
          </w:tcPr>
          <w:p w14:paraId="419E1D2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1575" w:type="dxa"/>
            <w:vAlign w:val="center"/>
          </w:tcPr>
          <w:p w14:paraId="6BF0A29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4123" w:type="dxa"/>
            <w:gridSpan w:val="2"/>
            <w:vAlign w:val="center"/>
          </w:tcPr>
          <w:p w14:paraId="4AD6A88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bl>
    <w:p w14:paraId="1F260FE4">
      <w:pPr>
        <w:keepNext w:val="0"/>
        <w:keepLines w:val="0"/>
        <w:pageBreakBefore w:val="0"/>
        <w:widowControl w:val="0"/>
        <w:topLinePunct w:val="0"/>
        <w:bidi w:val="0"/>
        <w:jc w:val="center"/>
        <w:rPr>
          <w:rFonts w:hint="default" w:ascii="Times New Roman" w:hAnsi="Times New Roman" w:eastAsia="仿宋" w:cs="Times New Roman"/>
          <w:snapToGrid w:val="0"/>
          <w:color w:val="000000"/>
          <w:kern w:val="0"/>
          <w:sz w:val="24"/>
          <w:szCs w:val="24"/>
          <w:vertAlign w:val="baseline"/>
          <w:lang w:val="en-US" w:eastAsia="zh-CN" w:bidi="ar-SA"/>
        </w:rPr>
      </w:pPr>
    </w:p>
    <w:p w14:paraId="21D959A5">
      <w:pPr>
        <w:keepNext w:val="0"/>
        <w:keepLines w:val="0"/>
        <w:pageBreakBefore w:val="0"/>
        <w:widowControl w:val="0"/>
        <w:topLinePunct w:val="0"/>
        <w:bidi w:val="0"/>
        <w:jc w:val="center"/>
        <w:rPr>
          <w:rFonts w:hint="default" w:ascii="Times New Roman" w:hAnsi="Times New Roman" w:eastAsia="仿宋" w:cs="Times New Roman"/>
          <w:snapToGrid w:val="0"/>
          <w:color w:val="000000"/>
          <w:kern w:val="0"/>
          <w:sz w:val="24"/>
          <w:szCs w:val="24"/>
          <w:vertAlign w:val="baseline"/>
          <w:lang w:val="en-US" w:eastAsia="zh-CN" w:bidi="ar-SA"/>
        </w:rPr>
        <w:sectPr>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08EBF037">
      <w:pPr>
        <w:keepNext w:val="0"/>
        <w:keepLines w:val="0"/>
        <w:pageBreakBefore w:val="0"/>
        <w:widowControl w:val="0"/>
        <w:topLinePunct w:val="0"/>
        <w:bidi w:val="0"/>
        <w:jc w:val="center"/>
        <w:rPr>
          <w:rFonts w:hint="default" w:ascii="Times New Roman" w:hAnsi="Times New Roman" w:eastAsia="黑体" w:cs="Times New Roman"/>
          <w:snapToGrid w:val="0"/>
          <w:color w:val="000000"/>
          <w:kern w:val="0"/>
          <w:sz w:val="32"/>
          <w:szCs w:val="32"/>
          <w:vertAlign w:val="baseline"/>
          <w:lang w:val="en-US" w:eastAsia="zh-CN" w:bidi="ar-SA"/>
        </w:rPr>
      </w:pPr>
      <w:r>
        <w:rPr>
          <w:rFonts w:hint="default" w:ascii="Times New Roman" w:hAnsi="Times New Roman" w:eastAsia="黑体" w:cs="Times New Roman"/>
          <w:snapToGrid w:val="0"/>
          <w:color w:val="000000"/>
          <w:kern w:val="0"/>
          <w:sz w:val="32"/>
          <w:szCs w:val="32"/>
          <w:vertAlign w:val="baseline"/>
          <w:lang w:val="en-US" w:eastAsia="zh-CN" w:bidi="ar-SA"/>
        </w:rPr>
        <w:t>四、真实性声明</w:t>
      </w:r>
    </w:p>
    <w:tbl>
      <w:tblPr>
        <w:tblStyle w:val="24"/>
        <w:tblW w:w="8709" w:type="dxa"/>
        <w:tblInd w:w="0" w:type="dxa"/>
        <w:tblLayout w:type="fixed"/>
        <w:tblCellMar>
          <w:top w:w="0" w:type="dxa"/>
          <w:left w:w="108" w:type="dxa"/>
          <w:bottom w:w="0" w:type="dxa"/>
          <w:right w:w="108" w:type="dxa"/>
        </w:tblCellMar>
      </w:tblPr>
      <w:tblGrid>
        <w:gridCol w:w="8709"/>
      </w:tblGrid>
      <w:tr w14:paraId="7E428EDA">
        <w:tblPrEx>
          <w:tblCellMar>
            <w:top w:w="0" w:type="dxa"/>
            <w:left w:w="108" w:type="dxa"/>
            <w:bottom w:w="0" w:type="dxa"/>
            <w:right w:w="108" w:type="dxa"/>
          </w:tblCellMar>
        </w:tblPrEx>
        <w:trPr>
          <w:cantSplit/>
          <w:trHeight w:val="13032" w:hRule="atLeast"/>
        </w:trPr>
        <w:tc>
          <w:tcPr>
            <w:tcW w:w="8709" w:type="dxa"/>
            <w:tcBorders>
              <w:top w:val="single" w:color="auto" w:sz="4" w:space="0"/>
              <w:left w:val="single" w:color="auto" w:sz="4" w:space="0"/>
              <w:bottom w:val="single" w:color="auto" w:sz="4" w:space="0"/>
              <w:right w:val="single" w:color="000000" w:sz="4" w:space="0"/>
            </w:tcBorders>
            <w:vAlign w:val="center"/>
          </w:tcPr>
          <w:p w14:paraId="02C21A3D">
            <w:pPr>
              <w:keepNext w:val="0"/>
              <w:keepLines w:val="0"/>
              <w:pageBreakBefore w:val="0"/>
              <w:widowControl w:val="0"/>
              <w:topLinePunct w:val="0"/>
              <w:bidi w:val="0"/>
              <w:ind w:firstLine="482"/>
              <w:rPr>
                <w:rFonts w:hint="default" w:ascii="Times New Roman" w:hAnsi="Times New Roman" w:eastAsia="仿宋" w:cs="Times New Roman"/>
                <w:b/>
                <w:kern w:val="0"/>
                <w:sz w:val="24"/>
              </w:rPr>
            </w:pPr>
          </w:p>
          <w:p w14:paraId="1EBD852B">
            <w:pPr>
              <w:keepNext w:val="0"/>
              <w:keepLines w:val="0"/>
              <w:pageBreakBefore w:val="0"/>
              <w:widowControl w:val="0"/>
              <w:topLinePunct w:val="0"/>
              <w:bidi w:val="0"/>
              <w:jc w:val="center"/>
              <w:rPr>
                <w:rFonts w:hint="default" w:ascii="Times New Roman" w:hAnsi="Times New Roman" w:eastAsia="仿宋" w:cs="Times New Roman"/>
                <w:b/>
                <w:kern w:val="0"/>
                <w:sz w:val="32"/>
                <w:szCs w:val="32"/>
              </w:rPr>
            </w:pPr>
            <w:r>
              <w:rPr>
                <w:rFonts w:hint="default" w:ascii="Times New Roman" w:hAnsi="Times New Roman" w:eastAsia="仿宋" w:cs="Times New Roman"/>
                <w:b/>
                <w:kern w:val="0"/>
                <w:sz w:val="32"/>
                <w:szCs w:val="32"/>
              </w:rPr>
              <w:t>自我声明</w:t>
            </w:r>
          </w:p>
          <w:p w14:paraId="6BE6F626">
            <w:pPr>
              <w:pStyle w:val="13"/>
              <w:keepNext w:val="0"/>
              <w:keepLines w:val="0"/>
              <w:pageBreakBefore w:val="0"/>
              <w:widowControl w:val="0"/>
              <w:topLinePunct w:val="0"/>
              <w:bidi w:val="0"/>
              <w:rPr>
                <w:rFonts w:hint="default" w:ascii="Times New Roman" w:hAnsi="Times New Roman" w:cs="Times New Roman"/>
              </w:rPr>
            </w:pPr>
          </w:p>
          <w:p w14:paraId="014E66A8">
            <w:pPr>
              <w:keepNext w:val="0"/>
              <w:keepLines w:val="0"/>
              <w:pageBreakBefore w:val="0"/>
              <w:widowControl w:val="0"/>
              <w:topLinePunct w:val="0"/>
              <w:bidi w:val="0"/>
              <w:spacing w:line="360" w:lineRule="auto"/>
              <w:ind w:firstLine="480" w:firstLineChars="200"/>
              <w:rPr>
                <w:rFonts w:hint="default" w:ascii="Times New Roman" w:hAnsi="Times New Roman" w:eastAsia="仿宋" w:cs="Times New Roman"/>
                <w:kern w:val="0"/>
                <w:sz w:val="24"/>
                <w:szCs w:val="24"/>
              </w:rPr>
            </w:pPr>
          </w:p>
          <w:p w14:paraId="01F41FAE">
            <w:pPr>
              <w:keepNext w:val="0"/>
              <w:keepLines w:val="0"/>
              <w:pageBreakBefore w:val="0"/>
              <w:widowControl w:val="0"/>
              <w:topLinePunct w:val="0"/>
              <w:bidi w:val="0"/>
              <w:spacing w:line="360" w:lineRule="auto"/>
              <w:ind w:firstLine="480" w:firstLineChars="200"/>
              <w:rPr>
                <w:rFonts w:hint="default" w:ascii="Times New Roman" w:hAnsi="Times New Roman" w:eastAsia="仿宋" w:cs="Times New Roman"/>
                <w:kern w:val="0"/>
                <w:sz w:val="24"/>
                <w:szCs w:val="24"/>
              </w:rPr>
            </w:pPr>
          </w:p>
          <w:p w14:paraId="53BC31F9">
            <w:pPr>
              <w:keepNext w:val="0"/>
              <w:keepLines w:val="0"/>
              <w:pageBreakBefore w:val="0"/>
              <w:widowControl w:val="0"/>
              <w:topLinePunct w:val="0"/>
              <w:bidi w:val="0"/>
              <w:spacing w:line="360" w:lineRule="auto"/>
              <w:ind w:firstLine="480" w:firstLineChars="200"/>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我单位郑重承诺：</w:t>
            </w:r>
          </w:p>
          <w:p w14:paraId="29B3C19D">
            <w:pPr>
              <w:keepNext w:val="0"/>
              <w:keepLines w:val="0"/>
              <w:pageBreakBefore w:val="0"/>
              <w:widowControl w:val="0"/>
              <w:topLinePunct w:val="0"/>
              <w:bidi w:val="0"/>
              <w:spacing w:line="360" w:lineRule="auto"/>
              <w:ind w:firstLine="480" w:firstLineChars="200"/>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本次申报绿色工厂所提交的相关数据和信息均准确、真实、有效，如存在数据造假情况，愿承担由此产生的相应责任。</w:t>
            </w:r>
          </w:p>
          <w:p w14:paraId="78881650">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0E5691E9">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19FD8F65">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381E2D26">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5CFB3DB0">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012A79B8">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30D2FA4C">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322DD811">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3A79CEDA">
            <w:pPr>
              <w:pStyle w:val="23"/>
              <w:keepNext w:val="0"/>
              <w:keepLines w:val="0"/>
              <w:pageBreakBefore w:val="0"/>
              <w:widowControl w:val="0"/>
              <w:topLinePunct w:val="0"/>
              <w:bidi w:val="0"/>
              <w:rPr>
                <w:rFonts w:hint="default" w:ascii="Times New Roman" w:hAnsi="Times New Roman" w:eastAsia="仿宋" w:cs="Times New Roman"/>
                <w:kern w:val="0"/>
                <w:sz w:val="24"/>
                <w:szCs w:val="24"/>
              </w:rPr>
            </w:pPr>
          </w:p>
          <w:p w14:paraId="54DF7F41">
            <w:pPr>
              <w:keepNext w:val="0"/>
              <w:keepLines w:val="0"/>
              <w:pageBreakBefore w:val="0"/>
              <w:widowControl w:val="0"/>
              <w:topLinePunct w:val="0"/>
              <w:bidi w:val="0"/>
              <w:ind w:firstLine="496" w:firstLineChars="207"/>
              <w:rPr>
                <w:rFonts w:hint="default" w:ascii="Times New Roman" w:hAnsi="Times New Roman" w:eastAsia="仿宋" w:cs="Times New Roman"/>
                <w:kern w:val="0"/>
                <w:sz w:val="24"/>
                <w:szCs w:val="24"/>
              </w:rPr>
            </w:pPr>
          </w:p>
          <w:p w14:paraId="186B88D6">
            <w:pPr>
              <w:pStyle w:val="13"/>
              <w:keepNext w:val="0"/>
              <w:keepLines w:val="0"/>
              <w:pageBreakBefore w:val="0"/>
              <w:widowControl w:val="0"/>
              <w:topLinePunct w:val="0"/>
              <w:bidi w:val="0"/>
              <w:rPr>
                <w:rFonts w:hint="default" w:ascii="Times New Roman" w:hAnsi="Times New Roman" w:cs="Times New Roman"/>
                <w:sz w:val="24"/>
                <w:szCs w:val="24"/>
              </w:rPr>
            </w:pPr>
          </w:p>
          <w:p w14:paraId="4FB67104">
            <w:pPr>
              <w:keepNext w:val="0"/>
              <w:keepLines w:val="0"/>
              <w:pageBreakBefore w:val="0"/>
              <w:widowControl w:val="0"/>
              <w:topLinePunct w:val="0"/>
              <w:bidi w:val="0"/>
              <w:ind w:firstLine="640"/>
              <w:rPr>
                <w:rFonts w:hint="default" w:ascii="Times New Roman" w:hAnsi="Times New Roman" w:cs="Times New Roman"/>
                <w:sz w:val="24"/>
                <w:szCs w:val="24"/>
              </w:rPr>
            </w:pPr>
          </w:p>
          <w:p w14:paraId="40741133">
            <w:pPr>
              <w:pStyle w:val="13"/>
              <w:keepNext w:val="0"/>
              <w:keepLines w:val="0"/>
              <w:pageBreakBefore w:val="0"/>
              <w:widowControl w:val="0"/>
              <w:topLinePunct w:val="0"/>
              <w:bidi w:val="0"/>
              <w:rPr>
                <w:rFonts w:hint="default" w:ascii="Times New Roman" w:hAnsi="Times New Roman" w:cs="Times New Roman"/>
                <w:sz w:val="24"/>
                <w:szCs w:val="24"/>
              </w:rPr>
            </w:pPr>
          </w:p>
          <w:p w14:paraId="7A6F87EF">
            <w:pPr>
              <w:keepNext w:val="0"/>
              <w:keepLines w:val="0"/>
              <w:pageBreakBefore w:val="0"/>
              <w:widowControl w:val="0"/>
              <w:topLinePunct w:val="0"/>
              <w:bidi w:val="0"/>
              <w:ind w:firstLine="640"/>
              <w:rPr>
                <w:rFonts w:hint="default" w:ascii="Times New Roman" w:hAnsi="Times New Roman" w:cs="Times New Roman"/>
                <w:sz w:val="24"/>
                <w:szCs w:val="24"/>
              </w:rPr>
            </w:pPr>
          </w:p>
          <w:p w14:paraId="139B749B">
            <w:pPr>
              <w:pStyle w:val="13"/>
              <w:keepNext w:val="0"/>
              <w:keepLines w:val="0"/>
              <w:pageBreakBefore w:val="0"/>
              <w:widowControl w:val="0"/>
              <w:topLinePunct w:val="0"/>
              <w:bidi w:val="0"/>
              <w:rPr>
                <w:rFonts w:hint="default" w:ascii="Times New Roman" w:hAnsi="Times New Roman" w:cs="Times New Roman"/>
                <w:sz w:val="24"/>
                <w:szCs w:val="24"/>
              </w:rPr>
            </w:pPr>
          </w:p>
          <w:p w14:paraId="2A39E1D3">
            <w:pPr>
              <w:keepNext w:val="0"/>
              <w:keepLines w:val="0"/>
              <w:pageBreakBefore w:val="0"/>
              <w:widowControl w:val="0"/>
              <w:topLinePunct w:val="0"/>
              <w:bidi w:val="0"/>
              <w:ind w:firstLine="640"/>
              <w:rPr>
                <w:rFonts w:hint="default" w:ascii="Times New Roman" w:hAnsi="Times New Roman" w:cs="Times New Roman"/>
                <w:sz w:val="24"/>
                <w:szCs w:val="24"/>
              </w:rPr>
            </w:pPr>
          </w:p>
          <w:p w14:paraId="3C15DB67">
            <w:pPr>
              <w:pStyle w:val="13"/>
              <w:keepNext w:val="0"/>
              <w:keepLines w:val="0"/>
              <w:pageBreakBefore w:val="0"/>
              <w:widowControl w:val="0"/>
              <w:topLinePunct w:val="0"/>
              <w:bidi w:val="0"/>
              <w:rPr>
                <w:rFonts w:hint="default" w:ascii="Times New Roman" w:hAnsi="Times New Roman" w:cs="Times New Roman"/>
                <w:sz w:val="24"/>
                <w:szCs w:val="24"/>
              </w:rPr>
            </w:pPr>
          </w:p>
          <w:p w14:paraId="6614ACDF">
            <w:pPr>
              <w:keepNext w:val="0"/>
              <w:keepLines w:val="0"/>
              <w:pageBreakBefore w:val="0"/>
              <w:widowControl w:val="0"/>
              <w:topLinePunct w:val="0"/>
              <w:bidi w:val="0"/>
              <w:ind w:firstLine="640"/>
              <w:rPr>
                <w:rFonts w:hint="default" w:ascii="Times New Roman" w:hAnsi="Times New Roman" w:cs="Times New Roman"/>
                <w:sz w:val="24"/>
                <w:szCs w:val="24"/>
              </w:rPr>
            </w:pPr>
          </w:p>
          <w:p w14:paraId="06AC5341">
            <w:pPr>
              <w:keepNext w:val="0"/>
              <w:keepLines w:val="0"/>
              <w:pageBreakBefore w:val="0"/>
              <w:widowControl w:val="0"/>
              <w:wordWrap w:val="0"/>
              <w:topLinePunct w:val="0"/>
              <w:bidi w:val="0"/>
              <w:ind w:firstLine="482"/>
              <w:jc w:val="center"/>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法定代表人签字：  </w:t>
            </w:r>
          </w:p>
          <w:p w14:paraId="40A4BFAA">
            <w:pPr>
              <w:keepNext w:val="0"/>
              <w:keepLines w:val="0"/>
              <w:pageBreakBefore w:val="0"/>
              <w:widowControl w:val="0"/>
              <w:wordWrap w:val="0"/>
              <w:topLinePunct w:val="0"/>
              <w:bidi w:val="0"/>
              <w:ind w:firstLine="482"/>
              <w:jc w:val="center"/>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w:t>
            </w:r>
          </w:p>
          <w:p w14:paraId="1D4FA406">
            <w:pPr>
              <w:keepNext w:val="0"/>
              <w:keepLines w:val="0"/>
              <w:pageBreakBefore w:val="0"/>
              <w:widowControl w:val="0"/>
              <w:topLinePunct w:val="0"/>
              <w:bidi w:val="0"/>
              <w:ind w:firstLine="482"/>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（公章）</w:t>
            </w:r>
          </w:p>
          <w:p w14:paraId="420E7D5B">
            <w:pPr>
              <w:pStyle w:val="23"/>
              <w:keepNext w:val="0"/>
              <w:keepLines w:val="0"/>
              <w:pageBreakBefore w:val="0"/>
              <w:widowControl w:val="0"/>
              <w:topLinePunct w:val="0"/>
              <w:bidi w:val="0"/>
              <w:rPr>
                <w:rFonts w:hint="default" w:ascii="Times New Roman" w:hAnsi="Times New Roman" w:cs="Times New Roman"/>
                <w:sz w:val="24"/>
                <w:szCs w:val="24"/>
              </w:rPr>
            </w:pPr>
          </w:p>
          <w:p w14:paraId="5BCA3D92">
            <w:pPr>
              <w:keepNext w:val="0"/>
              <w:keepLines w:val="0"/>
              <w:pageBreakBefore w:val="0"/>
              <w:widowControl w:val="0"/>
              <w:wordWrap w:val="0"/>
              <w:topLinePunct w:val="0"/>
              <w:bidi w:val="0"/>
              <w:ind w:firstLine="482"/>
              <w:jc w:val="center"/>
              <w:rPr>
                <w:rFonts w:hint="default" w:ascii="Times New Roman" w:hAnsi="Times New Roman" w:eastAsia="仿宋" w:cs="Times New Roman"/>
                <w:b/>
                <w:kern w:val="0"/>
                <w:sz w:val="24"/>
              </w:rPr>
            </w:pPr>
            <w:r>
              <w:rPr>
                <w:rFonts w:hint="default" w:ascii="Times New Roman" w:hAnsi="Times New Roman" w:eastAsia="仿宋" w:cs="Times New Roman"/>
                <w:b/>
                <w:kern w:val="0"/>
                <w:sz w:val="24"/>
                <w:szCs w:val="24"/>
              </w:rPr>
              <w:t xml:space="preserve">                                         日期：     </w:t>
            </w:r>
            <w:r>
              <w:rPr>
                <w:rFonts w:hint="default" w:ascii="Times New Roman" w:hAnsi="Times New Roman" w:eastAsia="仿宋" w:cs="Times New Roman"/>
                <w:b/>
                <w:kern w:val="0"/>
                <w:sz w:val="24"/>
              </w:rPr>
              <w:t xml:space="preserve">      </w:t>
            </w:r>
          </w:p>
          <w:p w14:paraId="78D396E6">
            <w:pPr>
              <w:keepNext w:val="0"/>
              <w:keepLines w:val="0"/>
              <w:pageBreakBefore w:val="0"/>
              <w:widowControl w:val="0"/>
              <w:topLinePunct w:val="0"/>
              <w:bidi w:val="0"/>
              <w:ind w:firstLine="640"/>
              <w:jc w:val="left"/>
              <w:rPr>
                <w:rFonts w:hint="default" w:ascii="Times New Roman" w:hAnsi="Times New Roman" w:cs="Times New Roman"/>
                <w:kern w:val="0"/>
                <w:szCs w:val="21"/>
                <w:u w:val="single"/>
              </w:rPr>
            </w:pPr>
          </w:p>
        </w:tc>
      </w:tr>
    </w:tbl>
    <w:p w14:paraId="2A556876">
      <w:pPr>
        <w:keepNext w:val="0"/>
        <w:keepLines w:val="0"/>
        <w:pageBreakBefore w:val="0"/>
        <w:widowControl w:val="0"/>
        <w:topLinePunct w:val="0"/>
        <w:bidi w:val="0"/>
        <w:jc w:val="center"/>
        <w:rPr>
          <w:rFonts w:hint="default" w:ascii="Times New Roman" w:hAnsi="Times New Roman" w:eastAsia="仿宋" w:cs="Times New Roman"/>
          <w:snapToGrid w:val="0"/>
          <w:color w:val="000000"/>
          <w:kern w:val="0"/>
          <w:sz w:val="24"/>
          <w:szCs w:val="24"/>
          <w:vertAlign w:val="baseline"/>
          <w:lang w:val="en-US" w:eastAsia="zh-CN" w:bidi="ar-SA"/>
        </w:rPr>
      </w:pPr>
    </w:p>
    <w:p w14:paraId="38AA0FD2">
      <w:pPr>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br w:type="page"/>
      </w:r>
    </w:p>
    <w:p w14:paraId="532B2283">
      <w:pPr>
        <w:keepNext w:val="0"/>
        <w:keepLines w:val="0"/>
        <w:pageBreakBefore w:val="0"/>
        <w:widowControl w:val="0"/>
        <w:kinsoku w:val="0"/>
        <w:wordWrap/>
        <w:overflowPunct/>
        <w:topLinePunct w:val="0"/>
        <w:autoSpaceDE w:val="0"/>
        <w:autoSpaceDN w:val="0"/>
        <w:bidi w:val="0"/>
        <w:adjustRightInd w:val="0"/>
        <w:snapToGrid w:val="0"/>
        <w:spacing w:line="600" w:lineRule="exact"/>
        <w:jc w:val="center"/>
        <w:textAlignment w:val="baseline"/>
        <w:rPr>
          <w:rFonts w:hint="default" w:ascii="Times New Roman" w:hAnsi="Times New Roman" w:eastAsia="黑体" w:cs="Times New Roman"/>
          <w:snapToGrid w:val="0"/>
          <w:color w:val="000000"/>
          <w:kern w:val="0"/>
          <w:sz w:val="32"/>
          <w:szCs w:val="32"/>
          <w:vertAlign w:val="baseline"/>
          <w:lang w:val="en-US" w:eastAsia="zh-CN" w:bidi="ar-SA"/>
        </w:rPr>
      </w:pPr>
      <w:r>
        <w:rPr>
          <w:rFonts w:hint="default" w:ascii="Times New Roman" w:hAnsi="Times New Roman" w:eastAsia="黑体" w:cs="Times New Roman"/>
          <w:snapToGrid w:val="0"/>
          <w:color w:val="000000"/>
          <w:kern w:val="0"/>
          <w:sz w:val="32"/>
          <w:szCs w:val="32"/>
          <w:vertAlign w:val="baseline"/>
          <w:lang w:val="en-US" w:eastAsia="zh-CN" w:bidi="ar-SA"/>
        </w:rPr>
        <w:t>五、附件</w:t>
      </w:r>
    </w:p>
    <w:p w14:paraId="425BF3E2">
      <w:pPr>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p>
    <w:p w14:paraId="5B4F670C">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（一）基本要求</w:t>
      </w:r>
      <w:r>
        <w:rPr>
          <w:rFonts w:hint="eastAsia" w:ascii="Times New Roman" w:hAnsi="Times New Roman" w:eastAsia="仿宋" w:cs="Times New Roman"/>
          <w:snapToGrid w:val="0"/>
          <w:color w:val="000000"/>
          <w:kern w:val="0"/>
          <w:sz w:val="32"/>
          <w:szCs w:val="32"/>
          <w:vertAlign w:val="baseline"/>
          <w:lang w:val="en-US" w:eastAsia="zh-CN" w:bidi="ar-SA"/>
        </w:rPr>
        <w:t>附件</w:t>
      </w:r>
    </w:p>
    <w:p w14:paraId="2006BA09">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1.1企业营业执照</w:t>
      </w:r>
    </w:p>
    <w:p w14:paraId="4CE451B9">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1.2信用中国、国家企业信用信息公示系统无违法违规相关页面截图</w:t>
      </w:r>
    </w:p>
    <w:p w14:paraId="5B03726E">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1.3中国执行信息公开网（https</w:t>
      </w:r>
      <w:r>
        <w:rPr>
          <w:rFonts w:hint="eastAsia" w:ascii="Times New Roman" w:hAnsi="Times New Roman" w:eastAsia="仿宋" w:cs="Times New Roman"/>
          <w:snapToGrid w:val="0"/>
          <w:color w:val="000000"/>
          <w:kern w:val="0"/>
          <w:sz w:val="32"/>
          <w:szCs w:val="32"/>
          <w:vertAlign w:val="baseline"/>
          <w:lang w:val="en-US" w:eastAsia="zh-CN" w:bidi="ar-SA"/>
        </w:rPr>
        <w:t>：</w:t>
      </w:r>
      <w:r>
        <w:rPr>
          <w:rFonts w:hint="default" w:ascii="Times New Roman" w:hAnsi="Times New Roman" w:eastAsia="仿宋" w:cs="Times New Roman"/>
          <w:snapToGrid w:val="0"/>
          <w:color w:val="000000"/>
          <w:kern w:val="0"/>
          <w:sz w:val="32"/>
          <w:szCs w:val="32"/>
          <w:vertAlign w:val="baseline"/>
          <w:lang w:val="en-US" w:eastAsia="zh-CN" w:bidi="ar-SA"/>
        </w:rPr>
        <w:t>//zxgk.court.gov.cn/）被执行人信息查询页面截图</w:t>
      </w:r>
    </w:p>
    <w:p w14:paraId="19BF2946">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2.1绿色工厂管理组织架构及职责分配相关制度文件</w:t>
      </w:r>
    </w:p>
    <w:p w14:paraId="16B7350D">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2.2经批准的工厂绿色低碳发展中长期规划</w:t>
      </w:r>
    </w:p>
    <w:p w14:paraId="677B662B">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2.3规划中有关评价年的年度目标，评价年的年度目标、指标和实施方案及其达成统计</w:t>
      </w:r>
    </w:p>
    <w:p w14:paraId="3B07E6EC">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3.1管理体系手册</w:t>
      </w:r>
    </w:p>
    <w:p w14:paraId="3730E021">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3.2体系文件清单</w:t>
      </w:r>
    </w:p>
    <w:p w14:paraId="492544AF">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eastAsia" w:ascii="Times New Roman" w:hAnsi="Times New Roman" w:eastAsia="仿宋" w:cs="Times New Roman"/>
          <w:snapToGrid w:val="0"/>
          <w:color w:val="000000"/>
          <w:kern w:val="0"/>
          <w:sz w:val="32"/>
          <w:szCs w:val="32"/>
          <w:vertAlign w:val="baseline"/>
          <w:lang w:val="en-US" w:eastAsia="zh-CN" w:bidi="ar-SA"/>
        </w:rPr>
        <w:t>0.</w:t>
      </w:r>
      <w:r>
        <w:rPr>
          <w:rFonts w:hint="default" w:ascii="Times New Roman" w:hAnsi="Times New Roman" w:eastAsia="仿宋" w:cs="Times New Roman"/>
          <w:snapToGrid w:val="0"/>
          <w:color w:val="000000"/>
          <w:kern w:val="0"/>
          <w:sz w:val="32"/>
          <w:szCs w:val="32"/>
          <w:vertAlign w:val="baseline"/>
          <w:lang w:val="en-US" w:eastAsia="zh-CN" w:bidi="ar-SA"/>
        </w:rPr>
        <w:t>3.3评价年</w:t>
      </w:r>
      <w:r>
        <w:rPr>
          <w:rFonts w:hint="eastAsia" w:ascii="Times New Roman" w:hAnsi="Times New Roman" w:eastAsia="仿宋" w:cs="Times New Roman"/>
          <w:snapToGrid w:val="0"/>
          <w:color w:val="000000"/>
          <w:kern w:val="0"/>
          <w:sz w:val="32"/>
          <w:szCs w:val="32"/>
          <w:vertAlign w:val="baseline"/>
          <w:lang w:val="en-US" w:eastAsia="zh-CN" w:bidi="ar-SA"/>
        </w:rPr>
        <w:t>度</w:t>
      </w:r>
      <w:r>
        <w:rPr>
          <w:rFonts w:hint="default" w:ascii="Times New Roman" w:hAnsi="Times New Roman" w:eastAsia="仿宋" w:cs="Times New Roman"/>
          <w:snapToGrid w:val="0"/>
          <w:color w:val="000000"/>
          <w:kern w:val="0"/>
          <w:sz w:val="32"/>
          <w:szCs w:val="32"/>
          <w:vertAlign w:val="baseline"/>
          <w:lang w:val="en-US" w:eastAsia="zh-CN" w:bidi="ar-SA"/>
        </w:rPr>
        <w:t>体系内审及管理评审报告</w:t>
      </w:r>
    </w:p>
    <w:p w14:paraId="19F3E16C">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（二）技术要求</w:t>
      </w:r>
      <w:r>
        <w:rPr>
          <w:rFonts w:hint="eastAsia" w:ascii="Times New Roman" w:hAnsi="Times New Roman" w:eastAsia="仿宋" w:cs="Times New Roman"/>
          <w:snapToGrid w:val="0"/>
          <w:color w:val="000000"/>
          <w:kern w:val="0"/>
          <w:sz w:val="32"/>
          <w:szCs w:val="32"/>
          <w:vertAlign w:val="baseline"/>
          <w:lang w:val="en-US" w:eastAsia="zh-CN" w:bidi="ar-SA"/>
        </w:rPr>
        <w:t>附件</w:t>
      </w:r>
    </w:p>
    <w:p w14:paraId="730BFFFF">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1.1单位产值综合能耗指标计算过程表</w:t>
      </w:r>
    </w:p>
    <w:p w14:paraId="0C41D6DE">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1.2报统计部门《工业产销总值及主要产品产量》（B204-1）</w:t>
      </w:r>
    </w:p>
    <w:p w14:paraId="219B3484">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1.3《能源购进、消费与库存》（205-1表）</w:t>
      </w:r>
    </w:p>
    <w:p w14:paraId="6EF5D783">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2.1单位产值碳排放量指标计算过程表</w:t>
      </w:r>
    </w:p>
    <w:p w14:paraId="5D3595CE">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2.2温室气体排放报告（依据相关核算标准给出的报告模板）</w:t>
      </w:r>
    </w:p>
    <w:p w14:paraId="08D5B326">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3.1可再生能源利用率指标计算过程表</w:t>
      </w:r>
    </w:p>
    <w:p w14:paraId="36F9CB74">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3.2《可再生能源电力消费核算清单》</w:t>
      </w:r>
    </w:p>
    <w:p w14:paraId="28DC664A">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3.3可再生能源消费凭证，例如绿色电力市场化交易合同、交易结算凭证、绿证（GEC）等可再生能源电力消费凭证，非电力形式可再生能源利用相关合同、协议等（注：《可再生能源电力消费核算清单》可由电力交易机构出具或企业自行整理填报（模板见石家庄市绿色工厂申报材料说明</w:t>
      </w:r>
      <w:r>
        <w:rPr>
          <w:rFonts w:hint="eastAsia" w:ascii="Times New Roman" w:hAnsi="Times New Roman" w:eastAsia="仿宋" w:cs="Times New Roman"/>
          <w:snapToGrid w:val="0"/>
          <w:color w:val="000000"/>
          <w:kern w:val="0"/>
          <w:sz w:val="32"/>
          <w:szCs w:val="32"/>
          <w:vertAlign w:val="baseline"/>
          <w:lang w:val="en-US" w:eastAsia="zh-CN" w:bidi="ar-SA"/>
        </w:rPr>
        <w:t>有关说明</w:t>
      </w:r>
      <w:r>
        <w:rPr>
          <w:rFonts w:hint="default" w:ascii="Times New Roman" w:hAnsi="Times New Roman" w:eastAsia="仿宋" w:cs="Times New Roman"/>
          <w:snapToGrid w:val="0"/>
          <w:color w:val="000000"/>
          <w:kern w:val="0"/>
          <w:sz w:val="32"/>
          <w:szCs w:val="32"/>
          <w:vertAlign w:val="baseline"/>
          <w:lang w:val="en-US" w:eastAsia="zh-CN" w:bidi="ar-SA"/>
        </w:rPr>
        <w:t>）；如提供了电力交易机构出具的带签章、编号的核算清单，其内容覆盖的绿色电力市场化交易合同、交易结算凭证、绿证（GEC）等可再生能源电力消费凭证可免予提供；如企业自行整理填报，则需将相关凭证顺次整理并随附）</w:t>
      </w:r>
    </w:p>
    <w:p w14:paraId="30532FBC">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4.1平台系统架构设计文档，说明与相关业务功能的对应关系</w:t>
      </w:r>
    </w:p>
    <w:p w14:paraId="71BB8F24">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4.2平台功能实现或效果验证材料，例如用户操作手册、功能截图（大屏看板、APP能耗实时展示等功能界面）等</w:t>
      </w:r>
    </w:p>
    <w:p w14:paraId="56DCE45B">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5.1提供本单位减少生产过程中原辅材料消耗的应用案例</w:t>
      </w:r>
    </w:p>
    <w:p w14:paraId="326A6758">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5.2提供本单位使用再生材料、回收再利用材料或可回收材料替代原生材料、不可回收材料改善应用案例</w:t>
      </w:r>
    </w:p>
    <w:p w14:paraId="5B5EBB95">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6.1单位产值取水量指标计算过程表</w:t>
      </w:r>
    </w:p>
    <w:p w14:paraId="2CE31563">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6.2报统计部门《工业企业用水情况》（205-4表）</w:t>
      </w:r>
    </w:p>
    <w:p w14:paraId="5C80E652">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6.3工业用水统计台账</w:t>
      </w:r>
    </w:p>
    <w:p w14:paraId="5121B3C5">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7.1工业用水重复利用率指标计算过程表</w:t>
      </w:r>
    </w:p>
    <w:p w14:paraId="640C1F26">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7.2重复用水量证明，例如循环水量、串联水量、废水处理回用水量等计量或记录台账</w:t>
      </w:r>
    </w:p>
    <w:p w14:paraId="13C50BC6">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7.3重复用水设施、关键区域现场实景照片</w:t>
      </w:r>
    </w:p>
    <w:p w14:paraId="41332846">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8.1一般工业固体废物综合利用率指标计算过程表</w:t>
      </w:r>
    </w:p>
    <w:p w14:paraId="496A5C1C">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8.2一般工业固体废物统计台账，包含年度产生量、综合利用量、综合利用往年贮存量等指标计算关键参数信息</w:t>
      </w:r>
    </w:p>
    <w:p w14:paraId="599B6BD1">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8.3综合利用证明，例如资源化技术方案、工艺流程图等自行利用说明；委外综合利用协议及综合利用单位资质证明、转移量确认单或相关凭证</w:t>
      </w:r>
    </w:p>
    <w:p w14:paraId="7C59FE20">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9.1采用相关生产工艺和设备的说明</w:t>
      </w:r>
    </w:p>
    <w:p w14:paraId="50F22A6E">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10.1近三年绿色低碳改造升级项目清单（</w:t>
      </w:r>
      <w:r>
        <w:rPr>
          <w:rFonts w:hint="eastAsia" w:ascii="Times New Roman" w:hAnsi="Times New Roman" w:eastAsia="仿宋" w:cs="Times New Roman"/>
          <w:snapToGrid w:val="0"/>
          <w:color w:val="000000"/>
          <w:kern w:val="0"/>
          <w:sz w:val="32"/>
          <w:szCs w:val="32"/>
          <w:vertAlign w:val="baseline"/>
          <w:lang w:val="en-US" w:eastAsia="zh-CN" w:bidi="ar-SA"/>
        </w:rPr>
        <w:t>2023-2025年</w:t>
      </w:r>
      <w:r>
        <w:rPr>
          <w:rFonts w:hint="default" w:ascii="Times New Roman" w:hAnsi="Times New Roman" w:eastAsia="仿宋" w:cs="Times New Roman"/>
          <w:snapToGrid w:val="0"/>
          <w:color w:val="000000"/>
          <w:kern w:val="0"/>
          <w:sz w:val="32"/>
          <w:szCs w:val="32"/>
          <w:vertAlign w:val="baseline"/>
          <w:lang w:val="en-US" w:eastAsia="zh-CN" w:bidi="ar-SA"/>
        </w:rPr>
        <w:t>）</w:t>
      </w:r>
    </w:p>
    <w:p w14:paraId="54B2899A">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10.2近3年绿色低碳改造升级项目投资额占比指标计算过程表</w:t>
      </w:r>
    </w:p>
    <w:p w14:paraId="6FE40C1E">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10.3项目投资证明，例如项目合同、验收材料、支付凭证、专项审计报告等</w:t>
      </w:r>
    </w:p>
    <w:p w14:paraId="14A29AF1">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11.1废水主要污染物年均排放浓度优于许可排放浓度限值的最低比例指标计算过程表</w:t>
      </w:r>
    </w:p>
    <w:p w14:paraId="54E15337">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11.2废气主要污染物年均排放浓度优于许可排放浓度限值的最低比例指标计算过程表</w:t>
      </w:r>
    </w:p>
    <w:p w14:paraId="42B7AB1A">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11.3排污许可相关文件，例如排污许可证正本、副本，排污登记表</w:t>
      </w:r>
    </w:p>
    <w:p w14:paraId="19CD8237">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11.4污染物在线监测记录（包含年均排放浓度数据），如不能提供，请提交环境</w:t>
      </w:r>
      <w:r>
        <w:rPr>
          <w:rFonts w:hint="eastAsia" w:ascii="Times New Roman" w:hAnsi="Times New Roman" w:eastAsia="仿宋" w:cs="Times New Roman"/>
          <w:snapToGrid w:val="0"/>
          <w:color w:val="000000"/>
          <w:kern w:val="0"/>
          <w:sz w:val="32"/>
          <w:szCs w:val="32"/>
          <w:vertAlign w:val="baseline"/>
          <w:lang w:val="en-US" w:eastAsia="zh-CN" w:bidi="ar-SA"/>
        </w:rPr>
        <w:t>监测</w:t>
      </w:r>
      <w:r>
        <w:rPr>
          <w:rFonts w:hint="default" w:ascii="Times New Roman" w:hAnsi="Times New Roman" w:eastAsia="仿宋" w:cs="Times New Roman"/>
          <w:snapToGrid w:val="0"/>
          <w:color w:val="000000"/>
          <w:kern w:val="0"/>
          <w:sz w:val="32"/>
          <w:szCs w:val="32"/>
          <w:vertAlign w:val="baseline"/>
          <w:lang w:val="en-US" w:eastAsia="zh-CN" w:bidi="ar-SA"/>
        </w:rPr>
        <w:t>报告（原则上应保证全年监测频次不低于每季度1次，季节性生产单位应保证在生产期内监测次数不少于4次或不低于每月1次）</w:t>
      </w:r>
    </w:p>
    <w:p w14:paraId="3BECDAB7">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11.5污染物治理措施说明</w:t>
      </w:r>
    </w:p>
    <w:p w14:paraId="2364BD29">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12.1绿色设计典型应用案例（围绕轻量化、无害化、长寿命、节能、易回收、可拆解、易再生等方面提供绿色设计典型应用案例，全面展示企业研发人员在设计环节运用绿色设计理念开展绿色设计）</w:t>
      </w:r>
    </w:p>
    <w:p w14:paraId="1E77805B">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13.1开展碳足迹核算产品类别占比指标计算过程表</w:t>
      </w:r>
    </w:p>
    <w:p w14:paraId="319E5900">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13.2提供评价年相关产品碳足迹报告</w:t>
      </w:r>
      <w:r>
        <w:rPr>
          <w:rFonts w:hint="eastAsia" w:ascii="Times New Roman" w:hAnsi="Times New Roman" w:eastAsia="仿宋" w:cs="Times New Roman"/>
          <w:snapToGrid w:val="0"/>
          <w:color w:val="000000"/>
          <w:kern w:val="0"/>
          <w:sz w:val="32"/>
          <w:szCs w:val="32"/>
          <w:vertAlign w:val="baseline"/>
          <w:lang w:val="en-US" w:eastAsia="zh-CN" w:bidi="ar-SA"/>
        </w:rPr>
        <w:t>（</w:t>
      </w:r>
      <w:r>
        <w:rPr>
          <w:rFonts w:hint="default" w:ascii="Times New Roman" w:hAnsi="Times New Roman" w:eastAsia="仿宋" w:cs="Times New Roman"/>
          <w:snapToGrid w:val="0"/>
          <w:color w:val="000000"/>
          <w:kern w:val="0"/>
          <w:sz w:val="32"/>
          <w:szCs w:val="32"/>
          <w:vertAlign w:val="baseline"/>
          <w:lang w:val="en-US" w:eastAsia="zh-CN" w:bidi="ar-SA"/>
        </w:rPr>
        <w:t>参考GB/T24067等相关依据标准给出的报告模板</w:t>
      </w:r>
      <w:r>
        <w:rPr>
          <w:rFonts w:hint="eastAsia" w:ascii="Times New Roman" w:hAnsi="Times New Roman" w:eastAsia="仿宋" w:cs="Times New Roman"/>
          <w:snapToGrid w:val="0"/>
          <w:color w:val="000000"/>
          <w:kern w:val="0"/>
          <w:sz w:val="32"/>
          <w:szCs w:val="32"/>
          <w:vertAlign w:val="baseline"/>
          <w:lang w:val="en-US" w:eastAsia="zh-CN" w:bidi="ar-SA"/>
        </w:rPr>
        <w:t>）</w:t>
      </w:r>
    </w:p>
    <w:p w14:paraId="6E97B1F3">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14.1节能产品占比（如适用）指标计算过程表</w:t>
      </w:r>
    </w:p>
    <w:p w14:paraId="0C5FB6BB">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14.2 2级及以上能效产品产量台账</w:t>
      </w:r>
    </w:p>
    <w:p w14:paraId="7D7B69FE">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15.1单位用地面积产值指标计算过程表</w:t>
      </w:r>
    </w:p>
    <w:p w14:paraId="33E396D4">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highlight w:val="none"/>
          <w:vertAlign w:val="baseline"/>
          <w:lang w:val="en-US" w:eastAsia="zh-CN" w:bidi="ar-SA"/>
        </w:rPr>
      </w:pPr>
      <w:r>
        <w:rPr>
          <w:rFonts w:hint="default" w:ascii="Times New Roman" w:hAnsi="Times New Roman" w:eastAsia="仿宋" w:cs="Times New Roman"/>
          <w:snapToGrid w:val="0"/>
          <w:color w:val="000000"/>
          <w:kern w:val="0"/>
          <w:sz w:val="32"/>
          <w:szCs w:val="32"/>
          <w:vertAlign w:val="baseline"/>
          <w:lang w:val="en-US" w:eastAsia="zh-CN" w:bidi="ar-SA"/>
        </w:rPr>
        <w:t>15.2建筑系数</w:t>
      </w:r>
      <w:r>
        <w:rPr>
          <w:rFonts w:hint="default" w:ascii="Times New Roman" w:hAnsi="Times New Roman" w:eastAsia="仿宋" w:cs="Times New Roman"/>
          <w:snapToGrid w:val="0"/>
          <w:color w:val="000000"/>
          <w:kern w:val="0"/>
          <w:sz w:val="32"/>
          <w:szCs w:val="32"/>
          <w:highlight w:val="none"/>
          <w:vertAlign w:val="baseline"/>
          <w:lang w:val="en-US" w:eastAsia="zh-CN" w:bidi="ar-SA"/>
        </w:rPr>
        <w:t>指标计算过程表</w:t>
      </w:r>
    </w:p>
    <w:p w14:paraId="6ECF3A37">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highlight w:val="none"/>
          <w:vertAlign w:val="baseline"/>
          <w:lang w:val="en-US" w:eastAsia="zh-CN" w:bidi="ar-SA"/>
        </w:rPr>
      </w:pPr>
      <w:r>
        <w:rPr>
          <w:rFonts w:hint="default" w:ascii="Times New Roman" w:hAnsi="Times New Roman" w:eastAsia="仿宋" w:cs="Times New Roman"/>
          <w:snapToGrid w:val="0"/>
          <w:color w:val="000000"/>
          <w:kern w:val="0"/>
          <w:sz w:val="32"/>
          <w:szCs w:val="32"/>
          <w:highlight w:val="none"/>
          <w:vertAlign w:val="baseline"/>
          <w:lang w:val="en-US" w:eastAsia="zh-CN" w:bidi="ar-SA"/>
        </w:rPr>
        <w:t>15.3容积率指标计算过程表</w:t>
      </w:r>
    </w:p>
    <w:p w14:paraId="510BDFB8">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highlight w:val="none"/>
          <w:vertAlign w:val="baseline"/>
          <w:lang w:val="en-US" w:eastAsia="zh-CN" w:bidi="ar-SA"/>
        </w:rPr>
      </w:pPr>
      <w:r>
        <w:rPr>
          <w:rFonts w:hint="default" w:ascii="Times New Roman" w:hAnsi="Times New Roman" w:eastAsia="仿宋" w:cs="Times New Roman"/>
          <w:snapToGrid w:val="0"/>
          <w:color w:val="000000"/>
          <w:kern w:val="0"/>
          <w:sz w:val="32"/>
          <w:szCs w:val="32"/>
          <w:highlight w:val="none"/>
          <w:vertAlign w:val="baseline"/>
          <w:lang w:val="en-US" w:eastAsia="zh-CN" w:bidi="ar-SA"/>
        </w:rPr>
        <w:t>15.4项目建设工程规划许可证及附图</w:t>
      </w:r>
    </w:p>
    <w:p w14:paraId="578D166A">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highlight w:val="none"/>
          <w:vertAlign w:val="baseline"/>
          <w:lang w:val="en-US" w:eastAsia="zh-CN" w:bidi="ar-SA"/>
        </w:rPr>
      </w:pPr>
      <w:r>
        <w:rPr>
          <w:rFonts w:hint="default" w:ascii="Times New Roman" w:hAnsi="Times New Roman" w:eastAsia="仿宋" w:cs="Times New Roman"/>
          <w:snapToGrid w:val="0"/>
          <w:color w:val="000000"/>
          <w:kern w:val="0"/>
          <w:sz w:val="32"/>
          <w:szCs w:val="32"/>
          <w:highlight w:val="none"/>
          <w:vertAlign w:val="baseline"/>
          <w:lang w:val="en-US" w:eastAsia="zh-CN" w:bidi="ar-SA"/>
        </w:rPr>
        <w:t>15.5厂区总平面图</w:t>
      </w:r>
    </w:p>
    <w:p w14:paraId="670736CF">
      <w:pPr>
        <w:pStyle w:val="23"/>
        <w:keepNext w:val="0"/>
        <w:keepLines w:val="0"/>
        <w:pageBreakBefore w:val="0"/>
        <w:widowControl w:val="0"/>
        <w:kinsoku w:val="0"/>
        <w:wordWrap/>
        <w:overflowPunct/>
        <w:topLinePunct w:val="0"/>
        <w:autoSpaceDE w:val="0"/>
        <w:autoSpaceDN w:val="0"/>
        <w:bidi w:val="0"/>
        <w:adjustRightInd w:val="0"/>
        <w:snapToGrid w:val="0"/>
        <w:spacing w:after="0" w:line="600" w:lineRule="exact"/>
        <w:ind w:left="0" w:leftChars="0" w:firstLine="640" w:firstLineChars="200"/>
        <w:textAlignment w:val="baseline"/>
        <w:rPr>
          <w:rFonts w:hint="default" w:ascii="Times New Roman" w:hAnsi="Times New Roman" w:eastAsia="仿宋" w:cs="Times New Roman"/>
          <w:snapToGrid w:val="0"/>
          <w:color w:val="000000"/>
          <w:kern w:val="0"/>
          <w:sz w:val="32"/>
          <w:szCs w:val="32"/>
          <w:highlight w:val="none"/>
          <w:vertAlign w:val="baseline"/>
          <w:lang w:val="en-US" w:eastAsia="zh-CN" w:bidi="ar-SA"/>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default" w:ascii="Times New Roman" w:hAnsi="Times New Roman" w:eastAsia="仿宋" w:cs="Times New Roman"/>
          <w:snapToGrid w:val="0"/>
          <w:color w:val="000000"/>
          <w:kern w:val="0"/>
          <w:sz w:val="32"/>
          <w:szCs w:val="32"/>
          <w:highlight w:val="none"/>
          <w:vertAlign w:val="baseline"/>
          <w:lang w:val="en-US" w:eastAsia="zh-CN" w:bidi="ar-SA"/>
        </w:rPr>
        <w:t>15.6建构筑物一览表</w:t>
      </w:r>
    </w:p>
    <w:p w14:paraId="6D61722E">
      <w:pPr>
        <w:keepNext w:val="0"/>
        <w:keepLines w:val="0"/>
        <w:pageBreakBefore w:val="0"/>
        <w:widowControl w:val="0"/>
        <w:topLinePunct w:val="0"/>
        <w:bidi w:val="0"/>
        <w:jc w:val="both"/>
        <w:rPr>
          <w:rFonts w:hint="eastAsia" w:ascii="国标黑体" w:hAnsi="国标黑体" w:eastAsia="国标黑体" w:cs="国标黑体"/>
          <w:sz w:val="32"/>
          <w:szCs w:val="32"/>
          <w:highlight w:val="none"/>
          <w:lang w:val="en-US" w:eastAsia="zh-CN"/>
        </w:rPr>
      </w:pPr>
      <w:r>
        <w:rPr>
          <w:rFonts w:hint="eastAsia" w:ascii="国标黑体" w:hAnsi="国标黑体" w:eastAsia="国标黑体" w:cs="国标黑体"/>
          <w:sz w:val="32"/>
          <w:szCs w:val="32"/>
          <w:highlight w:val="none"/>
          <w:lang w:eastAsia="zh-CN"/>
        </w:rPr>
        <w:t>附件</w:t>
      </w:r>
      <w:r>
        <w:rPr>
          <w:rFonts w:hint="eastAsia" w:ascii="国标黑体" w:hAnsi="国标黑体" w:eastAsia="国标黑体" w:cs="国标黑体"/>
          <w:sz w:val="32"/>
          <w:szCs w:val="32"/>
          <w:highlight w:val="none"/>
          <w:lang w:val="en-US" w:eastAsia="zh-CN"/>
        </w:rPr>
        <w:t>2</w:t>
      </w:r>
    </w:p>
    <w:p w14:paraId="2D49A947">
      <w:pPr>
        <w:keepNext w:val="0"/>
        <w:keepLines w:val="0"/>
        <w:pageBreakBefore w:val="0"/>
        <w:widowControl w:val="0"/>
        <w:topLinePunct w:val="0"/>
        <w:bidi w:val="0"/>
        <w:jc w:val="center"/>
        <w:rPr>
          <w:rFonts w:hint="eastAsia" w:ascii="Times New Roman" w:hAnsi="Times New Roman" w:eastAsia="方正小标宋简体" w:cs="Times New Roman"/>
          <w:sz w:val="32"/>
          <w:szCs w:val="32"/>
          <w:highlight w:val="none"/>
          <w:lang w:eastAsia="zh-CN"/>
        </w:rPr>
      </w:pPr>
      <w:r>
        <w:rPr>
          <w:rFonts w:hint="eastAsia" w:ascii="Times New Roman" w:hAnsi="Times New Roman" w:eastAsia="方正小标宋简体" w:cs="Times New Roman"/>
          <w:sz w:val="32"/>
          <w:szCs w:val="32"/>
          <w:highlight w:val="none"/>
          <w:lang w:eastAsia="zh-CN"/>
        </w:rPr>
        <w:t>石家庄市绿色工厂申报材料说明</w:t>
      </w:r>
    </w:p>
    <w:p w14:paraId="72849A02">
      <w:pPr>
        <w:keepNext w:val="0"/>
        <w:keepLines w:val="0"/>
        <w:pageBreakBefore w:val="0"/>
        <w:widowControl w:val="0"/>
        <w:topLinePunct w:val="0"/>
        <w:bidi w:val="0"/>
        <w:jc w:val="both"/>
        <w:rPr>
          <w:rFonts w:hint="default" w:ascii="Times New Roman" w:hAnsi="Times New Roman" w:eastAsia="方正小标宋简体" w:cs="Times New Roman"/>
          <w:sz w:val="32"/>
          <w:szCs w:val="32"/>
          <w:highlight w:val="none"/>
          <w:lang w:val="en-US" w:eastAsia="zh-CN"/>
        </w:rPr>
      </w:pPr>
    </w:p>
    <w:p w14:paraId="3972C7DF">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highlight w:val="none"/>
          <w:lang w:val="en-US" w:eastAsia="zh-CN"/>
        </w:rPr>
      </w:pPr>
      <w:r>
        <w:rPr>
          <w:rFonts w:hint="eastAsia" w:ascii="Times New Roman" w:hAnsi="Times New Roman" w:eastAsia="黑体" w:cs="Times New Roman"/>
          <w:b w:val="0"/>
          <w:bCs w:val="0"/>
          <w:sz w:val="32"/>
          <w:szCs w:val="32"/>
          <w:highlight w:val="none"/>
          <w:lang w:val="en-US" w:eastAsia="zh-CN"/>
        </w:rPr>
        <w:t>一、</w:t>
      </w:r>
      <w:r>
        <w:rPr>
          <w:rFonts w:hint="default" w:ascii="Times New Roman" w:hAnsi="Times New Roman" w:eastAsia="黑体" w:cs="Times New Roman"/>
          <w:b w:val="0"/>
          <w:bCs w:val="0"/>
          <w:sz w:val="32"/>
          <w:szCs w:val="32"/>
          <w:highlight w:val="none"/>
          <w:lang w:val="en-US" w:eastAsia="zh-CN"/>
        </w:rPr>
        <w:t>绿色工厂评价要求</w:t>
      </w:r>
    </w:p>
    <w:tbl>
      <w:tblPr>
        <w:tblStyle w:val="25"/>
        <w:tblW w:w="14742" w:type="dxa"/>
        <w:tblInd w:w="-1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2"/>
        <w:gridCol w:w="525"/>
        <w:gridCol w:w="1470"/>
        <w:gridCol w:w="4410"/>
        <w:gridCol w:w="1185"/>
        <w:gridCol w:w="885"/>
        <w:gridCol w:w="2280"/>
        <w:gridCol w:w="1950"/>
        <w:gridCol w:w="915"/>
      </w:tblGrid>
      <w:tr w14:paraId="23D80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trPr>
        <w:tc>
          <w:tcPr>
            <w:tcW w:w="1122" w:type="dxa"/>
            <w:vAlign w:val="center"/>
          </w:tcPr>
          <w:p w14:paraId="5BBE5C1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highlight w:val="none"/>
                <w:vertAlign w:val="baseline"/>
                <w:lang w:val="en-US" w:eastAsia="zh-CN" w:bidi="ar-SA"/>
              </w:rPr>
            </w:pPr>
            <w:r>
              <w:rPr>
                <w:rFonts w:hint="default" w:ascii="Times New Roman" w:hAnsi="Times New Roman" w:eastAsia="仿宋" w:cs="Times New Roman"/>
                <w:b/>
                <w:bCs/>
                <w:snapToGrid w:val="0"/>
                <w:color w:val="000000"/>
                <w:kern w:val="0"/>
                <w:sz w:val="24"/>
                <w:szCs w:val="24"/>
                <w:highlight w:val="none"/>
                <w:vertAlign w:val="baseline"/>
                <w:lang w:val="en-US" w:eastAsia="zh-CN" w:bidi="ar-SA"/>
              </w:rPr>
              <w:t>一级指标</w:t>
            </w:r>
          </w:p>
        </w:tc>
        <w:tc>
          <w:tcPr>
            <w:tcW w:w="525" w:type="dxa"/>
            <w:vAlign w:val="center"/>
          </w:tcPr>
          <w:p w14:paraId="36A7AF2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highlight w:val="none"/>
                <w:vertAlign w:val="baseline"/>
                <w:lang w:val="en-US" w:eastAsia="zh-CN" w:bidi="ar-SA"/>
              </w:rPr>
            </w:pPr>
            <w:r>
              <w:rPr>
                <w:rFonts w:hint="default" w:ascii="Times New Roman" w:hAnsi="Times New Roman" w:eastAsia="仿宋" w:cs="Times New Roman"/>
                <w:b/>
                <w:bCs/>
                <w:snapToGrid w:val="0"/>
                <w:color w:val="000000"/>
                <w:kern w:val="0"/>
                <w:sz w:val="24"/>
                <w:szCs w:val="24"/>
                <w:highlight w:val="none"/>
                <w:vertAlign w:val="baseline"/>
                <w:lang w:val="en-US" w:eastAsia="zh-CN" w:bidi="ar-SA"/>
              </w:rPr>
              <w:t>序号</w:t>
            </w:r>
          </w:p>
        </w:tc>
        <w:tc>
          <w:tcPr>
            <w:tcW w:w="1470" w:type="dxa"/>
            <w:vAlign w:val="center"/>
          </w:tcPr>
          <w:p w14:paraId="55BC1C8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highlight w:val="none"/>
                <w:vertAlign w:val="baseline"/>
                <w:lang w:val="en-US" w:eastAsia="zh-CN" w:bidi="ar-SA"/>
              </w:rPr>
            </w:pPr>
            <w:r>
              <w:rPr>
                <w:rFonts w:hint="default" w:ascii="Times New Roman" w:hAnsi="Times New Roman" w:eastAsia="仿宋" w:cs="Times New Roman"/>
                <w:b/>
                <w:bCs/>
                <w:snapToGrid w:val="0"/>
                <w:color w:val="000000"/>
                <w:kern w:val="0"/>
                <w:sz w:val="24"/>
                <w:szCs w:val="24"/>
                <w:highlight w:val="none"/>
                <w:vertAlign w:val="baseline"/>
                <w:lang w:val="en-US" w:eastAsia="zh-CN" w:bidi="ar-SA"/>
              </w:rPr>
              <w:t>二级指标</w:t>
            </w:r>
          </w:p>
        </w:tc>
        <w:tc>
          <w:tcPr>
            <w:tcW w:w="4410" w:type="dxa"/>
            <w:vAlign w:val="center"/>
          </w:tcPr>
          <w:p w14:paraId="5C385E2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highlight w:val="none"/>
                <w:vertAlign w:val="baseline"/>
                <w:lang w:val="en-US" w:eastAsia="zh-CN" w:bidi="ar-SA"/>
              </w:rPr>
            </w:pPr>
            <w:r>
              <w:rPr>
                <w:rFonts w:hint="default" w:ascii="Times New Roman" w:hAnsi="Times New Roman" w:eastAsia="仿宋" w:cs="Times New Roman"/>
                <w:b/>
                <w:bCs/>
                <w:snapToGrid w:val="0"/>
                <w:color w:val="000000"/>
                <w:kern w:val="0"/>
                <w:sz w:val="24"/>
                <w:szCs w:val="24"/>
                <w:highlight w:val="none"/>
                <w:vertAlign w:val="baseline"/>
                <w:lang w:val="en-US" w:eastAsia="zh-CN" w:bidi="ar-SA"/>
              </w:rPr>
              <w:t>三级指标</w:t>
            </w:r>
          </w:p>
        </w:tc>
        <w:tc>
          <w:tcPr>
            <w:tcW w:w="1185" w:type="dxa"/>
            <w:vAlign w:val="center"/>
          </w:tcPr>
          <w:p w14:paraId="24DBA9D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highlight w:val="none"/>
                <w:vertAlign w:val="baseline"/>
                <w:lang w:val="en-US" w:eastAsia="zh-CN" w:bidi="ar-SA"/>
              </w:rPr>
            </w:pPr>
            <w:r>
              <w:rPr>
                <w:rFonts w:hint="default" w:ascii="Times New Roman" w:hAnsi="Times New Roman" w:eastAsia="仿宋" w:cs="Times New Roman"/>
                <w:b/>
                <w:bCs/>
                <w:snapToGrid w:val="0"/>
                <w:color w:val="000000"/>
                <w:kern w:val="0"/>
                <w:sz w:val="24"/>
                <w:szCs w:val="24"/>
                <w:highlight w:val="none"/>
                <w:vertAlign w:val="baseline"/>
                <w:lang w:val="en-US" w:eastAsia="zh-CN" w:bidi="ar-SA"/>
              </w:rPr>
              <w:t>指标类型</w:t>
            </w:r>
          </w:p>
        </w:tc>
        <w:tc>
          <w:tcPr>
            <w:tcW w:w="885" w:type="dxa"/>
            <w:vAlign w:val="center"/>
          </w:tcPr>
          <w:p w14:paraId="6792A1D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highlight w:val="none"/>
                <w:vertAlign w:val="baseline"/>
                <w:lang w:val="en-US" w:eastAsia="zh-CN" w:bidi="ar-SA"/>
              </w:rPr>
            </w:pPr>
            <w:r>
              <w:rPr>
                <w:rFonts w:hint="default" w:ascii="Times New Roman" w:hAnsi="Times New Roman" w:eastAsia="仿宋" w:cs="Times New Roman"/>
                <w:b/>
                <w:bCs/>
                <w:snapToGrid w:val="0"/>
                <w:color w:val="000000"/>
                <w:kern w:val="0"/>
                <w:sz w:val="24"/>
                <w:szCs w:val="24"/>
                <w:highlight w:val="none"/>
                <w:vertAlign w:val="baseline"/>
                <w:lang w:val="en-US" w:eastAsia="zh-CN" w:bidi="ar-SA"/>
              </w:rPr>
              <w:t>单位</w:t>
            </w:r>
          </w:p>
        </w:tc>
        <w:tc>
          <w:tcPr>
            <w:tcW w:w="2280" w:type="dxa"/>
            <w:shd w:val="clear" w:color="auto" w:fill="auto"/>
            <w:vAlign w:val="center"/>
          </w:tcPr>
          <w:p w14:paraId="16AE7A0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b/>
                <w:bCs/>
                <w:i w:val="0"/>
                <w:iCs w:val="0"/>
                <w:snapToGrid w:val="0"/>
                <w:color w:val="000000"/>
                <w:kern w:val="0"/>
                <w:sz w:val="24"/>
                <w:szCs w:val="24"/>
                <w:highlight w:val="none"/>
                <w:u w:val="none"/>
                <w:lang w:val="en-US" w:eastAsia="zh-CN" w:bidi="ar"/>
              </w:rPr>
              <w:t>引领值</w:t>
            </w:r>
          </w:p>
        </w:tc>
        <w:tc>
          <w:tcPr>
            <w:tcW w:w="1950" w:type="dxa"/>
            <w:shd w:val="clear" w:color="auto" w:fill="auto"/>
            <w:vAlign w:val="center"/>
          </w:tcPr>
          <w:p w14:paraId="1FEB5C6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b/>
                <w:bCs/>
                <w:i w:val="0"/>
                <w:iCs w:val="0"/>
                <w:snapToGrid w:val="0"/>
                <w:color w:val="000000"/>
                <w:kern w:val="0"/>
                <w:sz w:val="24"/>
                <w:szCs w:val="24"/>
                <w:highlight w:val="none"/>
                <w:u w:val="none"/>
                <w:lang w:val="en-US" w:eastAsia="zh-CN" w:bidi="ar"/>
              </w:rPr>
              <w:t>基准值</w:t>
            </w:r>
          </w:p>
        </w:tc>
        <w:tc>
          <w:tcPr>
            <w:tcW w:w="915" w:type="dxa"/>
            <w:vAlign w:val="center"/>
          </w:tcPr>
          <w:p w14:paraId="442E8DF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b/>
                <w:bCs/>
                <w:snapToGrid w:val="0"/>
                <w:color w:val="000000"/>
                <w:kern w:val="0"/>
                <w:sz w:val="24"/>
                <w:szCs w:val="24"/>
                <w:highlight w:val="none"/>
                <w:vertAlign w:val="baseline"/>
                <w:lang w:val="en-US" w:eastAsia="zh-CN" w:bidi="ar-SA"/>
              </w:rPr>
            </w:pPr>
            <w:r>
              <w:rPr>
                <w:rFonts w:hint="default" w:ascii="Times New Roman" w:hAnsi="Times New Roman" w:eastAsia="仿宋" w:cs="Times New Roman"/>
                <w:b/>
                <w:bCs/>
                <w:snapToGrid w:val="0"/>
                <w:color w:val="000000"/>
                <w:kern w:val="0"/>
                <w:sz w:val="24"/>
                <w:szCs w:val="24"/>
                <w:highlight w:val="none"/>
                <w:vertAlign w:val="baseline"/>
                <w:lang w:val="en-US" w:eastAsia="zh-CN" w:bidi="ar-SA"/>
              </w:rPr>
              <w:t>权重分值</w:t>
            </w:r>
          </w:p>
        </w:tc>
      </w:tr>
      <w:tr w14:paraId="7491C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restart"/>
            <w:vAlign w:val="center"/>
          </w:tcPr>
          <w:p w14:paraId="3E6E265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能源低碳化</w:t>
            </w:r>
          </w:p>
          <w:p w14:paraId="1A0F381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（30%）</w:t>
            </w:r>
          </w:p>
        </w:tc>
        <w:tc>
          <w:tcPr>
            <w:tcW w:w="525" w:type="dxa"/>
            <w:vAlign w:val="center"/>
          </w:tcPr>
          <w:p w14:paraId="42726F5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w:t>
            </w:r>
          </w:p>
        </w:tc>
        <w:tc>
          <w:tcPr>
            <w:tcW w:w="1470" w:type="dxa"/>
            <w:vAlign w:val="center"/>
          </w:tcPr>
          <w:p w14:paraId="1AA05B47">
            <w:pPr>
              <w:keepNext w:val="0"/>
              <w:keepLines w:val="0"/>
              <w:pageBreakBefore w:val="0"/>
              <w:widowControl w:val="0"/>
              <w:kinsoku w:val="0"/>
              <w:wordWrap/>
              <w:overflowPunct/>
              <w:topLinePunct w:val="0"/>
              <w:autoSpaceDE w:val="0"/>
              <w:autoSpaceDN w:val="0"/>
              <w:bidi w:val="0"/>
              <w:adjustRightInd w:val="0"/>
              <w:snapToGrid w:val="0"/>
              <w:spacing w:line="34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能源消耗强度</w:t>
            </w:r>
          </w:p>
        </w:tc>
        <w:tc>
          <w:tcPr>
            <w:tcW w:w="4410" w:type="dxa"/>
            <w:vAlign w:val="center"/>
          </w:tcPr>
          <w:p w14:paraId="417D396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单位产值综合能耗</w:t>
            </w:r>
          </w:p>
        </w:tc>
        <w:tc>
          <w:tcPr>
            <w:tcW w:w="1185" w:type="dxa"/>
            <w:vAlign w:val="center"/>
          </w:tcPr>
          <w:p w14:paraId="45C4C62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逆向定量</w:t>
            </w:r>
          </w:p>
        </w:tc>
        <w:tc>
          <w:tcPr>
            <w:tcW w:w="885" w:type="dxa"/>
            <w:vAlign w:val="center"/>
          </w:tcPr>
          <w:p w14:paraId="082DFD0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kgce/万元</w:t>
            </w:r>
          </w:p>
        </w:tc>
        <w:tc>
          <w:tcPr>
            <w:tcW w:w="2280" w:type="dxa"/>
            <w:shd w:val="clear" w:color="auto" w:fill="auto"/>
            <w:vAlign w:val="center"/>
          </w:tcPr>
          <w:p w14:paraId="6DF00EA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行业先进水平或适用国家强制性能源消耗限额1级水平</w:t>
            </w:r>
          </w:p>
        </w:tc>
        <w:tc>
          <w:tcPr>
            <w:tcW w:w="1950" w:type="dxa"/>
            <w:shd w:val="clear" w:color="auto" w:fill="auto"/>
            <w:vAlign w:val="center"/>
          </w:tcPr>
          <w:p w14:paraId="58D2D85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行业平均水平或适用国家强制性能源消耗限额2级水平</w:t>
            </w:r>
          </w:p>
        </w:tc>
        <w:tc>
          <w:tcPr>
            <w:tcW w:w="915" w:type="dxa"/>
            <w:vAlign w:val="center"/>
          </w:tcPr>
          <w:p w14:paraId="0D5CD82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r>
      <w:tr w14:paraId="24D8F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5DA43F6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Align w:val="center"/>
          </w:tcPr>
          <w:p w14:paraId="4A77F96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2</w:t>
            </w:r>
          </w:p>
        </w:tc>
        <w:tc>
          <w:tcPr>
            <w:tcW w:w="1470" w:type="dxa"/>
            <w:vAlign w:val="center"/>
          </w:tcPr>
          <w:p w14:paraId="6F0AB15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碳排放强度</w:t>
            </w:r>
          </w:p>
        </w:tc>
        <w:tc>
          <w:tcPr>
            <w:tcW w:w="4410" w:type="dxa"/>
            <w:vAlign w:val="center"/>
          </w:tcPr>
          <w:p w14:paraId="75BB339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单位产值碳排放量</w:t>
            </w:r>
          </w:p>
        </w:tc>
        <w:tc>
          <w:tcPr>
            <w:tcW w:w="1185" w:type="dxa"/>
            <w:vAlign w:val="center"/>
          </w:tcPr>
          <w:p w14:paraId="0F12CED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逆向定量</w:t>
            </w:r>
          </w:p>
        </w:tc>
        <w:tc>
          <w:tcPr>
            <w:tcW w:w="885" w:type="dxa"/>
            <w:vAlign w:val="center"/>
          </w:tcPr>
          <w:p w14:paraId="14D3CEF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kgCO</w:t>
            </w:r>
            <w:r>
              <w:rPr>
                <w:rFonts w:hint="default" w:ascii="Times New Roman" w:hAnsi="Times New Roman" w:eastAsia="仿宋" w:cs="Times New Roman"/>
                <w:snapToGrid w:val="0"/>
                <w:color w:val="000000"/>
                <w:kern w:val="0"/>
                <w:sz w:val="24"/>
                <w:szCs w:val="24"/>
                <w:highlight w:val="none"/>
                <w:vertAlign w:val="subscript"/>
                <w:lang w:val="en-US" w:eastAsia="zh-CN" w:bidi="ar-SA"/>
              </w:rPr>
              <w:t>2</w:t>
            </w:r>
            <w:r>
              <w:rPr>
                <w:rFonts w:hint="default" w:ascii="Times New Roman" w:hAnsi="Times New Roman" w:eastAsia="仿宋" w:cs="Times New Roman"/>
                <w:snapToGrid w:val="0"/>
                <w:color w:val="000000"/>
                <w:kern w:val="0"/>
                <w:sz w:val="24"/>
                <w:szCs w:val="24"/>
                <w:highlight w:val="none"/>
                <w:vertAlign w:val="baseline"/>
                <w:lang w:val="en-US" w:eastAsia="zh-CN" w:bidi="ar-SA"/>
              </w:rPr>
              <w:t>/万元</w:t>
            </w:r>
          </w:p>
        </w:tc>
        <w:tc>
          <w:tcPr>
            <w:tcW w:w="2280" w:type="dxa"/>
            <w:shd w:val="clear" w:color="auto" w:fill="auto"/>
            <w:vAlign w:val="center"/>
          </w:tcPr>
          <w:p w14:paraId="07DE0C2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shd w:val="clear" w:color="auto" w:fill="auto"/>
            <w:vAlign w:val="center"/>
          </w:tcPr>
          <w:p w14:paraId="2B1B073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Align w:val="center"/>
          </w:tcPr>
          <w:p w14:paraId="77CEB80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r>
      <w:tr w14:paraId="16A94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610AC58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Align w:val="center"/>
          </w:tcPr>
          <w:p w14:paraId="3CAC785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3</w:t>
            </w:r>
          </w:p>
        </w:tc>
        <w:tc>
          <w:tcPr>
            <w:tcW w:w="1470" w:type="dxa"/>
            <w:vAlign w:val="center"/>
          </w:tcPr>
          <w:p w14:paraId="3F710B8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可再生能源利用率</w:t>
            </w:r>
          </w:p>
        </w:tc>
        <w:tc>
          <w:tcPr>
            <w:tcW w:w="4410" w:type="dxa"/>
            <w:vAlign w:val="center"/>
          </w:tcPr>
          <w:p w14:paraId="74575BE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1185" w:type="dxa"/>
            <w:vAlign w:val="center"/>
          </w:tcPr>
          <w:p w14:paraId="75B772A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05251AB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shd w:val="clear" w:color="auto" w:fill="auto"/>
            <w:vAlign w:val="center"/>
          </w:tcPr>
          <w:p w14:paraId="7E3385B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shd w:val="clear" w:color="auto" w:fill="auto"/>
            <w:vAlign w:val="center"/>
          </w:tcPr>
          <w:p w14:paraId="4AED1A6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Align w:val="center"/>
          </w:tcPr>
          <w:p w14:paraId="5017FF8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r>
      <w:tr w14:paraId="7478A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07DB4BB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Align w:val="center"/>
          </w:tcPr>
          <w:p w14:paraId="2DB11E2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4</w:t>
            </w:r>
          </w:p>
        </w:tc>
        <w:tc>
          <w:tcPr>
            <w:tcW w:w="1470" w:type="dxa"/>
            <w:vAlign w:val="center"/>
          </w:tcPr>
          <w:p w14:paraId="6A78113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能碳管理系统平台功能符合数量</w:t>
            </w:r>
          </w:p>
        </w:tc>
        <w:tc>
          <w:tcPr>
            <w:tcW w:w="4410" w:type="dxa"/>
            <w:vAlign w:val="center"/>
          </w:tcPr>
          <w:p w14:paraId="716C624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能碳管理系统平台功能符合数量</w:t>
            </w:r>
          </w:p>
        </w:tc>
        <w:tc>
          <w:tcPr>
            <w:tcW w:w="1185" w:type="dxa"/>
            <w:vAlign w:val="center"/>
          </w:tcPr>
          <w:p w14:paraId="73D1413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318A30D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项</w:t>
            </w:r>
          </w:p>
        </w:tc>
        <w:tc>
          <w:tcPr>
            <w:tcW w:w="2280" w:type="dxa"/>
            <w:shd w:val="clear" w:color="auto" w:fill="auto"/>
            <w:vAlign w:val="center"/>
          </w:tcPr>
          <w:p w14:paraId="3BFD241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8</w:t>
            </w:r>
          </w:p>
        </w:tc>
        <w:tc>
          <w:tcPr>
            <w:tcW w:w="1950" w:type="dxa"/>
            <w:shd w:val="clear" w:color="auto" w:fill="auto"/>
            <w:vAlign w:val="center"/>
          </w:tcPr>
          <w:p w14:paraId="547B80B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0</w:t>
            </w:r>
          </w:p>
        </w:tc>
        <w:tc>
          <w:tcPr>
            <w:tcW w:w="915" w:type="dxa"/>
            <w:vAlign w:val="center"/>
          </w:tcPr>
          <w:p w14:paraId="6CD60F1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6</w:t>
            </w:r>
          </w:p>
        </w:tc>
      </w:tr>
      <w:tr w14:paraId="58C40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restart"/>
            <w:vAlign w:val="center"/>
          </w:tcPr>
          <w:p w14:paraId="51EC2A0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资源高效化</w:t>
            </w:r>
          </w:p>
          <w:p w14:paraId="00AACA5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（30%）</w:t>
            </w:r>
          </w:p>
        </w:tc>
        <w:tc>
          <w:tcPr>
            <w:tcW w:w="525" w:type="dxa"/>
            <w:vMerge w:val="restart"/>
            <w:vAlign w:val="center"/>
          </w:tcPr>
          <w:p w14:paraId="0DA2E24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5</w:t>
            </w:r>
          </w:p>
        </w:tc>
        <w:tc>
          <w:tcPr>
            <w:tcW w:w="1470" w:type="dxa"/>
            <w:vMerge w:val="restart"/>
            <w:vAlign w:val="center"/>
          </w:tcPr>
          <w:p w14:paraId="5CBCE06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节约原材料</w:t>
            </w:r>
          </w:p>
        </w:tc>
        <w:tc>
          <w:tcPr>
            <w:tcW w:w="4410" w:type="dxa"/>
            <w:vAlign w:val="center"/>
          </w:tcPr>
          <w:p w14:paraId="5ACEC3C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减少生产过程中原辅材料消耗应用案例</w:t>
            </w:r>
          </w:p>
        </w:tc>
        <w:tc>
          <w:tcPr>
            <w:tcW w:w="1185" w:type="dxa"/>
            <w:vAlign w:val="center"/>
          </w:tcPr>
          <w:p w14:paraId="79597C8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正向定性</w:t>
            </w:r>
          </w:p>
        </w:tc>
        <w:tc>
          <w:tcPr>
            <w:tcW w:w="885" w:type="dxa"/>
            <w:vAlign w:val="center"/>
          </w:tcPr>
          <w:p w14:paraId="1FCE5EB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vMerge w:val="restart"/>
            <w:shd w:val="clear" w:color="auto" w:fill="auto"/>
            <w:vAlign w:val="center"/>
          </w:tcPr>
          <w:p w14:paraId="6219F2F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vMerge w:val="restart"/>
            <w:shd w:val="clear" w:color="auto" w:fill="auto"/>
            <w:vAlign w:val="center"/>
          </w:tcPr>
          <w:p w14:paraId="33A0516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Merge w:val="restart"/>
            <w:vAlign w:val="center"/>
          </w:tcPr>
          <w:p w14:paraId="1F34BA8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r>
      <w:tr w14:paraId="5C2AC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73F6780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525" w:type="dxa"/>
            <w:vMerge w:val="continue"/>
            <w:vAlign w:val="center"/>
          </w:tcPr>
          <w:p w14:paraId="5CF3691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1470" w:type="dxa"/>
            <w:vMerge w:val="continue"/>
            <w:vAlign w:val="center"/>
          </w:tcPr>
          <w:p w14:paraId="3218D26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rPr>
            </w:pPr>
          </w:p>
        </w:tc>
        <w:tc>
          <w:tcPr>
            <w:tcW w:w="4410" w:type="dxa"/>
            <w:vAlign w:val="center"/>
          </w:tcPr>
          <w:p w14:paraId="0C7CB7C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使用再生材料、回收再利用材料或可回收材料替代原生材料、不可回收材料改善应用案例</w:t>
            </w:r>
          </w:p>
        </w:tc>
        <w:tc>
          <w:tcPr>
            <w:tcW w:w="1185" w:type="dxa"/>
            <w:vAlign w:val="center"/>
          </w:tcPr>
          <w:p w14:paraId="501FF53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正向定性</w:t>
            </w:r>
          </w:p>
        </w:tc>
        <w:tc>
          <w:tcPr>
            <w:tcW w:w="885" w:type="dxa"/>
            <w:vAlign w:val="center"/>
          </w:tcPr>
          <w:p w14:paraId="65991D7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2280" w:type="dxa"/>
            <w:vMerge w:val="continue"/>
            <w:shd w:val="clear" w:color="auto" w:fill="auto"/>
            <w:vAlign w:val="center"/>
          </w:tcPr>
          <w:p w14:paraId="2AEA5F2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yellow"/>
                <w:u w:val="none"/>
                <w:lang w:val="en-US" w:eastAsia="zh-CN" w:bidi="ar-SA"/>
              </w:rPr>
            </w:pPr>
          </w:p>
        </w:tc>
        <w:tc>
          <w:tcPr>
            <w:tcW w:w="1950" w:type="dxa"/>
            <w:vMerge w:val="continue"/>
            <w:shd w:val="clear" w:color="auto" w:fill="auto"/>
            <w:vAlign w:val="center"/>
          </w:tcPr>
          <w:p w14:paraId="520DE31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yellow"/>
                <w:u w:val="none"/>
                <w:lang w:val="en-US" w:eastAsia="zh-CN" w:bidi="ar-SA"/>
              </w:rPr>
            </w:pPr>
          </w:p>
        </w:tc>
        <w:tc>
          <w:tcPr>
            <w:tcW w:w="915" w:type="dxa"/>
            <w:vMerge w:val="continue"/>
            <w:vAlign w:val="center"/>
          </w:tcPr>
          <w:p w14:paraId="64B5BC9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5062C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04E7B64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Align w:val="center"/>
          </w:tcPr>
          <w:p w14:paraId="36D88AE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6</w:t>
            </w:r>
          </w:p>
        </w:tc>
        <w:tc>
          <w:tcPr>
            <w:tcW w:w="1470" w:type="dxa"/>
            <w:vAlign w:val="center"/>
          </w:tcPr>
          <w:p w14:paraId="0985CD0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取水强度</w:t>
            </w:r>
          </w:p>
        </w:tc>
        <w:tc>
          <w:tcPr>
            <w:tcW w:w="4410" w:type="dxa"/>
            <w:vAlign w:val="center"/>
          </w:tcPr>
          <w:p w14:paraId="6504BA3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单位产值取水量</w:t>
            </w:r>
          </w:p>
        </w:tc>
        <w:tc>
          <w:tcPr>
            <w:tcW w:w="1185" w:type="dxa"/>
            <w:vAlign w:val="center"/>
          </w:tcPr>
          <w:p w14:paraId="5E2EB85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eastAsia" w:ascii="Times New Roman" w:hAnsi="Times New Roman" w:eastAsia="仿宋" w:cs="Times New Roman"/>
                <w:snapToGrid w:val="0"/>
                <w:color w:val="000000"/>
                <w:kern w:val="0"/>
                <w:sz w:val="24"/>
                <w:szCs w:val="24"/>
                <w:highlight w:val="none"/>
                <w:vertAlign w:val="baseline"/>
                <w:lang w:val="en-US" w:eastAsia="zh-CN" w:bidi="ar-SA"/>
              </w:rPr>
              <w:t>逆向</w:t>
            </w:r>
            <w:r>
              <w:rPr>
                <w:rFonts w:hint="default" w:ascii="Times New Roman" w:hAnsi="Times New Roman" w:eastAsia="仿宋" w:cs="Times New Roman"/>
                <w:snapToGrid w:val="0"/>
                <w:color w:val="000000"/>
                <w:kern w:val="0"/>
                <w:sz w:val="24"/>
                <w:szCs w:val="24"/>
                <w:highlight w:val="none"/>
                <w:vertAlign w:val="baseline"/>
                <w:lang w:val="en-US" w:eastAsia="zh-CN" w:bidi="ar-SA"/>
              </w:rPr>
              <w:t>定量</w:t>
            </w:r>
          </w:p>
        </w:tc>
        <w:tc>
          <w:tcPr>
            <w:tcW w:w="885" w:type="dxa"/>
            <w:vAlign w:val="center"/>
          </w:tcPr>
          <w:p w14:paraId="4EEFB7C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m</w:t>
            </w:r>
            <w:r>
              <w:rPr>
                <w:rFonts w:hint="default" w:ascii="Times New Roman" w:hAnsi="Times New Roman" w:eastAsia="仿宋" w:cs="Times New Roman"/>
                <w:snapToGrid w:val="0"/>
                <w:color w:val="000000"/>
                <w:kern w:val="0"/>
                <w:sz w:val="24"/>
                <w:szCs w:val="24"/>
                <w:highlight w:val="none"/>
                <w:vertAlign w:val="superscript"/>
                <w:lang w:val="en-US" w:eastAsia="zh-CN" w:bidi="ar-SA"/>
              </w:rPr>
              <w:t>3</w:t>
            </w:r>
            <w:r>
              <w:rPr>
                <w:rFonts w:hint="default" w:ascii="Times New Roman" w:hAnsi="Times New Roman" w:eastAsia="仿宋" w:cs="Times New Roman"/>
                <w:snapToGrid w:val="0"/>
                <w:color w:val="000000"/>
                <w:kern w:val="0"/>
                <w:sz w:val="24"/>
                <w:szCs w:val="24"/>
                <w:highlight w:val="none"/>
                <w:vertAlign w:val="baseline"/>
                <w:lang w:val="en-US" w:eastAsia="zh-CN" w:bidi="ar-SA"/>
              </w:rPr>
              <w:t>/万元</w:t>
            </w:r>
          </w:p>
        </w:tc>
        <w:tc>
          <w:tcPr>
            <w:tcW w:w="2280" w:type="dxa"/>
            <w:shd w:val="clear" w:color="auto" w:fill="auto"/>
            <w:vAlign w:val="center"/>
          </w:tcPr>
          <w:p w14:paraId="0A9BD30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行业先进水平或适用工业用水定额先进值水平</w:t>
            </w:r>
          </w:p>
        </w:tc>
        <w:tc>
          <w:tcPr>
            <w:tcW w:w="1950" w:type="dxa"/>
            <w:shd w:val="clear" w:color="auto" w:fill="auto"/>
            <w:vAlign w:val="center"/>
          </w:tcPr>
          <w:p w14:paraId="49261A8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行业平均水平或适用工业用水定额通用值水平</w:t>
            </w:r>
          </w:p>
        </w:tc>
        <w:tc>
          <w:tcPr>
            <w:tcW w:w="915" w:type="dxa"/>
            <w:vAlign w:val="center"/>
          </w:tcPr>
          <w:p w14:paraId="3797EAC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r>
      <w:tr w14:paraId="00892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7FD91A0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Align w:val="center"/>
          </w:tcPr>
          <w:p w14:paraId="6DFEC2D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7</w:t>
            </w:r>
          </w:p>
        </w:tc>
        <w:tc>
          <w:tcPr>
            <w:tcW w:w="1470" w:type="dxa"/>
            <w:vAlign w:val="center"/>
          </w:tcPr>
          <w:p w14:paraId="2D20DD5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工业用水重复利用率</w:t>
            </w:r>
          </w:p>
        </w:tc>
        <w:tc>
          <w:tcPr>
            <w:tcW w:w="4410" w:type="dxa"/>
            <w:vAlign w:val="center"/>
          </w:tcPr>
          <w:p w14:paraId="3534948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1185" w:type="dxa"/>
            <w:vAlign w:val="center"/>
          </w:tcPr>
          <w:p w14:paraId="64AE274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5EC0842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shd w:val="clear" w:color="auto" w:fill="auto"/>
            <w:vAlign w:val="center"/>
          </w:tcPr>
          <w:p w14:paraId="090376F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shd w:val="clear" w:color="auto" w:fill="auto"/>
            <w:vAlign w:val="center"/>
          </w:tcPr>
          <w:p w14:paraId="4320D49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Align w:val="center"/>
          </w:tcPr>
          <w:p w14:paraId="6D5AD4F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r>
      <w:tr w14:paraId="1C499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647A702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Align w:val="center"/>
          </w:tcPr>
          <w:p w14:paraId="3369A3A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c>
          <w:tcPr>
            <w:tcW w:w="1470" w:type="dxa"/>
            <w:vAlign w:val="center"/>
          </w:tcPr>
          <w:p w14:paraId="5857C893">
            <w:pPr>
              <w:keepNext w:val="0"/>
              <w:keepLines w:val="0"/>
              <w:pageBreakBefore w:val="0"/>
              <w:widowControl w:val="0"/>
              <w:kinsoku w:val="0"/>
              <w:wordWrap/>
              <w:overflowPunct/>
              <w:topLinePunct w:val="0"/>
              <w:autoSpaceDE w:val="0"/>
              <w:autoSpaceDN w:val="0"/>
              <w:bidi w:val="0"/>
              <w:adjustRightInd w:val="0"/>
              <w:snapToGrid w:val="0"/>
              <w:spacing w:line="34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一般工业固体废物综合利用率</w:t>
            </w:r>
          </w:p>
        </w:tc>
        <w:tc>
          <w:tcPr>
            <w:tcW w:w="4410" w:type="dxa"/>
            <w:vAlign w:val="center"/>
          </w:tcPr>
          <w:p w14:paraId="21AFE81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1185" w:type="dxa"/>
            <w:vAlign w:val="center"/>
          </w:tcPr>
          <w:p w14:paraId="271387C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2390B3D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shd w:val="clear" w:color="auto" w:fill="auto"/>
            <w:vAlign w:val="center"/>
          </w:tcPr>
          <w:p w14:paraId="43BDBF0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shd w:val="clear" w:color="auto" w:fill="auto"/>
            <w:vAlign w:val="center"/>
          </w:tcPr>
          <w:p w14:paraId="54BB163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Align w:val="center"/>
          </w:tcPr>
          <w:p w14:paraId="5DCF311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6</w:t>
            </w:r>
          </w:p>
        </w:tc>
      </w:tr>
      <w:tr w14:paraId="3737A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restart"/>
            <w:vAlign w:val="center"/>
          </w:tcPr>
          <w:p w14:paraId="3835794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生产洁净化</w:t>
            </w:r>
          </w:p>
          <w:p w14:paraId="6DAC140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（16%）</w:t>
            </w:r>
          </w:p>
        </w:tc>
        <w:tc>
          <w:tcPr>
            <w:tcW w:w="525" w:type="dxa"/>
            <w:vAlign w:val="center"/>
          </w:tcPr>
          <w:p w14:paraId="1F3FA62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9</w:t>
            </w:r>
          </w:p>
        </w:tc>
        <w:tc>
          <w:tcPr>
            <w:tcW w:w="1470" w:type="dxa"/>
            <w:vAlign w:val="center"/>
          </w:tcPr>
          <w:p w14:paraId="5CC5F2B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生产工艺设备先进性</w:t>
            </w:r>
          </w:p>
        </w:tc>
        <w:tc>
          <w:tcPr>
            <w:tcW w:w="4410" w:type="dxa"/>
            <w:vAlign w:val="center"/>
          </w:tcPr>
          <w:p w14:paraId="7E2BB05D">
            <w:pPr>
              <w:keepNext w:val="0"/>
              <w:keepLines w:val="0"/>
              <w:pageBreakBefore w:val="0"/>
              <w:widowControl w:val="0"/>
              <w:kinsoku w:val="0"/>
              <w:wordWrap/>
              <w:overflowPunct/>
              <w:topLinePunct w:val="0"/>
              <w:autoSpaceDE w:val="0"/>
              <w:autoSpaceDN w:val="0"/>
              <w:bidi w:val="0"/>
              <w:adjustRightInd w:val="0"/>
              <w:snapToGrid w:val="0"/>
              <w:spacing w:line="400" w:lineRule="exact"/>
              <w:jc w:val="both"/>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采用《国家工业和信息化领域节能降碳技术装备推荐目录》《国家鼓励的工业节水工艺、技术和装备目录》《国家工业资源综合利用先进适用工艺技术设备目录》《国家鼓励发展的重大环保技术装备目录》《绿色技术推广目录》《国家重点推广的低碳技术目录》《国家污染防治技术指导目录》《产业结构调整指导目录》范围内的先进技术和设备的数量</w:t>
            </w:r>
          </w:p>
        </w:tc>
        <w:tc>
          <w:tcPr>
            <w:tcW w:w="1185" w:type="dxa"/>
            <w:vAlign w:val="center"/>
          </w:tcPr>
          <w:p w14:paraId="5A11D70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4480A31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项</w:t>
            </w:r>
          </w:p>
        </w:tc>
        <w:tc>
          <w:tcPr>
            <w:tcW w:w="2280" w:type="dxa"/>
            <w:shd w:val="clear" w:color="auto" w:fill="auto"/>
            <w:vAlign w:val="center"/>
          </w:tcPr>
          <w:p w14:paraId="3007872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采用节能、节水、节材、减污、降碳的先进适用技术和设备</w:t>
            </w:r>
          </w:p>
        </w:tc>
        <w:tc>
          <w:tcPr>
            <w:tcW w:w="1950" w:type="dxa"/>
            <w:shd w:val="clear" w:color="auto" w:fill="auto"/>
            <w:vAlign w:val="center"/>
          </w:tcPr>
          <w:p w14:paraId="540B266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一</w:t>
            </w:r>
          </w:p>
        </w:tc>
        <w:tc>
          <w:tcPr>
            <w:tcW w:w="915" w:type="dxa"/>
            <w:vAlign w:val="center"/>
          </w:tcPr>
          <w:p w14:paraId="5EB6082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6</w:t>
            </w:r>
          </w:p>
        </w:tc>
      </w:tr>
      <w:tr w14:paraId="25825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3EA33CC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Merge w:val="restart"/>
            <w:vAlign w:val="center"/>
          </w:tcPr>
          <w:p w14:paraId="2AE2212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10</w:t>
            </w:r>
          </w:p>
        </w:tc>
        <w:tc>
          <w:tcPr>
            <w:tcW w:w="1470" w:type="dxa"/>
            <w:vMerge w:val="restart"/>
            <w:vAlign w:val="center"/>
          </w:tcPr>
          <w:p w14:paraId="33A4A8B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绿色低碳改造升级</w:t>
            </w:r>
          </w:p>
        </w:tc>
        <w:tc>
          <w:tcPr>
            <w:tcW w:w="4410" w:type="dxa"/>
            <w:vAlign w:val="center"/>
          </w:tcPr>
          <w:p w14:paraId="0FF7C200">
            <w:pPr>
              <w:keepNext w:val="0"/>
              <w:keepLines w:val="0"/>
              <w:pageBreakBefore w:val="0"/>
              <w:widowControl w:val="0"/>
              <w:kinsoku w:val="0"/>
              <w:wordWrap/>
              <w:overflowPunct/>
              <w:topLinePunct w:val="0"/>
              <w:autoSpaceDE w:val="0"/>
              <w:autoSpaceDN w:val="0"/>
              <w:bidi w:val="0"/>
              <w:adjustRightInd w:val="0"/>
              <w:snapToGrid w:val="0"/>
              <w:spacing w:line="400" w:lineRule="exact"/>
              <w:jc w:val="both"/>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近3年实施绿色低碳改造升级年平均项目数量</w:t>
            </w:r>
          </w:p>
        </w:tc>
        <w:tc>
          <w:tcPr>
            <w:tcW w:w="1185" w:type="dxa"/>
            <w:vAlign w:val="center"/>
          </w:tcPr>
          <w:p w14:paraId="30E12CC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7254C8A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项</w:t>
            </w:r>
          </w:p>
        </w:tc>
        <w:tc>
          <w:tcPr>
            <w:tcW w:w="2280" w:type="dxa"/>
            <w:vMerge w:val="restart"/>
            <w:shd w:val="clear" w:color="auto" w:fill="auto"/>
            <w:vAlign w:val="center"/>
          </w:tcPr>
          <w:p w14:paraId="118F445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vMerge w:val="restart"/>
            <w:shd w:val="clear" w:color="auto" w:fill="auto"/>
            <w:vAlign w:val="center"/>
          </w:tcPr>
          <w:p w14:paraId="3B7C189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Merge w:val="restart"/>
            <w:vAlign w:val="center"/>
          </w:tcPr>
          <w:p w14:paraId="23FC4A0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4</w:t>
            </w:r>
          </w:p>
        </w:tc>
      </w:tr>
      <w:tr w14:paraId="6016A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1122" w:type="dxa"/>
            <w:vMerge w:val="continue"/>
            <w:vAlign w:val="center"/>
          </w:tcPr>
          <w:p w14:paraId="75673E1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none"/>
              </w:rPr>
            </w:pPr>
          </w:p>
        </w:tc>
        <w:tc>
          <w:tcPr>
            <w:tcW w:w="525" w:type="dxa"/>
            <w:vMerge w:val="continue"/>
            <w:vAlign w:val="center"/>
          </w:tcPr>
          <w:p w14:paraId="4119C09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none"/>
              </w:rPr>
            </w:pPr>
          </w:p>
        </w:tc>
        <w:tc>
          <w:tcPr>
            <w:tcW w:w="1470" w:type="dxa"/>
            <w:vMerge w:val="continue"/>
            <w:vAlign w:val="center"/>
          </w:tcPr>
          <w:p w14:paraId="747C248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none"/>
              </w:rPr>
            </w:pPr>
          </w:p>
        </w:tc>
        <w:tc>
          <w:tcPr>
            <w:tcW w:w="4410" w:type="dxa"/>
            <w:vAlign w:val="center"/>
          </w:tcPr>
          <w:p w14:paraId="6928364A">
            <w:pPr>
              <w:keepNext w:val="0"/>
              <w:keepLines w:val="0"/>
              <w:pageBreakBefore w:val="0"/>
              <w:widowControl w:val="0"/>
              <w:kinsoku w:val="0"/>
              <w:wordWrap/>
              <w:overflowPunct/>
              <w:topLinePunct w:val="0"/>
              <w:autoSpaceDE w:val="0"/>
              <w:autoSpaceDN w:val="0"/>
              <w:bidi w:val="0"/>
              <w:adjustRightInd w:val="0"/>
              <w:snapToGrid w:val="0"/>
              <w:spacing w:line="400" w:lineRule="exact"/>
              <w:jc w:val="both"/>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近3年绿色低碳改造升级项目投资额占比</w:t>
            </w:r>
          </w:p>
        </w:tc>
        <w:tc>
          <w:tcPr>
            <w:tcW w:w="1185" w:type="dxa"/>
            <w:vAlign w:val="center"/>
          </w:tcPr>
          <w:p w14:paraId="352D419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26E2542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vMerge w:val="continue"/>
            <w:shd w:val="clear" w:color="auto" w:fill="auto"/>
            <w:vAlign w:val="center"/>
          </w:tcPr>
          <w:p w14:paraId="34E9F3D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p>
        </w:tc>
        <w:tc>
          <w:tcPr>
            <w:tcW w:w="1950" w:type="dxa"/>
            <w:vMerge w:val="continue"/>
            <w:shd w:val="clear" w:color="auto" w:fill="auto"/>
            <w:vAlign w:val="center"/>
          </w:tcPr>
          <w:p w14:paraId="6C9DE18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p>
        </w:tc>
        <w:tc>
          <w:tcPr>
            <w:tcW w:w="915" w:type="dxa"/>
            <w:vMerge w:val="continue"/>
            <w:vAlign w:val="center"/>
          </w:tcPr>
          <w:p w14:paraId="2DCB09B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r>
      <w:tr w14:paraId="5D870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38565C8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vMerge w:val="restart"/>
            <w:vAlign w:val="center"/>
          </w:tcPr>
          <w:p w14:paraId="6998303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11</w:t>
            </w:r>
          </w:p>
        </w:tc>
        <w:tc>
          <w:tcPr>
            <w:tcW w:w="1470" w:type="dxa"/>
            <w:vMerge w:val="restart"/>
            <w:vAlign w:val="center"/>
          </w:tcPr>
          <w:p w14:paraId="3DE1E1C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主要污染物年均排放浓度</w:t>
            </w:r>
          </w:p>
        </w:tc>
        <w:tc>
          <w:tcPr>
            <w:tcW w:w="4410" w:type="dxa"/>
            <w:vAlign w:val="center"/>
          </w:tcPr>
          <w:p w14:paraId="2EC7D450">
            <w:pPr>
              <w:keepNext w:val="0"/>
              <w:keepLines w:val="0"/>
              <w:pageBreakBefore w:val="0"/>
              <w:widowControl w:val="0"/>
              <w:kinsoku w:val="0"/>
              <w:wordWrap/>
              <w:overflowPunct/>
              <w:topLinePunct w:val="0"/>
              <w:autoSpaceDE w:val="0"/>
              <w:autoSpaceDN w:val="0"/>
              <w:bidi w:val="0"/>
              <w:adjustRightInd w:val="0"/>
              <w:snapToGrid w:val="0"/>
              <w:spacing w:line="340" w:lineRule="exact"/>
              <w:jc w:val="both"/>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废水主要污染物年均排放浓度优于许可排放浓度限值的最低比例（不涉及工业废水排放的企业不填）</w:t>
            </w:r>
          </w:p>
        </w:tc>
        <w:tc>
          <w:tcPr>
            <w:tcW w:w="1185" w:type="dxa"/>
            <w:vAlign w:val="center"/>
          </w:tcPr>
          <w:p w14:paraId="05276B9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22E23AB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vMerge w:val="restart"/>
            <w:shd w:val="clear" w:color="auto" w:fill="auto"/>
            <w:vAlign w:val="center"/>
          </w:tcPr>
          <w:p w14:paraId="604FD8B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vMerge w:val="restart"/>
            <w:shd w:val="clear" w:color="auto" w:fill="auto"/>
            <w:vAlign w:val="center"/>
          </w:tcPr>
          <w:p w14:paraId="754A225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Merge w:val="restart"/>
            <w:vAlign w:val="center"/>
          </w:tcPr>
          <w:p w14:paraId="099F431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6</w:t>
            </w:r>
          </w:p>
        </w:tc>
      </w:tr>
      <w:tr w14:paraId="532B3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42AB823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none"/>
              </w:rPr>
            </w:pPr>
          </w:p>
        </w:tc>
        <w:tc>
          <w:tcPr>
            <w:tcW w:w="525" w:type="dxa"/>
            <w:vMerge w:val="continue"/>
            <w:vAlign w:val="center"/>
          </w:tcPr>
          <w:p w14:paraId="449F5DC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none"/>
              </w:rPr>
            </w:pPr>
          </w:p>
        </w:tc>
        <w:tc>
          <w:tcPr>
            <w:tcW w:w="1470" w:type="dxa"/>
            <w:vMerge w:val="continue"/>
            <w:vAlign w:val="center"/>
          </w:tcPr>
          <w:p w14:paraId="2A39D94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none"/>
              </w:rPr>
            </w:pPr>
          </w:p>
        </w:tc>
        <w:tc>
          <w:tcPr>
            <w:tcW w:w="4410" w:type="dxa"/>
            <w:vAlign w:val="center"/>
          </w:tcPr>
          <w:p w14:paraId="79D5868C">
            <w:pPr>
              <w:keepNext w:val="0"/>
              <w:keepLines w:val="0"/>
              <w:pageBreakBefore w:val="0"/>
              <w:widowControl w:val="0"/>
              <w:kinsoku w:val="0"/>
              <w:wordWrap/>
              <w:overflowPunct/>
              <w:topLinePunct w:val="0"/>
              <w:autoSpaceDE w:val="0"/>
              <w:autoSpaceDN w:val="0"/>
              <w:bidi w:val="0"/>
              <w:adjustRightInd w:val="0"/>
              <w:snapToGrid w:val="0"/>
              <w:spacing w:line="340" w:lineRule="exact"/>
              <w:jc w:val="both"/>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废气主要污染物年均排放浓度优于许可排放浓度限值的最低比例（不涉及工业废气排放的企业不填）</w:t>
            </w:r>
          </w:p>
        </w:tc>
        <w:tc>
          <w:tcPr>
            <w:tcW w:w="1185" w:type="dxa"/>
            <w:vAlign w:val="center"/>
          </w:tcPr>
          <w:p w14:paraId="6F3DCF8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z w:val="24"/>
                <w:szCs w:val="24"/>
                <w:highlight w:val="none"/>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p w14:paraId="3CA0B21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885" w:type="dxa"/>
            <w:vAlign w:val="center"/>
          </w:tcPr>
          <w:p w14:paraId="505CD26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vMerge w:val="continue"/>
            <w:shd w:val="clear" w:color="auto" w:fill="auto"/>
            <w:vAlign w:val="center"/>
          </w:tcPr>
          <w:p w14:paraId="12986E1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p>
        </w:tc>
        <w:tc>
          <w:tcPr>
            <w:tcW w:w="1950" w:type="dxa"/>
            <w:vMerge w:val="continue"/>
            <w:shd w:val="clear" w:color="auto" w:fill="auto"/>
            <w:vAlign w:val="center"/>
          </w:tcPr>
          <w:p w14:paraId="1ED109B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p>
        </w:tc>
        <w:tc>
          <w:tcPr>
            <w:tcW w:w="915" w:type="dxa"/>
            <w:vMerge w:val="continue"/>
            <w:vAlign w:val="center"/>
          </w:tcPr>
          <w:p w14:paraId="796EF72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r>
      <w:tr w14:paraId="4857D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restart"/>
            <w:vAlign w:val="center"/>
          </w:tcPr>
          <w:p w14:paraId="32A9159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产品绿色化</w:t>
            </w:r>
          </w:p>
          <w:p w14:paraId="711CB25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（16%）</w:t>
            </w:r>
          </w:p>
        </w:tc>
        <w:tc>
          <w:tcPr>
            <w:tcW w:w="525" w:type="dxa"/>
            <w:vAlign w:val="center"/>
          </w:tcPr>
          <w:p w14:paraId="5280692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12</w:t>
            </w:r>
          </w:p>
        </w:tc>
        <w:tc>
          <w:tcPr>
            <w:tcW w:w="1470" w:type="dxa"/>
            <w:vAlign w:val="center"/>
          </w:tcPr>
          <w:p w14:paraId="12D63718">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绿色设计</w:t>
            </w:r>
          </w:p>
        </w:tc>
        <w:tc>
          <w:tcPr>
            <w:tcW w:w="4410" w:type="dxa"/>
            <w:vAlign w:val="center"/>
          </w:tcPr>
          <w:p w14:paraId="5E0D59D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绿色设计典型应用案例</w:t>
            </w:r>
          </w:p>
        </w:tc>
        <w:tc>
          <w:tcPr>
            <w:tcW w:w="1185" w:type="dxa"/>
            <w:vAlign w:val="center"/>
          </w:tcPr>
          <w:p w14:paraId="04828AF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正向定性</w:t>
            </w:r>
          </w:p>
        </w:tc>
        <w:tc>
          <w:tcPr>
            <w:tcW w:w="885" w:type="dxa"/>
            <w:vAlign w:val="center"/>
          </w:tcPr>
          <w:p w14:paraId="0742B2A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shd w:val="clear" w:color="auto" w:fill="auto"/>
            <w:vAlign w:val="center"/>
          </w:tcPr>
          <w:p w14:paraId="7FDCD14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开展产品绿色设计</w:t>
            </w:r>
          </w:p>
        </w:tc>
        <w:tc>
          <w:tcPr>
            <w:tcW w:w="1950" w:type="dxa"/>
            <w:shd w:val="clear" w:color="auto" w:fill="auto"/>
            <w:vAlign w:val="center"/>
          </w:tcPr>
          <w:p w14:paraId="4C34AE7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一</w:t>
            </w:r>
          </w:p>
        </w:tc>
        <w:tc>
          <w:tcPr>
            <w:tcW w:w="915" w:type="dxa"/>
            <w:vMerge w:val="restart"/>
            <w:vAlign w:val="center"/>
          </w:tcPr>
          <w:p w14:paraId="5B6786A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eastAsia" w:ascii="Times New Roman" w:hAnsi="Times New Roman" w:eastAsia="仿宋" w:cs="Times New Roman"/>
                <w:snapToGrid w:val="0"/>
                <w:color w:val="000000"/>
                <w:kern w:val="0"/>
                <w:sz w:val="24"/>
                <w:szCs w:val="24"/>
                <w:highlight w:val="none"/>
                <w:vertAlign w:val="baseline"/>
                <w:lang w:val="en-US" w:eastAsia="zh-CN" w:bidi="ar-SA"/>
              </w:rPr>
              <w:t>16</w:t>
            </w:r>
          </w:p>
        </w:tc>
      </w:tr>
      <w:tr w14:paraId="6A8AA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40B2F5F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shd w:val="clear" w:color="auto" w:fill="auto"/>
            <w:vAlign w:val="center"/>
          </w:tcPr>
          <w:p w14:paraId="300D70A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13</w:t>
            </w:r>
          </w:p>
        </w:tc>
        <w:tc>
          <w:tcPr>
            <w:tcW w:w="1470" w:type="dxa"/>
            <w:vAlign w:val="center"/>
          </w:tcPr>
          <w:p w14:paraId="137F4D69">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产品碳足迹</w:t>
            </w:r>
          </w:p>
        </w:tc>
        <w:tc>
          <w:tcPr>
            <w:tcW w:w="4410" w:type="dxa"/>
            <w:vAlign w:val="center"/>
          </w:tcPr>
          <w:p w14:paraId="2799BBBD">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开展碳足迹核算产品类别占比</w:t>
            </w:r>
          </w:p>
        </w:tc>
        <w:tc>
          <w:tcPr>
            <w:tcW w:w="1185" w:type="dxa"/>
            <w:shd w:val="clear" w:color="auto" w:fill="auto"/>
            <w:vAlign w:val="center"/>
          </w:tcPr>
          <w:p w14:paraId="217C2E1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17C62B5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shd w:val="clear" w:color="auto" w:fill="auto"/>
            <w:vAlign w:val="center"/>
          </w:tcPr>
          <w:p w14:paraId="0F603F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开展产品碳足迹量化</w:t>
            </w:r>
          </w:p>
        </w:tc>
        <w:tc>
          <w:tcPr>
            <w:tcW w:w="1950" w:type="dxa"/>
            <w:shd w:val="clear" w:color="auto" w:fill="auto"/>
            <w:vAlign w:val="center"/>
          </w:tcPr>
          <w:p w14:paraId="07321D2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一</w:t>
            </w:r>
          </w:p>
        </w:tc>
        <w:tc>
          <w:tcPr>
            <w:tcW w:w="915" w:type="dxa"/>
            <w:vMerge w:val="continue"/>
            <w:vAlign w:val="center"/>
          </w:tcPr>
          <w:p w14:paraId="339253B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r>
      <w:tr w14:paraId="75003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1318FF1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525" w:type="dxa"/>
            <w:shd w:val="clear" w:color="auto" w:fill="auto"/>
            <w:vAlign w:val="center"/>
          </w:tcPr>
          <w:p w14:paraId="56E4583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14</w:t>
            </w:r>
          </w:p>
        </w:tc>
        <w:tc>
          <w:tcPr>
            <w:tcW w:w="1470" w:type="dxa"/>
            <w:vAlign w:val="center"/>
          </w:tcPr>
          <w:p w14:paraId="5211B03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绿色产品</w:t>
            </w:r>
          </w:p>
        </w:tc>
        <w:tc>
          <w:tcPr>
            <w:tcW w:w="4410" w:type="dxa"/>
            <w:vAlign w:val="center"/>
          </w:tcPr>
          <w:p w14:paraId="5C201FBE">
            <w:pPr>
              <w:keepNext w:val="0"/>
              <w:keepLines w:val="0"/>
              <w:pageBreakBefore w:val="0"/>
              <w:widowControl w:val="0"/>
              <w:kinsoku w:val="0"/>
              <w:wordWrap/>
              <w:overflowPunct/>
              <w:topLinePunct w:val="0"/>
              <w:autoSpaceDE w:val="0"/>
              <w:autoSpaceDN w:val="0"/>
              <w:bidi w:val="0"/>
              <w:adjustRightInd w:val="0"/>
              <w:snapToGrid w:val="0"/>
              <w:spacing w:line="32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节能产品占比（有适用国家强制性能效标准时必选）</w:t>
            </w:r>
          </w:p>
        </w:tc>
        <w:tc>
          <w:tcPr>
            <w:tcW w:w="1185" w:type="dxa"/>
            <w:shd w:val="clear" w:color="auto" w:fill="auto"/>
            <w:vAlign w:val="center"/>
          </w:tcPr>
          <w:p w14:paraId="1B129E0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28A1D38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w:t>
            </w:r>
          </w:p>
        </w:tc>
        <w:tc>
          <w:tcPr>
            <w:tcW w:w="2280" w:type="dxa"/>
            <w:vAlign w:val="center"/>
          </w:tcPr>
          <w:p w14:paraId="6D09D6B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1950" w:type="dxa"/>
            <w:vAlign w:val="center"/>
          </w:tcPr>
          <w:p w14:paraId="2FEA933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c>
          <w:tcPr>
            <w:tcW w:w="915" w:type="dxa"/>
            <w:vMerge w:val="continue"/>
            <w:vAlign w:val="center"/>
          </w:tcPr>
          <w:p w14:paraId="2E3A6D36">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p>
        </w:tc>
      </w:tr>
      <w:tr w14:paraId="1861C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restart"/>
            <w:vAlign w:val="center"/>
          </w:tcPr>
          <w:p w14:paraId="152822B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用地集约化</w:t>
            </w:r>
          </w:p>
          <w:p w14:paraId="07D29635">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c>
          <w:tcPr>
            <w:tcW w:w="525" w:type="dxa"/>
            <w:vMerge w:val="restart"/>
            <w:vAlign w:val="center"/>
          </w:tcPr>
          <w:p w14:paraId="0AF4F06E">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15</w:t>
            </w:r>
          </w:p>
        </w:tc>
        <w:tc>
          <w:tcPr>
            <w:tcW w:w="1470" w:type="dxa"/>
            <w:vMerge w:val="restart"/>
            <w:vAlign w:val="center"/>
          </w:tcPr>
          <w:p w14:paraId="3884E9E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土地产出率</w:t>
            </w:r>
          </w:p>
        </w:tc>
        <w:tc>
          <w:tcPr>
            <w:tcW w:w="4410" w:type="dxa"/>
            <w:vAlign w:val="center"/>
          </w:tcPr>
          <w:p w14:paraId="197305AF">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单位用地面积产值</w:t>
            </w:r>
          </w:p>
        </w:tc>
        <w:tc>
          <w:tcPr>
            <w:tcW w:w="1185" w:type="dxa"/>
            <w:vAlign w:val="center"/>
          </w:tcPr>
          <w:p w14:paraId="725F8B3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正向定量</w:t>
            </w:r>
          </w:p>
        </w:tc>
        <w:tc>
          <w:tcPr>
            <w:tcW w:w="885" w:type="dxa"/>
            <w:vAlign w:val="center"/>
          </w:tcPr>
          <w:p w14:paraId="2117892D">
            <w:pPr>
              <w:keepNext w:val="0"/>
              <w:keepLines w:val="0"/>
              <w:pageBreakBefore w:val="0"/>
              <w:widowControl w:val="0"/>
              <w:kinsoku w:val="0"/>
              <w:wordWrap/>
              <w:overflowPunct/>
              <w:topLinePunct w:val="0"/>
              <w:autoSpaceDE w:val="0"/>
              <w:autoSpaceDN w:val="0"/>
              <w:bidi w:val="0"/>
              <w:adjustRightInd w:val="0"/>
              <w:snapToGrid w:val="0"/>
              <w:spacing w:line="32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万元/m</w:t>
            </w:r>
            <w:r>
              <w:rPr>
                <w:rFonts w:hint="default" w:ascii="Times New Roman" w:hAnsi="Times New Roman" w:eastAsia="仿宋" w:cs="Times New Roman"/>
                <w:snapToGrid w:val="0"/>
                <w:color w:val="000000"/>
                <w:kern w:val="0"/>
                <w:sz w:val="24"/>
                <w:szCs w:val="24"/>
                <w:highlight w:val="none"/>
                <w:vertAlign w:val="superscript"/>
                <w:lang w:val="en-US" w:eastAsia="zh-CN" w:bidi="ar-SA"/>
              </w:rPr>
              <w:t>2</w:t>
            </w:r>
          </w:p>
        </w:tc>
        <w:tc>
          <w:tcPr>
            <w:tcW w:w="2280" w:type="dxa"/>
            <w:vMerge w:val="restart"/>
            <w:shd w:val="clear" w:color="auto" w:fill="auto"/>
            <w:vAlign w:val="center"/>
          </w:tcPr>
          <w:p w14:paraId="73CB568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行业先进水平</w:t>
            </w:r>
          </w:p>
        </w:tc>
        <w:tc>
          <w:tcPr>
            <w:tcW w:w="1950" w:type="dxa"/>
            <w:vMerge w:val="restart"/>
            <w:shd w:val="clear" w:color="auto" w:fill="auto"/>
            <w:vAlign w:val="center"/>
          </w:tcPr>
          <w:p w14:paraId="2A9485C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snapToGrid w:val="0"/>
                <w:color w:val="000000"/>
                <w:kern w:val="0"/>
                <w:sz w:val="24"/>
                <w:szCs w:val="24"/>
                <w:highlight w:val="none"/>
                <w:u w:val="none"/>
                <w:lang w:val="en-US" w:eastAsia="zh-CN" w:bidi="ar-SA"/>
              </w:rPr>
            </w:pPr>
            <w:r>
              <w:rPr>
                <w:rFonts w:hint="default" w:ascii="Times New Roman" w:hAnsi="Times New Roman" w:eastAsia="仿宋" w:cs="Times New Roman"/>
                <w:i w:val="0"/>
                <w:iCs w:val="0"/>
                <w:snapToGrid w:val="0"/>
                <w:color w:val="000000"/>
                <w:kern w:val="0"/>
                <w:sz w:val="24"/>
                <w:szCs w:val="24"/>
                <w:highlight w:val="none"/>
                <w:u w:val="none"/>
                <w:lang w:val="en-US" w:eastAsia="zh-CN" w:bidi="ar"/>
              </w:rPr>
              <w:t>行业平均水平</w:t>
            </w:r>
          </w:p>
        </w:tc>
        <w:tc>
          <w:tcPr>
            <w:tcW w:w="915" w:type="dxa"/>
            <w:vMerge w:val="restart"/>
            <w:vAlign w:val="center"/>
          </w:tcPr>
          <w:p w14:paraId="744F5BD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highlight w:val="none"/>
                <w:vertAlign w:val="baseline"/>
                <w:lang w:val="en-US" w:eastAsia="zh-CN" w:bidi="ar-SA"/>
              </w:rPr>
            </w:pPr>
            <w:r>
              <w:rPr>
                <w:rFonts w:hint="default" w:ascii="Times New Roman" w:hAnsi="Times New Roman" w:eastAsia="仿宋" w:cs="Times New Roman"/>
                <w:snapToGrid w:val="0"/>
                <w:color w:val="000000"/>
                <w:kern w:val="0"/>
                <w:sz w:val="24"/>
                <w:szCs w:val="24"/>
                <w:highlight w:val="none"/>
                <w:vertAlign w:val="baseline"/>
                <w:lang w:val="en-US" w:eastAsia="zh-CN" w:bidi="ar-SA"/>
              </w:rPr>
              <w:t>8</w:t>
            </w:r>
          </w:p>
        </w:tc>
      </w:tr>
      <w:tr w14:paraId="6CA2E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55826C8A">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525" w:type="dxa"/>
            <w:vMerge w:val="continue"/>
            <w:vAlign w:val="center"/>
          </w:tcPr>
          <w:p w14:paraId="63036F6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470" w:type="dxa"/>
            <w:vMerge w:val="continue"/>
            <w:vAlign w:val="center"/>
          </w:tcPr>
          <w:p w14:paraId="6BD2E44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4410" w:type="dxa"/>
            <w:vAlign w:val="center"/>
          </w:tcPr>
          <w:p w14:paraId="2DCA19B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建筑系数</w:t>
            </w:r>
          </w:p>
        </w:tc>
        <w:tc>
          <w:tcPr>
            <w:tcW w:w="1185" w:type="dxa"/>
            <w:vAlign w:val="center"/>
          </w:tcPr>
          <w:p w14:paraId="3F5EB8D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885" w:type="dxa"/>
            <w:vAlign w:val="center"/>
          </w:tcPr>
          <w:p w14:paraId="696F2E6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2280" w:type="dxa"/>
            <w:vMerge w:val="continue"/>
            <w:vAlign w:val="center"/>
          </w:tcPr>
          <w:p w14:paraId="74D4AFA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950" w:type="dxa"/>
            <w:vMerge w:val="continue"/>
            <w:vAlign w:val="center"/>
          </w:tcPr>
          <w:p w14:paraId="20A16934">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915" w:type="dxa"/>
            <w:vMerge w:val="continue"/>
            <w:vAlign w:val="center"/>
          </w:tcPr>
          <w:p w14:paraId="56966C6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r w14:paraId="6DDC5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22" w:type="dxa"/>
            <w:vMerge w:val="continue"/>
            <w:vAlign w:val="center"/>
          </w:tcPr>
          <w:p w14:paraId="30354D8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525" w:type="dxa"/>
            <w:vMerge w:val="continue"/>
            <w:vAlign w:val="center"/>
          </w:tcPr>
          <w:p w14:paraId="3BBDEF8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470" w:type="dxa"/>
            <w:vMerge w:val="continue"/>
            <w:vAlign w:val="center"/>
          </w:tcPr>
          <w:p w14:paraId="568302F2">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4410" w:type="dxa"/>
            <w:vAlign w:val="center"/>
          </w:tcPr>
          <w:p w14:paraId="0624AFE0">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容积率</w:t>
            </w:r>
          </w:p>
        </w:tc>
        <w:tc>
          <w:tcPr>
            <w:tcW w:w="1185" w:type="dxa"/>
            <w:vAlign w:val="center"/>
          </w:tcPr>
          <w:p w14:paraId="0FFB420B">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正向定量</w:t>
            </w:r>
          </w:p>
        </w:tc>
        <w:tc>
          <w:tcPr>
            <w:tcW w:w="885" w:type="dxa"/>
            <w:vAlign w:val="center"/>
          </w:tcPr>
          <w:p w14:paraId="4BDA0F4C">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t>/</w:t>
            </w:r>
          </w:p>
        </w:tc>
        <w:tc>
          <w:tcPr>
            <w:tcW w:w="2280" w:type="dxa"/>
            <w:vMerge w:val="continue"/>
            <w:vAlign w:val="center"/>
          </w:tcPr>
          <w:p w14:paraId="3AC3CC63">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1950" w:type="dxa"/>
            <w:vMerge w:val="continue"/>
            <w:vAlign w:val="center"/>
          </w:tcPr>
          <w:p w14:paraId="5EC40C31">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c>
          <w:tcPr>
            <w:tcW w:w="915" w:type="dxa"/>
            <w:vMerge w:val="continue"/>
            <w:vAlign w:val="center"/>
          </w:tcPr>
          <w:p w14:paraId="399771E7">
            <w:pPr>
              <w:keepNext w:val="0"/>
              <w:keepLines w:val="0"/>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ascii="Times New Roman" w:hAnsi="Times New Roman" w:eastAsia="仿宋" w:cs="Times New Roman"/>
                <w:snapToGrid w:val="0"/>
                <w:color w:val="000000"/>
                <w:kern w:val="0"/>
                <w:sz w:val="24"/>
                <w:szCs w:val="24"/>
                <w:vertAlign w:val="baseline"/>
                <w:lang w:val="en-US" w:eastAsia="zh-CN" w:bidi="ar-SA"/>
              </w:rPr>
            </w:pPr>
          </w:p>
        </w:tc>
      </w:tr>
    </w:tbl>
    <w:p w14:paraId="5FE46969">
      <w:pPr>
        <w:keepNext w:val="0"/>
        <w:keepLines w:val="0"/>
        <w:pageBreakBefore w:val="0"/>
        <w:widowControl w:val="0"/>
        <w:topLinePunct w:val="0"/>
        <w:bidi w:val="0"/>
        <w:rPr>
          <w:rFonts w:hint="default" w:ascii="Times New Roman" w:hAnsi="Times New Roman" w:cs="Times New Roman"/>
          <w:i w:val="0"/>
          <w:iCs w:val="0"/>
          <w:color w:val="000000"/>
          <w:sz w:val="22"/>
          <w:szCs w:val="22"/>
          <w:u w:val="none"/>
        </w:rPr>
        <w:sectPr>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29DE46F1">
      <w:pPr>
        <w:keepNext w:val="0"/>
        <w:keepLines w:val="0"/>
        <w:pageBreakBefore w:val="0"/>
        <w:widowControl w:val="0"/>
        <w:topLinePunct w:val="0"/>
        <w:bidi w:val="0"/>
        <w:jc w:val="center"/>
        <w:rPr>
          <w:rFonts w:hint="default" w:ascii="Times New Roman" w:hAnsi="Times New Roman" w:eastAsia="方正小标宋简体" w:cs="Times New Roman"/>
          <w:sz w:val="36"/>
          <w:szCs w:val="36"/>
        </w:rPr>
      </w:pPr>
    </w:p>
    <w:p w14:paraId="294F1C98">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r>
        <w:rPr>
          <w:rFonts w:hint="eastAsia" w:ascii="Times New Roman" w:hAnsi="Times New Roman" w:eastAsia="黑体" w:cs="Times New Roman"/>
          <w:b w:val="0"/>
          <w:bCs w:val="0"/>
          <w:sz w:val="32"/>
          <w:szCs w:val="32"/>
          <w:lang w:val="en-US" w:eastAsia="zh-CN"/>
        </w:rPr>
        <w:t>二、</w:t>
      </w:r>
      <w:r>
        <w:rPr>
          <w:rFonts w:hint="default" w:ascii="Times New Roman" w:hAnsi="Times New Roman" w:eastAsia="黑体" w:cs="Times New Roman"/>
          <w:b w:val="0"/>
          <w:bCs w:val="0"/>
          <w:sz w:val="32"/>
          <w:szCs w:val="32"/>
          <w:lang w:val="en-US" w:eastAsia="zh-CN"/>
        </w:rPr>
        <w:t>主要指标计算方法</w:t>
      </w:r>
    </w:p>
    <w:p w14:paraId="2961A04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0" w:name="_Toc3082"/>
      <w:bookmarkEnd w:id="0"/>
      <w:bookmarkStart w:id="1" w:name="_Toc24802"/>
      <w:bookmarkEnd w:id="1"/>
      <w:bookmarkStart w:id="2" w:name="_Toc9263"/>
      <w:bookmarkEnd w:id="2"/>
      <w:bookmarkStart w:id="3" w:name="_Toc27078"/>
    </w:p>
    <w:p w14:paraId="1FB74DE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能源消耗强度</w:t>
      </w:r>
    </w:p>
    <w:p w14:paraId="5284D485">
      <w:pPr>
        <w:pStyle w:val="29"/>
        <w:keepNext w:val="0"/>
        <w:keepLines w:val="0"/>
        <w:pageBreakBefore w:val="0"/>
        <w:widowControl w:val="0"/>
        <w:kinsoku/>
        <w:topLinePunct w:val="0"/>
        <w:autoSpaceDE w:val="0"/>
        <w:bidi w:val="0"/>
        <w:adjustRightInd/>
        <w:snapToGrid/>
        <w:spacing w:line="500" w:lineRule="exact"/>
        <w:ind w:firstLine="560" w:firstLineChars="200"/>
        <w:rPr>
          <w:rFonts w:hint="default" w:ascii="Times New Roman" w:hAnsi="Times New Roman" w:eastAsia="仿宋" w:cs="Times New Roman"/>
          <w:sz w:val="28"/>
          <w:szCs w:val="28"/>
          <w:lang w:val="en-US" w:eastAsia="zh-CN"/>
        </w:rPr>
      </w:pPr>
      <w:r>
        <w:rPr>
          <w:rFonts w:hint="default" w:ascii="Times New Roman" w:hAnsi="Times New Roman" w:eastAsia="仿宋" w:cs="Times New Roman"/>
          <w:sz w:val="28"/>
          <w:szCs w:val="28"/>
          <w:highlight w:val="none"/>
          <w:lang w:val="en-US" w:eastAsia="zh-CN"/>
        </w:rPr>
        <w:t>“单位产品综合能耗”和“单位产值综合能耗”指标二选一：当有适用国家强制性能源消耗限额标准时，必须选择“单位产品综合能耗”进行计算填报；无适用国家强制性能源消耗限额标准时，选择“单位产值综合能耗”进行计算填报。</w:t>
      </w:r>
    </w:p>
    <w:p w14:paraId="6CA08F7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rPr>
      </w:pPr>
      <w:r>
        <w:rPr>
          <w:rFonts w:hint="default" w:ascii="Times New Roman" w:hAnsi="Times New Roman" w:eastAsia="仿宋" w:cs="Times New Roman"/>
          <w:sz w:val="28"/>
          <w:szCs w:val="28"/>
          <w:highlight w:val="none"/>
          <w:lang w:eastAsia="zh-CN"/>
        </w:rPr>
        <w:t>（</w:t>
      </w:r>
      <w:r>
        <w:rPr>
          <w:rFonts w:hint="default" w:ascii="Times New Roman" w:hAnsi="Times New Roman" w:eastAsia="仿宋" w:cs="Times New Roman"/>
          <w:sz w:val="28"/>
          <w:szCs w:val="28"/>
          <w:highlight w:val="none"/>
          <w:lang w:val="en-US" w:eastAsia="zh-CN"/>
        </w:rPr>
        <w:t>1</w:t>
      </w:r>
      <w:r>
        <w:rPr>
          <w:rFonts w:hint="default" w:ascii="Times New Roman" w:hAnsi="Times New Roman" w:eastAsia="仿宋" w:cs="Times New Roman"/>
          <w:sz w:val="28"/>
          <w:szCs w:val="28"/>
          <w:highlight w:val="none"/>
          <w:lang w:eastAsia="zh-CN"/>
        </w:rPr>
        <w:t>）</w:t>
      </w:r>
      <w:r>
        <w:rPr>
          <w:rFonts w:hint="default" w:ascii="Times New Roman" w:hAnsi="Times New Roman" w:eastAsia="仿宋" w:cs="Times New Roman"/>
          <w:sz w:val="28"/>
          <w:szCs w:val="28"/>
          <w:highlight w:val="none"/>
        </w:rPr>
        <w:t>单位产品综合能耗</w:t>
      </w:r>
      <w:bookmarkEnd w:id="3"/>
    </w:p>
    <w:p w14:paraId="5C0D72DE">
      <w:pPr>
        <w:keepNext w:val="0"/>
        <w:keepLines w:val="0"/>
        <w:pageBreakBefore w:val="0"/>
        <w:widowControl w:val="0"/>
        <w:topLinePunct w:val="0"/>
        <w:bidi w:val="0"/>
        <w:spacing w:line="360" w:lineRule="auto"/>
        <w:ind w:left="0" w:leftChars="0" w:firstLine="0" w:firstLineChars="0"/>
        <w:jc w:val="center"/>
        <w:outlineLvl w:val="0"/>
        <w:rPr>
          <w:rFonts w:hint="default" w:ascii="Times New Roman" w:hAnsi="Times New Roman" w:eastAsia="宋体" w:cs="Times New Roman"/>
          <w:sz w:val="28"/>
          <w:szCs w:val="28"/>
          <w:highlight w:val="none"/>
        </w:rPr>
      </w:pPr>
      <w:bookmarkStart w:id="4" w:name="_Toc24494"/>
      <w:r>
        <w:rPr>
          <w:rFonts w:hint="default" w:ascii="Times New Roman" w:hAnsi="Times New Roman" w:eastAsia="宋体" w:cs="Times New Roman"/>
          <w:position w:val="-30"/>
          <w:sz w:val="28"/>
          <w:szCs w:val="28"/>
          <w:highlight w:val="none"/>
        </w:rPr>
        <w:object>
          <v:shape id="_x0000_i1025" o:spt="75" type="#_x0000_t75" style="height:34.75pt;width:44.25pt;" o:ole="t" filled="f" o:preferrelative="t" stroked="f" coordsize="21600,21600">
            <v:path/>
            <v:fill on="f" focussize="0,0"/>
            <v:stroke on="f"/>
            <v:imagedata r:id="rId8" o:title=""/>
            <o:lock v:ext="edit" aspectratio="t"/>
            <w10:wrap type="none"/>
            <w10:anchorlock/>
          </v:shape>
          <o:OLEObject Type="Embed" ProgID="Equation.3" ShapeID="_x0000_i1025" DrawAspect="Content" ObjectID="_1468075725" r:id="rId7">
            <o:LockedField>false</o:LockedField>
          </o:OLEObject>
        </w:object>
      </w:r>
      <w:bookmarkEnd w:id="4"/>
    </w:p>
    <w:p w14:paraId="739365B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6AC9EF8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E</w:t>
      </w:r>
      <w:r>
        <w:rPr>
          <w:rFonts w:hint="default" w:ascii="Times New Roman" w:hAnsi="Times New Roman" w:eastAsia="仿宋" w:cs="Times New Roman"/>
          <w:sz w:val="28"/>
          <w:szCs w:val="28"/>
          <w:highlight w:val="none"/>
          <w:vertAlign w:val="subscript"/>
          <w:lang w:val="en-US" w:eastAsia="zh-CN"/>
        </w:rPr>
        <w:t>ui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第i种产品的单位产品综合能耗，单位为吨标准煤每产品单位或千克标准煤每产品单位；</w:t>
      </w:r>
    </w:p>
    <w:p w14:paraId="60B0F6B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E</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评价年工厂第i种产品的综合能耗（不含用作原料的能源），单位为吨标准煤（tce）或千克标准煤（kgce）；</w:t>
      </w:r>
    </w:p>
    <w:p w14:paraId="344EF05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Q</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评价年工厂第i种产品的合格产品产量，单位为产品单位。</w:t>
      </w:r>
    </w:p>
    <w:p w14:paraId="4ECF72F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对同时生产多种产品的情况，应按每种产品实际消耗的能源分别计算，在无法分别对每种产品进行计量、计算时，可折算成标准产品统一计算，或按产量与能耗量的比例分摊计算。</w:t>
      </w:r>
    </w:p>
    <w:p w14:paraId="35DED8C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其中，涉及多种产品适用国家强制性能源消耗限额标准时，仅填写综合能耗排序前三以内的产品，即最多计算、填报适用国家强制性能源消耗限额标准的三类产品。</w:t>
      </w:r>
    </w:p>
    <w:p w14:paraId="3B569EC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参考标准：</w:t>
      </w:r>
    </w:p>
    <w:p w14:paraId="0339C0F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GB/T2589《综合能耗计算通则》</w:t>
      </w:r>
    </w:p>
    <w:p w14:paraId="3CB0B72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5" w:name="_Toc12413"/>
      <w:r>
        <w:rPr>
          <w:rFonts w:hint="default" w:ascii="Times New Roman" w:hAnsi="Times New Roman" w:eastAsia="仿宋" w:cs="Times New Roman"/>
          <w:sz w:val="28"/>
          <w:szCs w:val="28"/>
          <w:highlight w:val="none"/>
          <w:lang w:val="en-US" w:eastAsia="zh-CN"/>
        </w:rPr>
        <w:t>（2）单位产值综合能耗</w:t>
      </w:r>
      <w:bookmarkEnd w:id="5"/>
    </w:p>
    <w:p w14:paraId="3B783984">
      <w:pPr>
        <w:keepNext w:val="0"/>
        <w:keepLines w:val="0"/>
        <w:pageBreakBefore w:val="0"/>
        <w:widowControl w:val="0"/>
        <w:topLinePunct w:val="0"/>
        <w:bidi w:val="0"/>
        <w:spacing w:line="360" w:lineRule="auto"/>
        <w:ind w:left="0" w:leftChars="0" w:firstLine="0" w:firstLineChars="0"/>
        <w:jc w:val="center"/>
        <w:outlineLvl w:val="0"/>
        <w:rPr>
          <w:rFonts w:hint="default" w:ascii="Times New Roman" w:hAnsi="Times New Roman" w:eastAsia="宋体" w:cs="Times New Roman"/>
          <w:sz w:val="28"/>
          <w:szCs w:val="28"/>
          <w:highlight w:val="none"/>
        </w:rPr>
      </w:pPr>
      <w:bookmarkStart w:id="6" w:name="_Toc496718769"/>
      <w:bookmarkStart w:id="7" w:name="_Toc8721"/>
      <w:bookmarkStart w:id="8" w:name="_Toc496686868"/>
      <w:bookmarkStart w:id="9" w:name="_Toc22154"/>
      <w:r>
        <w:rPr>
          <w:rFonts w:hint="default" w:ascii="Times New Roman" w:hAnsi="Times New Roman" w:eastAsia="宋体" w:cs="Times New Roman"/>
          <w:position w:val="-22"/>
          <w:sz w:val="28"/>
          <w:szCs w:val="28"/>
          <w:highlight w:val="none"/>
        </w:rPr>
        <w:object>
          <v:shape id="_x0000_i1026" o:spt="75" type="#_x0000_t75" style="height:33.15pt;width:41.85pt;" o:ole="t" filled="f" o:preferrelative="t" stroked="f" coordsize="21600,21600">
            <v:path/>
            <v:fill on="f" focussize="0,0"/>
            <v:stroke on="f"/>
            <v:imagedata r:id="rId10" o:title=""/>
            <o:lock v:ext="edit" aspectratio="t"/>
            <w10:wrap type="none"/>
            <w10:anchorlock/>
          </v:shape>
          <o:OLEObject Type="Embed" ProgID="Equation.3" ShapeID="_x0000_i1026" DrawAspect="Content" ObjectID="_1468075726" r:id="rId9">
            <o:LockedField>false</o:LockedField>
          </o:OLEObject>
        </w:object>
      </w:r>
    </w:p>
    <w:p w14:paraId="23B0424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7BC86A1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E</w:t>
      </w:r>
      <w:r>
        <w:rPr>
          <w:rFonts w:hint="default" w:ascii="Times New Roman" w:hAnsi="Times New Roman" w:eastAsia="仿宋" w:cs="Times New Roman"/>
          <w:sz w:val="28"/>
          <w:szCs w:val="28"/>
          <w:highlight w:val="none"/>
          <w:vertAlign w:val="subscript"/>
          <w:lang w:val="en-US" w:eastAsia="zh-CN"/>
        </w:rPr>
        <w:t>g</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单位产值综合能耗，单位为千克标准煤每万元（kgce/万元）；</w:t>
      </w:r>
    </w:p>
    <w:p w14:paraId="31B8707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E</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评价年工厂的综合能耗（不含用作原料的能源），单位为千克标准煤（kgce）；</w:t>
      </w:r>
    </w:p>
    <w:p w14:paraId="3CF7289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评价年工厂的总产值，单位为万元。</w:t>
      </w:r>
    </w:p>
    <w:p w14:paraId="60D5E857">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参考标准：</w:t>
      </w:r>
    </w:p>
    <w:p w14:paraId="6C2BA9D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GB/T2589《综合能耗计算通则》</w:t>
      </w:r>
    </w:p>
    <w:p w14:paraId="72533CA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10" w:name="_Toc31171"/>
      <w:bookmarkStart w:id="11" w:name="_Toc27266"/>
      <w:r>
        <w:rPr>
          <w:rFonts w:hint="eastAsia" w:ascii="Times New Roman" w:eastAsia="仿宋" w:cs="Times New Roman"/>
          <w:sz w:val="28"/>
          <w:szCs w:val="28"/>
          <w:highlight w:val="none"/>
          <w:lang w:val="en-US" w:eastAsia="zh-CN"/>
        </w:rPr>
        <w:t>2.</w:t>
      </w:r>
      <w:bookmarkEnd w:id="10"/>
      <w:bookmarkStart w:id="12" w:name="_Toc15866"/>
      <w:r>
        <w:rPr>
          <w:rFonts w:hint="default" w:ascii="Times New Roman" w:hAnsi="Times New Roman" w:eastAsia="仿宋" w:cs="Times New Roman"/>
          <w:sz w:val="28"/>
          <w:szCs w:val="28"/>
          <w:highlight w:val="none"/>
          <w:lang w:val="en-US" w:eastAsia="zh-CN"/>
        </w:rPr>
        <w:t>单位产值二氧化碳排放量</w:t>
      </w:r>
      <w:bookmarkEnd w:id="12"/>
    </w:p>
    <w:p w14:paraId="22B02C34">
      <w:pPr>
        <w:keepNext w:val="0"/>
        <w:keepLines w:val="0"/>
        <w:pageBreakBefore w:val="0"/>
        <w:widowControl w:val="0"/>
        <w:topLinePunct w:val="0"/>
        <w:bidi w:val="0"/>
        <w:spacing w:line="360" w:lineRule="auto"/>
        <w:ind w:firstLine="560" w:firstLineChars="200"/>
        <w:jc w:val="center"/>
        <w:outlineLvl w:val="0"/>
        <w:rPr>
          <w:rFonts w:hint="default" w:ascii="Times New Roman" w:hAnsi="Times New Roman" w:eastAsia="宋体" w:cs="Times New Roman"/>
          <w:sz w:val="28"/>
          <w:szCs w:val="28"/>
          <w:highlight w:val="none"/>
        </w:rPr>
      </w:pPr>
      <w:r>
        <w:rPr>
          <w:rFonts w:hint="default" w:ascii="Times New Roman" w:hAnsi="Times New Roman" w:eastAsia="宋体" w:cs="Times New Roman"/>
          <w:position w:val="-22"/>
          <w:sz w:val="28"/>
          <w:szCs w:val="28"/>
          <w:highlight w:val="none"/>
        </w:rPr>
        <w:object>
          <v:shape id="_x0000_i1027" o:spt="75" type="#_x0000_t75" style="height:28.7pt;width:36.6pt;" o:ole="t" filled="f" o:preferrelative="t" stroked="f" coordsize="21600,21600">
            <v:path/>
            <v:fill on="f" focussize="0,0"/>
            <v:stroke on="f"/>
            <v:imagedata r:id="rId12" o:title=""/>
            <o:lock v:ext="edit" aspectratio="t"/>
            <w10:wrap type="none"/>
            <w10:anchorlock/>
          </v:shape>
          <o:OLEObject Type="Embed" ProgID="Equation.3" ShapeID="_x0000_i1027" DrawAspect="Content" ObjectID="_1468075727" r:id="rId11">
            <o:LockedField>false</o:LockedField>
          </o:OLEObject>
        </w:object>
      </w:r>
    </w:p>
    <w:p w14:paraId="0B72802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391D7FF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C</w:t>
      </w:r>
      <w:r>
        <w:rPr>
          <w:rFonts w:hint="default" w:ascii="Times New Roman" w:hAnsi="Times New Roman" w:eastAsia="仿宋" w:cs="Times New Roman"/>
          <w:sz w:val="28"/>
          <w:szCs w:val="28"/>
          <w:highlight w:val="none"/>
          <w:vertAlign w:val="subscript"/>
          <w:lang w:val="en-US" w:eastAsia="zh-CN"/>
        </w:rPr>
        <w:t>g</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单位产值二氧化碳排放量，单位为千克二氧化碳每万元（kgCO</w:t>
      </w:r>
      <w:r>
        <w:rPr>
          <w:rFonts w:hint="default" w:ascii="Times New Roman" w:hAnsi="Times New Roman" w:eastAsia="仿宋" w:cs="Times New Roman"/>
          <w:sz w:val="28"/>
          <w:szCs w:val="28"/>
          <w:highlight w:val="none"/>
          <w:vertAlign w:val="subscript"/>
          <w:lang w:val="en-US" w:eastAsia="zh-CN"/>
        </w:rPr>
        <w:t>2</w:t>
      </w:r>
      <w:r>
        <w:rPr>
          <w:rFonts w:hint="default" w:ascii="Times New Roman" w:hAnsi="Times New Roman" w:eastAsia="仿宋" w:cs="Times New Roman"/>
          <w:sz w:val="28"/>
          <w:szCs w:val="28"/>
          <w:highlight w:val="none"/>
          <w:lang w:val="en-US" w:eastAsia="zh-CN"/>
        </w:rPr>
        <w:t>/万元）；</w:t>
      </w:r>
    </w:p>
    <w:p w14:paraId="1DCFE58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C</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评价年工厂的二氧化碳排放量，应依据GB/T32150、GB/T32151（所有部分）或适用标准规范计算工厂的燃料燃烧排放、过程排放以及购入电力与热力产生的排放，单位为千克二氧化碳（kgCO</w:t>
      </w:r>
      <w:r>
        <w:rPr>
          <w:rFonts w:hint="default" w:ascii="Times New Roman" w:hAnsi="Times New Roman" w:eastAsia="仿宋" w:cs="Times New Roman"/>
          <w:sz w:val="28"/>
          <w:szCs w:val="28"/>
          <w:highlight w:val="none"/>
          <w:vertAlign w:val="subscript"/>
          <w:lang w:val="en-US" w:eastAsia="zh-CN"/>
        </w:rPr>
        <w:t>2</w:t>
      </w:r>
      <w:r>
        <w:rPr>
          <w:rFonts w:hint="default" w:ascii="Times New Roman" w:hAnsi="Times New Roman" w:eastAsia="仿宋" w:cs="Times New Roman"/>
          <w:sz w:val="28"/>
          <w:szCs w:val="28"/>
          <w:highlight w:val="none"/>
          <w:lang w:val="en-US" w:eastAsia="zh-CN"/>
        </w:rPr>
        <w:t>）；</w:t>
      </w:r>
    </w:p>
    <w:p w14:paraId="773E609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评价年工厂的总产值，单位为万元。</w:t>
      </w:r>
    </w:p>
    <w:p w14:paraId="55FE7FD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其中，排放因子的取值原则如下：</w:t>
      </w:r>
    </w:p>
    <w:p w14:paraId="435FDED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a）全国电力平均二氧化碳排放因子（不包括市场化交易的非化石能源电量）采用中华人民共和国生态环境部发布的数据，如有更新，采用其最新发布的数值。</w:t>
      </w:r>
    </w:p>
    <w:p w14:paraId="20C49E0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b）通过电力直供、市场化交易购入使用的非化石能源电力消费量的二氧化碳排放因子为零。</w:t>
      </w:r>
    </w:p>
    <w:p w14:paraId="271054E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c）不同能源品种和能源活动类型的排放因子采用国家温室气体排放因子数据库排放因子。</w:t>
      </w:r>
    </w:p>
    <w:p w14:paraId="2387B57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宋体" w:cs="Times New Roman"/>
          <w:sz w:val="28"/>
          <w:szCs w:val="28"/>
          <w:highlight w:val="none"/>
          <w:lang w:val="en-US" w:eastAsia="zh-CN" w:bidi="ar-SA"/>
        </w:rPr>
      </w:pPr>
      <w:r>
        <w:rPr>
          <w:rFonts w:hint="default" w:ascii="Times New Roman" w:hAnsi="Times New Roman" w:eastAsia="仿宋" w:cs="Times New Roman"/>
          <w:sz w:val="28"/>
          <w:szCs w:val="28"/>
          <w:highlight w:val="none"/>
          <w:lang w:val="en-US" w:eastAsia="zh-CN"/>
        </w:rPr>
        <w:t>参考标准：GB/T32150-2015《工业企业温室气体排放核算和报告通则》</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napToGrid/>
          <w:color w:val="auto"/>
          <w:kern w:val="21"/>
          <w:sz w:val="28"/>
          <w:szCs w:val="28"/>
          <w:highlight w:val="none"/>
          <w:lang w:val="en-US" w:eastAsia="zh-CN" w:bidi="ar-SA"/>
        </w:rPr>
        <w:t>国家温室气体排放因子数据库</w:t>
      </w:r>
    </w:p>
    <w:p w14:paraId="2781A8DF">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bookmarkStart w:id="13" w:name="_Toc22872"/>
      <w:r>
        <w:rPr>
          <w:rFonts w:hint="default" w:ascii="Times New Roman" w:hAnsi="Times New Roman" w:eastAsia="仿宋" w:cs="Times New Roman"/>
          <w:sz w:val="28"/>
          <w:szCs w:val="28"/>
          <w:highlight w:val="none"/>
          <w:lang w:val="en-US" w:eastAsia="zh-CN"/>
        </w:rPr>
        <w:t>3</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可再生能源利用率</w:t>
      </w:r>
      <w:bookmarkEnd w:id="13"/>
    </w:p>
    <w:p w14:paraId="2F1B2773">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可再生能源利用率指工厂可再生能源消耗量与综合能耗的比值，按下式计算。</w:t>
      </w:r>
    </w:p>
    <w:p w14:paraId="4D2551A6">
      <w:pPr>
        <w:keepNext w:val="0"/>
        <w:keepLines w:val="0"/>
        <w:pageBreakBefore w:val="0"/>
        <w:widowControl w:val="0"/>
        <w:topLinePunct w:val="0"/>
        <w:bidi w:val="0"/>
        <w:ind w:firstLine="0" w:firstLineChars="0"/>
        <w:jc w:val="center"/>
        <w:rPr>
          <w:rFonts w:hint="default" w:ascii="Times New Roman" w:hAnsi="Times New Roman" w:eastAsia="宋体" w:cs="Times New Roman"/>
          <w:sz w:val="28"/>
          <w:szCs w:val="28"/>
          <w:highlight w:val="none"/>
          <w:lang w:val="en-US" w:eastAsia="zh-CN"/>
        </w:rPr>
      </w:pPr>
      <w:r>
        <w:rPr>
          <w:rFonts w:hint="default" w:ascii="Times New Roman" w:hAnsi="Times New Roman" w:eastAsia="宋体" w:cs="Times New Roman"/>
          <w:position w:val="-24"/>
          <w:sz w:val="28"/>
          <w:szCs w:val="28"/>
          <w:highlight w:val="none"/>
        </w:rPr>
        <w:object>
          <v:shape id="_x0000_i1028" o:spt="75" type="#_x0000_t75" style="height:31pt;width:134.5pt;" o:ole="t" filled="f" o:preferrelative="t" stroked="f" coordsize="21600,21600">
            <v:path/>
            <v:fill on="f" focussize="0,0"/>
            <v:stroke on="f"/>
            <v:imagedata r:id="rId14" o:title=""/>
            <o:lock v:ext="edit" aspectratio="t"/>
            <w10:wrap type="none"/>
            <w10:anchorlock/>
          </v:shape>
          <o:OLEObject Type="Embed" ProgID="Equation.KSEE3" ShapeID="_x0000_i1028" DrawAspect="Content" ObjectID="_1468075728" r:id="rId13">
            <o:LockedField>false</o:LockedField>
          </o:OLEObject>
        </w:object>
      </w:r>
    </w:p>
    <w:p w14:paraId="2A147F3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65DC1F1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r</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可再生能源利用率；</w:t>
      </w:r>
    </w:p>
    <w:p w14:paraId="37EF599D">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R</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评价年工厂可再生能源消耗量，单位为吨标准煤（tce）；</w:t>
      </w:r>
    </w:p>
    <w:p w14:paraId="6A977064">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E</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评价年工厂主要生产系统、辅助生产系统和附属生产系统的综合能耗（不含用作原料的能源），单位为吨标准煤（tce）。</w:t>
      </w:r>
    </w:p>
    <w:p w14:paraId="12F596D7">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1：可再生能源指能够在较短时间内通过自然过程不断补充和再生的能源，包括水能、风能、太阳能、生物质能、地热能、海洋能等。可再生能源消耗量指工厂生产实际消费的各种可再生能源总量。其中，可再生能源电力消费包括建设可再生能源利用设施自发自用、通过市场化交易购入使用、具备专线直供电力交易结算凭证的可再生能源电力消费量，以及单独购买的可再生能源绿色电力证书（GEC）对应的电力消费量（以上依据市场化交易合同、交易结算凭证、可再生能源绿色电力证书或电力交易机构出具的可再生能源电力消费核算清单，遵循不重复计算原则统计）。</w:t>
      </w:r>
    </w:p>
    <w:p w14:paraId="551A5EA8">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2：绿电直连是指风电、太阳能发电、生物质发电等新能源不直接接入公共电网，通过直连线路向单一电力用户供给绿电，可实现供给电量清晰物理溯源的模式。绿电直连项目按照负荷是否接入公共电网分为并网型、离网型两类。并网型绿电直连项目以项目接入点作为计量、结算参考点，作为整体与公共电网进行电费结算。项目应具备分表计量条件，在内部发电、厂用电、自发自用、储能等关口安装符合相关标准和有关部门认可的双向计量装置。禁止绕越装设的各电能计量装置用电。项目电源和负荷不是同一投资主体的，双方之间交易电量及上网电量应按照绿证和绿色电力交易有关规定执行。</w:t>
      </w:r>
    </w:p>
    <w:p w14:paraId="30489E0C">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参考文件：国家发展改革委、国家能源局《关于有序推动绿电直连发展有关事项的通知》（发改能源〔2025〕650号）</w:t>
      </w:r>
    </w:p>
    <w:p w14:paraId="6B04F1DE">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bookmarkStart w:id="14" w:name="_Toc31754"/>
      <w:r>
        <w:rPr>
          <w:rFonts w:hint="default" w:ascii="Times New Roman" w:hAnsi="Times New Roman" w:eastAsia="仿宋" w:cs="Times New Roman"/>
          <w:sz w:val="28"/>
          <w:szCs w:val="28"/>
          <w:highlight w:val="none"/>
          <w:lang w:val="en-US" w:eastAsia="zh-CN"/>
        </w:rPr>
        <w:t>4</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能碳管理系统平台的功能符合项数</w:t>
      </w:r>
    </w:p>
    <w:p w14:paraId="66B4C199">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核查平台实现《工业企业和园区数字化能碳管理中心建设指南》中提出的以下业务功能数量：</w:t>
      </w:r>
    </w:p>
    <w:p w14:paraId="17853243">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（1）</w:t>
      </w:r>
      <w:r>
        <w:rPr>
          <w:rFonts w:hint="default" w:ascii="Times New Roman" w:hAnsi="Times New Roman" w:eastAsia="仿宋" w:cs="Times New Roman"/>
          <w:sz w:val="28"/>
          <w:szCs w:val="28"/>
          <w:highlight w:val="none"/>
          <w:lang w:val="en-US" w:eastAsia="zh-CN"/>
        </w:rPr>
        <w:t>能耗查询</w:t>
      </w:r>
    </w:p>
    <w:p w14:paraId="7F574A39">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（2）</w:t>
      </w:r>
      <w:r>
        <w:rPr>
          <w:rFonts w:hint="default" w:ascii="Times New Roman" w:hAnsi="Times New Roman" w:eastAsia="仿宋" w:cs="Times New Roman"/>
          <w:sz w:val="28"/>
          <w:szCs w:val="28"/>
          <w:highlight w:val="none"/>
          <w:lang w:val="en-US" w:eastAsia="zh-CN"/>
        </w:rPr>
        <w:t>能源消费量和强度计算</w:t>
      </w:r>
    </w:p>
    <w:p w14:paraId="4340D452">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（3）</w:t>
      </w:r>
      <w:r>
        <w:rPr>
          <w:rFonts w:hint="default" w:ascii="Times New Roman" w:hAnsi="Times New Roman" w:eastAsia="仿宋" w:cs="Times New Roman"/>
          <w:sz w:val="28"/>
          <w:szCs w:val="28"/>
          <w:highlight w:val="none"/>
          <w:lang w:val="en-US" w:eastAsia="zh-CN"/>
        </w:rPr>
        <w:t>能源消费分析与用能策略推荐</w:t>
      </w:r>
    </w:p>
    <w:p w14:paraId="5C223944">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（4）</w:t>
      </w:r>
      <w:r>
        <w:rPr>
          <w:rFonts w:hint="default" w:ascii="Times New Roman" w:hAnsi="Times New Roman" w:eastAsia="仿宋" w:cs="Times New Roman"/>
          <w:sz w:val="28"/>
          <w:szCs w:val="28"/>
          <w:highlight w:val="none"/>
          <w:lang w:val="en-US" w:eastAsia="zh-CN"/>
        </w:rPr>
        <w:t>能效对标</w:t>
      </w:r>
    </w:p>
    <w:p w14:paraId="19CC3446">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（5）</w:t>
      </w:r>
      <w:r>
        <w:rPr>
          <w:rFonts w:hint="default" w:ascii="Times New Roman" w:hAnsi="Times New Roman" w:eastAsia="仿宋" w:cs="Times New Roman"/>
          <w:sz w:val="28"/>
          <w:szCs w:val="28"/>
          <w:highlight w:val="none"/>
          <w:lang w:val="en-US" w:eastAsia="zh-CN"/>
        </w:rPr>
        <w:t>能流分析</w:t>
      </w:r>
    </w:p>
    <w:p w14:paraId="0EA2AB92">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（6）</w:t>
      </w:r>
      <w:r>
        <w:rPr>
          <w:rFonts w:hint="default" w:ascii="Times New Roman" w:hAnsi="Times New Roman" w:eastAsia="仿宋" w:cs="Times New Roman"/>
          <w:sz w:val="28"/>
          <w:szCs w:val="28"/>
          <w:highlight w:val="none"/>
          <w:lang w:val="en-US" w:eastAsia="zh-CN"/>
        </w:rPr>
        <w:t>能效平衡与优化</w:t>
      </w:r>
    </w:p>
    <w:p w14:paraId="4F3797DC">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（7）</w:t>
      </w:r>
      <w:r>
        <w:rPr>
          <w:rFonts w:hint="default" w:ascii="Times New Roman" w:hAnsi="Times New Roman" w:eastAsia="仿宋" w:cs="Times New Roman"/>
          <w:sz w:val="28"/>
          <w:szCs w:val="28"/>
          <w:highlight w:val="none"/>
          <w:lang w:val="en-US" w:eastAsia="zh-CN"/>
        </w:rPr>
        <w:t>用能与碳排放预算管理</w:t>
      </w:r>
    </w:p>
    <w:p w14:paraId="1414913F">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（8）</w:t>
      </w:r>
      <w:r>
        <w:rPr>
          <w:rFonts w:hint="default" w:ascii="Times New Roman" w:hAnsi="Times New Roman" w:eastAsia="仿宋" w:cs="Times New Roman"/>
          <w:sz w:val="28"/>
          <w:szCs w:val="28"/>
          <w:highlight w:val="none"/>
          <w:lang w:val="en-US" w:eastAsia="zh-CN"/>
        </w:rPr>
        <w:t>碳排放核算</w:t>
      </w:r>
    </w:p>
    <w:p w14:paraId="22AC9BB8">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（9）</w:t>
      </w:r>
      <w:r>
        <w:rPr>
          <w:rFonts w:hint="default" w:ascii="Times New Roman" w:hAnsi="Times New Roman" w:eastAsia="仿宋" w:cs="Times New Roman"/>
          <w:sz w:val="28"/>
          <w:szCs w:val="28"/>
          <w:highlight w:val="none"/>
          <w:lang w:val="en-US" w:eastAsia="zh-CN"/>
        </w:rPr>
        <w:t>产品碳足迹核算</w:t>
      </w:r>
    </w:p>
    <w:p w14:paraId="7081021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（10）</w:t>
      </w:r>
      <w:r>
        <w:rPr>
          <w:rFonts w:hint="default" w:ascii="Times New Roman" w:hAnsi="Times New Roman" w:eastAsia="仿宋" w:cs="Times New Roman"/>
          <w:sz w:val="28"/>
          <w:szCs w:val="28"/>
          <w:highlight w:val="none"/>
          <w:lang w:val="en-US" w:eastAsia="zh-CN"/>
        </w:rPr>
        <w:t>供应链碳管理</w:t>
      </w:r>
    </w:p>
    <w:p w14:paraId="7DA83D7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（11）</w:t>
      </w:r>
      <w:r>
        <w:rPr>
          <w:rFonts w:hint="default" w:ascii="Times New Roman" w:hAnsi="Times New Roman" w:eastAsia="仿宋" w:cs="Times New Roman"/>
          <w:sz w:val="28"/>
          <w:szCs w:val="28"/>
          <w:highlight w:val="none"/>
          <w:lang w:val="en-US" w:eastAsia="zh-CN"/>
        </w:rPr>
        <w:t>碳核查支撑</w:t>
      </w:r>
    </w:p>
    <w:p w14:paraId="0EEC8793">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（12）</w:t>
      </w:r>
      <w:r>
        <w:rPr>
          <w:rFonts w:hint="default" w:ascii="Times New Roman" w:hAnsi="Times New Roman" w:eastAsia="仿宋" w:cs="Times New Roman"/>
          <w:sz w:val="28"/>
          <w:szCs w:val="28"/>
          <w:highlight w:val="none"/>
          <w:lang w:val="en-US" w:eastAsia="zh-CN"/>
        </w:rPr>
        <w:t>碳资产管理</w:t>
      </w:r>
    </w:p>
    <w:p w14:paraId="1946EDD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注：以上仅核查功能实现情况；是否集成在一个系统平台中不限定，例如可以通过“能管中心+碳排放管理系统”组合模式实现。</w:t>
      </w:r>
    </w:p>
    <w:p w14:paraId="5410E4B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参考文件：《工业企业和园区数字化能碳管理中心建设指南》</w:t>
      </w:r>
    </w:p>
    <w:bookmarkEnd w:id="11"/>
    <w:bookmarkEnd w:id="14"/>
    <w:p w14:paraId="742DA20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15" w:name="_Toc26626"/>
      <w:bookmarkStart w:id="16" w:name="_Toc15282"/>
      <w:r>
        <w:rPr>
          <w:rFonts w:hint="default" w:ascii="Times New Roman" w:hAnsi="Times New Roman" w:eastAsia="仿宋" w:cs="Times New Roman"/>
          <w:sz w:val="28"/>
          <w:szCs w:val="28"/>
          <w:highlight w:val="none"/>
          <w:lang w:val="en-US" w:eastAsia="zh-CN"/>
        </w:rPr>
        <w:t>5</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取水强度</w:t>
      </w:r>
    </w:p>
    <w:p w14:paraId="0281C52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单位产品取水量”和“单位产值取水量”指标二选一：当有适用工业用水定额国家标准时，必须选择“单位产品取水量”进行计算填报；无适用工业用水定额国家标准时，选择“单位产值取水量”进行计算填报。</w:t>
      </w:r>
    </w:p>
    <w:p w14:paraId="15DC6BE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注：只涉及生活取水、无工业用水的企业，不适用此指标，无需填报。</w:t>
      </w:r>
    </w:p>
    <w:p w14:paraId="3203F63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（1）单位产品取水量</w:t>
      </w:r>
      <w:bookmarkEnd w:id="15"/>
    </w:p>
    <w:p w14:paraId="02B7298A">
      <w:pPr>
        <w:keepNext w:val="0"/>
        <w:keepLines w:val="0"/>
        <w:pageBreakBefore w:val="0"/>
        <w:widowControl w:val="0"/>
        <w:topLinePunct w:val="0"/>
        <w:bidi w:val="0"/>
        <w:spacing w:line="360" w:lineRule="auto"/>
        <w:ind w:firstLine="560" w:firstLineChars="200"/>
        <w:jc w:val="center"/>
        <w:outlineLvl w:val="0"/>
        <w:rPr>
          <w:rFonts w:hint="default" w:ascii="Times New Roman" w:hAnsi="Times New Roman" w:eastAsia="宋体" w:cs="Times New Roman"/>
          <w:sz w:val="28"/>
          <w:szCs w:val="28"/>
          <w:highlight w:val="none"/>
        </w:rPr>
      </w:pPr>
      <w:bookmarkStart w:id="17" w:name="_Toc18698"/>
      <w:r>
        <w:rPr>
          <w:rFonts w:hint="default" w:ascii="Times New Roman" w:hAnsi="Times New Roman" w:eastAsia="宋体" w:cs="Times New Roman"/>
          <w:position w:val="-30"/>
          <w:sz w:val="28"/>
          <w:szCs w:val="28"/>
          <w:highlight w:val="none"/>
        </w:rPr>
        <w:object>
          <v:shape id="_x0000_i1029" o:spt="75" type="#_x0000_t75" style="height:34.4pt;width:42pt;" o:ole="t" filled="f" o:preferrelative="t" stroked="f" coordsize="21600,21600">
            <v:path/>
            <v:fill on="f" focussize="0,0"/>
            <v:stroke on="f"/>
            <v:imagedata r:id="rId16" o:title=""/>
            <o:lock v:ext="edit" aspectratio="t"/>
            <w10:wrap type="none"/>
            <w10:anchorlock/>
          </v:shape>
          <o:OLEObject Type="Embed" ProgID="Equation.3" ShapeID="_x0000_i1029" DrawAspect="Content" ObjectID="_1468075729" r:id="rId15">
            <o:LockedField>false</o:LockedField>
          </o:OLEObject>
        </w:object>
      </w:r>
      <w:bookmarkEnd w:id="17"/>
    </w:p>
    <w:p w14:paraId="45AB8ED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3E67FD0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V</w:t>
      </w:r>
      <w:r>
        <w:rPr>
          <w:rFonts w:hint="default" w:ascii="Times New Roman" w:hAnsi="Times New Roman" w:eastAsia="仿宋" w:cs="Times New Roman"/>
          <w:sz w:val="28"/>
          <w:szCs w:val="28"/>
          <w:highlight w:val="none"/>
          <w:vertAlign w:val="subscript"/>
          <w:lang w:val="en-US" w:eastAsia="zh-CN"/>
        </w:rPr>
        <w:t>ui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第i种产品的单位产品取水量，单位为立方米每产品单位（m3/产品单位）；</w:t>
      </w:r>
    </w:p>
    <w:p w14:paraId="64CB124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V</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评价年工厂第i种产品的取水量（范围包括主要生产系统、辅助生产系统和附属生产系统，不包括基础设施建设和改造、消防、外供等），单位为立方米（m</w:t>
      </w:r>
      <w:r>
        <w:rPr>
          <w:rFonts w:hint="default" w:ascii="Times New Roman" w:hAnsi="Times New Roman" w:eastAsia="仿宋" w:cs="Times New Roman"/>
          <w:sz w:val="28"/>
          <w:szCs w:val="28"/>
          <w:highlight w:val="none"/>
          <w:vertAlign w:val="superscript"/>
          <w:lang w:val="en-US" w:eastAsia="zh-CN"/>
        </w:rPr>
        <w:t>3</w:t>
      </w:r>
      <w:r>
        <w:rPr>
          <w:rFonts w:hint="default" w:ascii="Times New Roman" w:hAnsi="Times New Roman" w:eastAsia="仿宋" w:cs="Times New Roman"/>
          <w:sz w:val="28"/>
          <w:szCs w:val="28"/>
          <w:highlight w:val="none"/>
          <w:lang w:val="en-US" w:eastAsia="zh-CN"/>
        </w:rPr>
        <w:t>）；</w:t>
      </w:r>
    </w:p>
    <w:p w14:paraId="3B9C81D3">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Q</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评价年工厂第i种产品的合格产品产量，单位为产品单位。</w:t>
      </w:r>
    </w:p>
    <w:p w14:paraId="53E5463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其中，涉及多种产品适用工业用水定额国家标准时，仅填写取水量排序前三以内的产品，即最多计算、填报适用工业用水定额国家标准的三类产品。</w:t>
      </w:r>
    </w:p>
    <w:p w14:paraId="6F5F0AB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18" w:name="_Toc22167"/>
      <w:r>
        <w:rPr>
          <w:rFonts w:hint="default" w:ascii="Times New Roman" w:hAnsi="Times New Roman" w:eastAsia="仿宋" w:cs="Times New Roman"/>
          <w:sz w:val="28"/>
          <w:szCs w:val="28"/>
          <w:highlight w:val="none"/>
          <w:lang w:val="en-US" w:eastAsia="zh-CN"/>
        </w:rPr>
        <w:t>（2）单位产值取水量</w:t>
      </w:r>
      <w:bookmarkEnd w:id="18"/>
    </w:p>
    <w:p w14:paraId="2B46AB01">
      <w:pPr>
        <w:keepNext w:val="0"/>
        <w:keepLines w:val="0"/>
        <w:pageBreakBefore w:val="0"/>
        <w:widowControl w:val="0"/>
        <w:topLinePunct w:val="0"/>
        <w:bidi w:val="0"/>
        <w:spacing w:line="360" w:lineRule="auto"/>
        <w:ind w:firstLine="560" w:firstLineChars="200"/>
        <w:jc w:val="center"/>
        <w:outlineLvl w:val="0"/>
        <w:rPr>
          <w:rFonts w:hint="default" w:ascii="Times New Roman" w:hAnsi="Times New Roman" w:eastAsia="宋体" w:cs="Times New Roman"/>
          <w:sz w:val="28"/>
          <w:szCs w:val="28"/>
          <w:highlight w:val="none"/>
        </w:rPr>
      </w:pPr>
      <w:r>
        <w:rPr>
          <w:rFonts w:hint="default" w:ascii="Times New Roman" w:hAnsi="Times New Roman" w:eastAsia="宋体" w:cs="Times New Roman"/>
          <w:position w:val="-28"/>
          <w:sz w:val="28"/>
          <w:szCs w:val="28"/>
          <w:highlight w:val="none"/>
        </w:rPr>
        <w:object>
          <v:shape id="_x0000_i1030" o:spt="75" type="#_x0000_t75" style="height:31.45pt;width:38pt;" o:ole="t" filled="f" o:preferrelative="t" stroked="f" coordsize="21600,21600">
            <v:path/>
            <v:fill on="f" focussize="0,0"/>
            <v:stroke on="f"/>
            <v:imagedata r:id="rId18" o:title=""/>
            <o:lock v:ext="edit" aspectratio="t"/>
            <w10:wrap type="none"/>
            <w10:anchorlock/>
          </v:shape>
          <o:OLEObject Type="Embed" ProgID="Equation.3" ShapeID="_x0000_i1030" DrawAspect="Content" ObjectID="_1468075730" r:id="rId17">
            <o:LockedField>false</o:LockedField>
          </o:OLEObject>
        </w:object>
      </w:r>
    </w:p>
    <w:p w14:paraId="66C9E39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09EE8EF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V</w:t>
      </w:r>
      <w:r>
        <w:rPr>
          <w:rFonts w:hint="default" w:ascii="Times New Roman" w:hAnsi="Times New Roman" w:eastAsia="仿宋" w:cs="Times New Roman"/>
          <w:sz w:val="28"/>
          <w:szCs w:val="28"/>
          <w:highlight w:val="none"/>
          <w:vertAlign w:val="subscript"/>
          <w:lang w:val="en-US" w:eastAsia="zh-CN"/>
        </w:rPr>
        <w:t>g</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单位产值取水量，单位为立方米每万元（m</w:t>
      </w:r>
      <w:r>
        <w:rPr>
          <w:rFonts w:hint="default" w:ascii="Times New Roman" w:hAnsi="Times New Roman" w:eastAsia="仿宋" w:cs="Times New Roman"/>
          <w:sz w:val="28"/>
          <w:szCs w:val="28"/>
          <w:highlight w:val="none"/>
          <w:vertAlign w:val="superscript"/>
          <w:lang w:val="en-US" w:eastAsia="zh-CN"/>
        </w:rPr>
        <w:t>3</w:t>
      </w:r>
      <w:r>
        <w:rPr>
          <w:rFonts w:hint="default" w:ascii="Times New Roman" w:hAnsi="Times New Roman" w:eastAsia="仿宋" w:cs="Times New Roman"/>
          <w:sz w:val="28"/>
          <w:szCs w:val="28"/>
          <w:highlight w:val="none"/>
          <w:lang w:val="en-US" w:eastAsia="zh-CN"/>
        </w:rPr>
        <w:t>/万元）；</w:t>
      </w:r>
    </w:p>
    <w:p w14:paraId="59F2093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V</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评价年工厂产品的取水量（范围包括主要生产系统、辅助生产系统和附属生产系统，不包括基础设施建设和改造、消防、外供等），单位为立方米（m3）；</w:t>
      </w:r>
    </w:p>
    <w:p w14:paraId="260F7407">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评价年工厂的总产值，单位为万元。</w:t>
      </w:r>
    </w:p>
    <w:p w14:paraId="190D3DC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19" w:name="_Toc11275"/>
      <w:r>
        <w:rPr>
          <w:rFonts w:hint="default" w:ascii="Times New Roman" w:hAnsi="Times New Roman" w:eastAsia="仿宋" w:cs="Times New Roman"/>
          <w:sz w:val="28"/>
          <w:szCs w:val="28"/>
          <w:highlight w:val="none"/>
          <w:lang w:val="en-US" w:eastAsia="zh-CN"/>
        </w:rPr>
        <w:t>6</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工业用水重复利用率</w:t>
      </w:r>
      <w:bookmarkEnd w:id="16"/>
      <w:bookmarkEnd w:id="19"/>
    </w:p>
    <w:p w14:paraId="25A5791D">
      <w:pPr>
        <w:keepNext w:val="0"/>
        <w:keepLines w:val="0"/>
        <w:pageBreakBefore w:val="0"/>
        <w:widowControl w:val="0"/>
        <w:topLinePunct w:val="0"/>
        <w:bidi w:val="0"/>
        <w:spacing w:line="360" w:lineRule="auto"/>
        <w:ind w:firstLine="560" w:firstLineChars="200"/>
        <w:jc w:val="center"/>
        <w:outlineLvl w:val="0"/>
        <w:rPr>
          <w:rFonts w:hint="default" w:ascii="Times New Roman" w:hAnsi="Times New Roman" w:eastAsia="宋体" w:cs="Times New Roman"/>
          <w:sz w:val="28"/>
          <w:szCs w:val="28"/>
          <w:highlight w:val="none"/>
        </w:rPr>
      </w:pPr>
      <w:bookmarkStart w:id="20" w:name="_Toc19245"/>
      <w:bookmarkStart w:id="21" w:name="_Toc21297"/>
      <w:r>
        <w:rPr>
          <w:rFonts w:hint="default" w:ascii="Times New Roman" w:hAnsi="Times New Roman" w:eastAsia="宋体" w:cs="Times New Roman"/>
          <w:position w:val="-26"/>
          <w:sz w:val="28"/>
          <w:szCs w:val="28"/>
          <w:highlight w:val="none"/>
        </w:rPr>
        <w:object>
          <v:shape id="_x0000_i1031" o:spt="75" type="#_x0000_t75" style="height:30.4pt;width:160.2pt;" o:ole="t" filled="f" o:preferrelative="t" stroked="f" coordsize="21600,21600">
            <v:path/>
            <v:fill on="f" focussize="0,0"/>
            <v:stroke on="f"/>
            <v:imagedata r:id="rId20" o:title=""/>
            <o:lock v:ext="edit" aspectratio="t"/>
            <w10:wrap type="none"/>
            <w10:anchorlock/>
          </v:shape>
          <o:OLEObject Type="Embed" ProgID="Equation.3" ShapeID="_x0000_i1031" DrawAspect="Content" ObjectID="_1468075731" r:id="rId19">
            <o:LockedField>false</o:LockedField>
          </o:OLEObject>
        </w:object>
      </w:r>
      <w:bookmarkEnd w:id="20"/>
      <w:bookmarkEnd w:id="21"/>
    </w:p>
    <w:p w14:paraId="23D5CC2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1303557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R</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工业用水重复利用率；</w:t>
      </w:r>
    </w:p>
    <w:p w14:paraId="037C9B3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V</w:t>
      </w:r>
      <w:r>
        <w:rPr>
          <w:rFonts w:hint="default" w:ascii="Times New Roman" w:hAnsi="Times New Roman" w:eastAsia="仿宋" w:cs="Times New Roman"/>
          <w:sz w:val="28"/>
          <w:szCs w:val="28"/>
          <w:highlight w:val="none"/>
          <w:vertAlign w:val="subscript"/>
          <w:lang w:val="en-US" w:eastAsia="zh-CN"/>
        </w:rPr>
        <w:t>r</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评价年工厂使用的重复利用水量（包括循环利用的水量、直接和经处理后回收再利用的水量总和），单位为立方米（m</w:t>
      </w:r>
      <w:r>
        <w:rPr>
          <w:rFonts w:hint="default" w:ascii="Times New Roman" w:hAnsi="Times New Roman" w:eastAsia="仿宋" w:cs="Times New Roman"/>
          <w:sz w:val="28"/>
          <w:szCs w:val="28"/>
          <w:highlight w:val="none"/>
          <w:vertAlign w:val="superscript"/>
          <w:lang w:val="en-US" w:eastAsia="zh-CN"/>
        </w:rPr>
        <w:t>3</w:t>
      </w:r>
      <w:r>
        <w:rPr>
          <w:rFonts w:hint="default" w:ascii="Times New Roman" w:hAnsi="Times New Roman" w:eastAsia="仿宋" w:cs="Times New Roman"/>
          <w:sz w:val="28"/>
          <w:szCs w:val="28"/>
          <w:highlight w:val="none"/>
          <w:lang w:val="en-US" w:eastAsia="zh-CN"/>
        </w:rPr>
        <w:t>）；</w:t>
      </w:r>
    </w:p>
    <w:p w14:paraId="283C637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V</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评价年工厂的取水量（范围包括主要生产系统、辅助生产系统和附属生产系统，不包括基础设施建设和改造、消防、外供等），单位为立方米（m</w:t>
      </w:r>
      <w:r>
        <w:rPr>
          <w:rFonts w:hint="default" w:ascii="Times New Roman" w:hAnsi="Times New Roman" w:eastAsia="仿宋" w:cs="Times New Roman"/>
          <w:sz w:val="28"/>
          <w:szCs w:val="28"/>
          <w:highlight w:val="none"/>
          <w:vertAlign w:val="superscript"/>
          <w:lang w:val="en-US" w:eastAsia="zh-CN"/>
        </w:rPr>
        <w:t>3</w:t>
      </w:r>
      <w:r>
        <w:rPr>
          <w:rFonts w:hint="default" w:ascii="Times New Roman" w:hAnsi="Times New Roman" w:eastAsia="仿宋" w:cs="Times New Roman"/>
          <w:sz w:val="28"/>
          <w:szCs w:val="28"/>
          <w:highlight w:val="none"/>
          <w:lang w:val="en-US" w:eastAsia="zh-CN"/>
        </w:rPr>
        <w:t>）。</w:t>
      </w:r>
    </w:p>
    <w:p w14:paraId="33AA5EAC">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22" w:name="_Toc12188"/>
      <w:bookmarkStart w:id="23" w:name="_Toc28597"/>
      <w:r>
        <w:rPr>
          <w:rFonts w:hint="default" w:ascii="Times New Roman" w:hAnsi="Times New Roman" w:eastAsia="仿宋" w:cs="Times New Roman"/>
          <w:sz w:val="28"/>
          <w:szCs w:val="28"/>
          <w:highlight w:val="none"/>
          <w:lang w:val="en-US" w:eastAsia="zh-CN"/>
        </w:rPr>
        <w:t>注：主要生产系统是指主要生产装置、设备、工艺等；辅助生产系统是指为主要生产系统服务的辅助生产系统（包括工业水净化单元、软化水处理单元、水汽车间、循环水厂、机修、空压站、污水处理厂、贮运站、鼓风机站、氧气站、电修、检化验等）；附属生产系统是指在厂区内，为生产服务的各种服务、生活系统（如办公楼、科研楼、食堂、浴室、保健站、绿化、汽车队等）。</w:t>
      </w:r>
    </w:p>
    <w:p w14:paraId="3C085F9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注：只涉及生活取水、无工业用水的企业，不适用此指标，无需填报。</w:t>
      </w:r>
    </w:p>
    <w:p w14:paraId="4A6031A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7</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一般工业固体废物综合利用率</w:t>
      </w:r>
      <w:bookmarkEnd w:id="22"/>
      <w:bookmarkEnd w:id="23"/>
    </w:p>
    <w:p w14:paraId="1AC1C413">
      <w:pPr>
        <w:keepNext w:val="0"/>
        <w:keepLines w:val="0"/>
        <w:pageBreakBefore w:val="0"/>
        <w:widowControl w:val="0"/>
        <w:topLinePunct w:val="0"/>
        <w:bidi w:val="0"/>
        <w:spacing w:line="360" w:lineRule="auto"/>
        <w:ind w:left="0" w:leftChars="0" w:firstLine="0" w:firstLineChars="0"/>
        <w:jc w:val="center"/>
        <w:outlineLvl w:val="0"/>
        <w:rPr>
          <w:rFonts w:hint="default" w:ascii="Times New Roman" w:hAnsi="Times New Roman" w:eastAsia="宋体" w:cs="Times New Roman"/>
          <w:sz w:val="28"/>
          <w:szCs w:val="28"/>
          <w:highlight w:val="none"/>
        </w:rPr>
      </w:pPr>
      <w:bookmarkStart w:id="24" w:name="_Toc10197"/>
      <w:bookmarkStart w:id="25" w:name="_Toc26115"/>
      <w:r>
        <w:rPr>
          <w:rFonts w:hint="default" w:ascii="Times New Roman" w:hAnsi="Times New Roman" w:eastAsia="宋体" w:cs="Times New Roman"/>
          <w:position w:val="-30"/>
          <w:sz w:val="28"/>
          <w:szCs w:val="28"/>
          <w:highlight w:val="none"/>
        </w:rPr>
        <w:object>
          <v:shape id="_x0000_i1032" o:spt="75" type="#_x0000_t75" style="height:34.25pt;width:191.05pt;" o:ole="t" filled="f" o:preferrelative="t" stroked="f" coordsize="21600,21600">
            <v:path/>
            <v:fill on="f" focussize="0,0"/>
            <v:stroke on="f"/>
            <v:imagedata r:id="rId22" o:title=""/>
            <o:lock v:ext="edit" aspectratio="t"/>
            <w10:wrap type="none"/>
            <w10:anchorlock/>
          </v:shape>
          <o:OLEObject Type="Embed" ProgID="Equation.3" ShapeID="_x0000_i1032" DrawAspect="Content" ObjectID="_1468075732" r:id="rId21">
            <o:LockedField>false</o:LockedField>
          </o:OLEObject>
        </w:object>
      </w:r>
      <w:bookmarkEnd w:id="24"/>
      <w:bookmarkEnd w:id="25"/>
    </w:p>
    <w:p w14:paraId="58C64DE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1A00CD3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K</w:t>
      </w:r>
      <w:r>
        <w:rPr>
          <w:rFonts w:hint="default" w:ascii="Times New Roman" w:hAnsi="Times New Roman" w:eastAsia="仿宋" w:cs="Times New Roman"/>
          <w:sz w:val="28"/>
          <w:szCs w:val="28"/>
          <w:highlight w:val="none"/>
          <w:vertAlign w:val="subscript"/>
          <w:lang w:val="en-US" w:eastAsia="zh-CN"/>
        </w:rPr>
        <w:t>r</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一般工业固体废物综合利用率；</w:t>
      </w:r>
    </w:p>
    <w:p w14:paraId="521FBC86">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Z</w:t>
      </w:r>
      <w:r>
        <w:rPr>
          <w:rFonts w:hint="default" w:ascii="Times New Roman" w:hAnsi="Times New Roman" w:eastAsia="仿宋" w:cs="Times New Roman"/>
          <w:sz w:val="28"/>
          <w:szCs w:val="28"/>
          <w:highlight w:val="none"/>
          <w:vertAlign w:val="subscript"/>
          <w:lang w:val="en-US" w:eastAsia="zh-CN"/>
        </w:rPr>
        <w:t>r</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评价年工厂一般工业固体废物综合利用量（不含外购），单位为吨（t）；</w:t>
      </w:r>
    </w:p>
    <w:p w14:paraId="1AADDAC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Z</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评价年工厂一般工业固体废物产生量，单位为吨（t）；</w:t>
      </w:r>
    </w:p>
    <w:p w14:paraId="565A33AF">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Z</w:t>
      </w:r>
      <w:r>
        <w:rPr>
          <w:rFonts w:hint="default" w:ascii="Times New Roman" w:hAnsi="Times New Roman" w:eastAsia="仿宋" w:cs="Times New Roman"/>
          <w:sz w:val="28"/>
          <w:szCs w:val="28"/>
          <w:highlight w:val="none"/>
          <w:vertAlign w:val="subscript"/>
          <w:lang w:val="en-US" w:eastAsia="zh-CN"/>
        </w:rPr>
        <w:t>w</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评价年工厂综合利用往年贮存量，单位为吨（t）。</w:t>
      </w:r>
      <w:bookmarkEnd w:id="6"/>
      <w:bookmarkEnd w:id="7"/>
      <w:bookmarkEnd w:id="8"/>
      <w:bookmarkEnd w:id="9"/>
    </w:p>
    <w:p w14:paraId="12A591BC">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注：一般工业固体废物产生量是指工业企业实际产生的未列入《国家危险废物名录》或者根据国家规定的危险废物鉴别标准认定其不具有危险特性的一般工业固体废物的量。</w:t>
      </w:r>
    </w:p>
    <w:p w14:paraId="2DB7FA50">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一般工业固体废物产生量=（一般工业固体废物综合利用量-综合利用往年贮存量）+一般工业固体废物贮存量+（一般工业固体废物处置量-处置往年贮存量）+一般工业固体废物倾倒丢弃量。</w:t>
      </w:r>
    </w:p>
    <w:p w14:paraId="5BCBEF1A">
      <w:pPr>
        <w:pStyle w:val="28"/>
        <w:keepNext w:val="0"/>
        <w:keepLines w:val="0"/>
        <w:pageBreakBefore w:val="0"/>
        <w:widowControl w:val="0"/>
        <w:numPr>
          <w:ilvl w:val="1"/>
          <w:numId w:val="0"/>
        </w:numPr>
        <w:kinsoku/>
        <w:wordWrap w:val="0"/>
        <w:overflowPunct w:val="0"/>
        <w:topLinePunct w:val="0"/>
        <w:autoSpaceDE w:val="0"/>
        <w:autoSpaceDN/>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综合利用往年贮存量指工业企业对往年贮存的工业固体废物进行综合利用的量。</w:t>
      </w:r>
    </w:p>
    <w:p w14:paraId="39B4C176">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处置往年贮存量指工业企业对往年贮存的工业固体废物进行处置的量。</w:t>
      </w:r>
    </w:p>
    <w:p w14:paraId="15519FEF">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一般工业固体废物综合利用量是指工业企业通过回收、加工、循环、交换等方式，从固体废物中提取或者使其转化为可以利用的资源、能源和其他原材料的固体废物量（包括当年利用的往年工业固体废物累计贮存量）。如用作农业肥料、生产建筑材料、筑路、充填及回填等。</w:t>
      </w:r>
    </w:p>
    <w:p w14:paraId="758D11C6">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一般工业固体废物处置量是指工业企业将工业固体废物焚烧和用其他改变工业固体废物的物理、化学、生物特性的方法，达到减少或者消除其危险成分的活动，或者将工业固体废物最终置于符合生态环境保护规定要求的填埋场的活动中，所消纳固体废物的量。处置方式包括填埋、焚烧、专业贮存场（库）封场处理、深层灌注及海洋处置（经海洋管理部门同意投海处置）等。</w:t>
      </w:r>
    </w:p>
    <w:p w14:paraId="1C7A6B5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8</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采用节能、节水、节材、减污、降碳的先进适用技术和设备数量</w:t>
      </w:r>
    </w:p>
    <w:p w14:paraId="1082A81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在与国家相关行政主管部门发布的推荐目录对标时，可匹配以下参考文件近三年内发布的版本。</w:t>
      </w:r>
    </w:p>
    <w:p w14:paraId="6BE6E05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参考文件：</w:t>
      </w:r>
    </w:p>
    <w:p w14:paraId="5258269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《国家工业和信息化领域节能降碳技术装备推荐目录（2024年版）》</w:t>
      </w:r>
    </w:p>
    <w:p w14:paraId="23D870C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《国家鼓励的工业节水工艺、技术和装备目录（2023年）》</w:t>
      </w:r>
    </w:p>
    <w:p w14:paraId="5235ECB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《国家工业资源综合利用先进适用工艺技术设备目录（2023年版）》</w:t>
      </w:r>
    </w:p>
    <w:p w14:paraId="03488AF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《国家鼓励发展的重大环保技术装备目录（2023年版）》</w:t>
      </w:r>
    </w:p>
    <w:p w14:paraId="7D5D71A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《绿色技术推广目录（2024年版）》</w:t>
      </w:r>
    </w:p>
    <w:p w14:paraId="1FE4D0DC">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《国家重点推广的低碳技术目录（第五批）》</w:t>
      </w:r>
    </w:p>
    <w:p w14:paraId="73FF4F4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2025年《国家污染防治技术指导目录》</w:t>
      </w:r>
    </w:p>
    <w:p w14:paraId="4DBD992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产业结构调整指导目录（2024年本）</w:t>
      </w:r>
    </w:p>
    <w:p w14:paraId="4A9FC783">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9</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绿色低碳改造升级</w:t>
      </w:r>
    </w:p>
    <w:p w14:paraId="089AF3F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（1）近三年绿色低碳改造升级项目年平均数量</w:t>
      </w:r>
    </w:p>
    <w:p w14:paraId="5B303AC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近三年绿色低碳改造升级项目年平均数量=近三年绿色低碳改造升级项目数量÷3</w:t>
      </w:r>
    </w:p>
    <w:p w14:paraId="46E3142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其中：1</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绿色低碳改造项目应具有显著节能、降碳、减污、节材等效果；</w:t>
      </w:r>
    </w:p>
    <w:p w14:paraId="12F6EC0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2</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近三年绿色低碳改造升级项目，按项目实际完成时间在近三年计；</w:t>
      </w:r>
    </w:p>
    <w:p w14:paraId="71E7507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3）</w:t>
      </w:r>
      <w:r>
        <w:rPr>
          <w:rFonts w:hint="default" w:ascii="Times New Roman" w:hAnsi="Times New Roman" w:eastAsia="仿宋" w:cs="Times New Roman"/>
          <w:sz w:val="28"/>
          <w:szCs w:val="28"/>
          <w:highlight w:val="none"/>
          <w:lang w:val="en-US" w:eastAsia="zh-CN"/>
        </w:rPr>
        <w:t>如工厂运营不足三年，则按近三年中实际运营的完整自然年数量及其对应的改造升级项目数量计算年平均数量。</w:t>
      </w:r>
    </w:p>
    <w:p w14:paraId="5A5B926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（2）近三年绿色低碳改造升级项目投资额占比</w:t>
      </w:r>
    </w:p>
    <w:p w14:paraId="60490372">
      <w:pPr>
        <w:keepNext w:val="0"/>
        <w:keepLines w:val="0"/>
        <w:pageBreakBefore w:val="0"/>
        <w:widowControl w:val="0"/>
        <w:topLinePunct w:val="0"/>
        <w:bidi w:val="0"/>
        <w:adjustRightInd w:val="0"/>
        <w:snapToGrid w:val="0"/>
        <w:spacing w:beforeAutospacing="0" w:after="0" w:afterAutospacing="0" w:line="240" w:lineRule="auto"/>
        <w:jc w:val="center"/>
        <w:rPr>
          <w:rFonts w:hint="default" w:ascii="Times New Roman" w:hAnsi="Times New Roman" w:eastAsia="仿宋_GB2312" w:cs="Times New Roman"/>
          <w:i/>
          <w:iCs/>
          <w:color w:val="000000"/>
          <w:kern w:val="0"/>
          <w:sz w:val="28"/>
          <w:szCs w:val="28"/>
          <w:lang w:val="en-US" w:eastAsia="zh-CN" w:bidi="ar-SA"/>
        </w:rPr>
      </w:pPr>
      <w:r>
        <w:rPr>
          <w:rFonts w:hint="default" w:ascii="Times New Roman" w:hAnsi="Times New Roman" w:eastAsia="仿宋_GB2312" w:cs="Times New Roman"/>
          <w:i/>
          <w:iCs/>
          <w:color w:val="000000"/>
          <w:kern w:val="0"/>
          <w:position w:val="-28"/>
          <w:sz w:val="28"/>
          <w:szCs w:val="28"/>
          <w:lang w:val="en-US" w:eastAsia="zh-CN" w:bidi="ar-SA"/>
        </w:rPr>
        <w:object>
          <v:shape id="_x0000_i1033" o:spt="75" type="#_x0000_t75" style="height:32.6pt;width:119.1pt;" o:ole="t" filled="f" o:preferrelative="t" stroked="f" coordsize="21600,21600">
            <v:path/>
            <v:fill on="f" focussize="0,0"/>
            <v:stroke on="f"/>
            <v:imagedata r:id="rId24" o:title=""/>
            <o:lock v:ext="edit" aspectratio="t"/>
            <w10:wrap type="none"/>
            <w10:anchorlock/>
          </v:shape>
          <o:OLEObject Type="Embed" ProgID="Equation.KSEE3" ShapeID="_x0000_i1033" DrawAspect="Content" ObjectID="_1468075733" r:id="rId23">
            <o:LockedField>false</o:LockedField>
          </o:OLEObject>
        </w:object>
      </w:r>
    </w:p>
    <w:p w14:paraId="60523473">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6686A5C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工厂近三年绿色低碳改造升级项目投资额占比，%；</w:t>
      </w:r>
    </w:p>
    <w:p w14:paraId="43CA7D8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w:t>
      </w:r>
      <w:r>
        <w:rPr>
          <w:rFonts w:hint="default" w:ascii="Times New Roman" w:hAnsi="Times New Roman" w:eastAsia="仿宋" w:cs="Times New Roman"/>
          <w:sz w:val="28"/>
          <w:szCs w:val="28"/>
          <w:highlight w:val="none"/>
          <w:vertAlign w:val="subscript"/>
          <w:lang w:val="en-US" w:eastAsia="zh-CN"/>
        </w:rPr>
        <w:t>改</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工厂近三年绿色低碳改造升级项目投资总额，单位为万元；</w:t>
      </w:r>
    </w:p>
    <w:p w14:paraId="2551D59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w:t>
      </w:r>
      <w:r>
        <w:rPr>
          <w:rFonts w:hint="default" w:ascii="Times New Roman" w:hAnsi="Times New Roman" w:eastAsia="仿宋" w:cs="Times New Roman"/>
          <w:sz w:val="28"/>
          <w:szCs w:val="28"/>
          <w:highlight w:val="none"/>
          <w:vertAlign w:val="subscript"/>
          <w:lang w:val="en-US" w:eastAsia="zh-CN"/>
        </w:rPr>
        <w:t>总</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工厂近三年总产值，单位为万元；</w:t>
      </w:r>
    </w:p>
    <w:p w14:paraId="382C4E66">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注：1</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绿色低碳改造项目应具有显著节能、降碳、减污、节材等效果；</w:t>
      </w:r>
    </w:p>
    <w:p w14:paraId="462BA5E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2</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近三年绿色低碳改造升级项目，按项目实际完成时间在近三年计，其投资额按同口径计；</w:t>
      </w:r>
    </w:p>
    <w:p w14:paraId="719A7B1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3</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如工厂运营不足三年，则按近三年实际运营的完整自然年数量对应的改造升级项目投资总额和产值总额计算。</w:t>
      </w:r>
    </w:p>
    <w:p w14:paraId="0FF5D6B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26" w:name="_Toc20363"/>
      <w:bookmarkStart w:id="27" w:name="_Toc496718800"/>
      <w:bookmarkStart w:id="28" w:name="_Toc430072520"/>
      <w:bookmarkStart w:id="29" w:name="_Toc496686899"/>
      <w:r>
        <w:rPr>
          <w:rFonts w:hint="default" w:ascii="Times New Roman" w:hAnsi="Times New Roman" w:eastAsia="仿宋" w:cs="Times New Roman"/>
          <w:sz w:val="28"/>
          <w:szCs w:val="28"/>
          <w:highlight w:val="none"/>
          <w:lang w:val="en-US" w:eastAsia="zh-CN"/>
        </w:rPr>
        <w:t>10</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主要污染物年均排放浓度优于许可排放浓度限值的最低比例</w:t>
      </w:r>
    </w:p>
    <w:p w14:paraId="60720AC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按下式分别计算每类污染物年均排放浓度优于许可排放浓度限值的比例，而后取其中优标比例最低值计为本指标值：</w:t>
      </w:r>
    </w:p>
    <w:bookmarkEnd w:id="26"/>
    <w:p w14:paraId="402A640B">
      <w:pPr>
        <w:keepNext w:val="0"/>
        <w:keepLines w:val="0"/>
        <w:pageBreakBefore w:val="0"/>
        <w:widowControl w:val="0"/>
        <w:topLinePunct w:val="0"/>
        <w:bidi w:val="0"/>
        <w:ind w:firstLine="560" w:firstLineChars="200"/>
        <w:jc w:val="center"/>
        <w:rPr>
          <w:rFonts w:hint="default" w:ascii="Times New Roman" w:hAnsi="Times New Roman" w:cs="Times New Roman"/>
          <w:sz w:val="28"/>
          <w:szCs w:val="28"/>
          <w:highlight w:val="none"/>
          <w:lang w:eastAsia="zh-CN"/>
        </w:rPr>
      </w:pPr>
      <w:bookmarkStart w:id="30" w:name="_Toc29399"/>
      <w:r>
        <w:rPr>
          <w:rFonts w:hint="default" w:ascii="Times New Roman" w:hAnsi="Times New Roman" w:eastAsia="宋体" w:cs="Times New Roman"/>
          <w:position w:val="-26"/>
          <w:sz w:val="28"/>
          <w:szCs w:val="28"/>
          <w:highlight w:val="none"/>
        </w:rPr>
        <w:object>
          <v:shape id="_x0000_i1034" o:spt="75" type="#_x0000_t75" style="height:29.95pt;width:91pt;" o:ole="t" filled="f" o:preferrelative="t" stroked="f" coordsize="21600,21600">
            <v:path/>
            <v:fill on="f" focussize="0,0"/>
            <v:stroke on="f"/>
            <v:imagedata r:id="rId26" o:title=""/>
            <o:lock v:ext="edit" aspectratio="t"/>
            <w10:wrap type="none"/>
            <w10:anchorlock/>
          </v:shape>
          <o:OLEObject Type="Embed" ProgID="Equation.3" ShapeID="_x0000_i1034" DrawAspect="Content" ObjectID="_1468075734" r:id="rId25">
            <o:LockedField>false</o:LockedField>
          </o:OLEObject>
        </w:object>
      </w:r>
    </w:p>
    <w:p w14:paraId="337A68B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657F0BC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c</w:t>
      </w:r>
      <w:r>
        <w:rPr>
          <w:rFonts w:hint="default" w:ascii="Times New Roman" w:hAnsi="Times New Roman" w:eastAsia="仿宋" w:cs="Times New Roman"/>
          <w:sz w:val="28"/>
          <w:szCs w:val="28"/>
          <w:highlight w:val="none"/>
          <w:vertAlign w:val="subscript"/>
          <w:lang w:val="en-US" w:eastAsia="zh-CN"/>
        </w:rPr>
        <w:t>优标</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评价年工厂第i种主要污染物年均排放浓度优于许可排放浓度限值的比例；</w:t>
      </w:r>
    </w:p>
    <w:p w14:paraId="507249C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C</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评价年工厂第i种主要污染物许可排放浓度限值，单位为污染物排放浓度单位。</w:t>
      </w:r>
    </w:p>
    <w:p w14:paraId="3752B97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C</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评价年工厂第i种主要污染物年均排放浓度，单位为污染物排放浓度单位；</w:t>
      </w:r>
    </w:p>
    <w:p w14:paraId="68C5825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其中：</w:t>
      </w:r>
    </w:p>
    <w:p w14:paraId="48E5992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（1）</w:t>
      </w:r>
      <w:r>
        <w:rPr>
          <w:rFonts w:hint="default" w:ascii="Times New Roman" w:hAnsi="Times New Roman" w:eastAsia="仿宋" w:cs="Times New Roman"/>
          <w:sz w:val="28"/>
          <w:szCs w:val="28"/>
          <w:highlight w:val="none"/>
          <w:lang w:val="en-US" w:eastAsia="zh-CN"/>
        </w:rPr>
        <w:t>主要污染物种类，按下列污染物排放总量控制指标的适用类别计：</w:t>
      </w:r>
    </w:p>
    <w:p w14:paraId="05B47DC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a）废水污染物：化学需氧量、氨氮、总氮、总磷；</w:t>
      </w:r>
    </w:p>
    <w:p w14:paraId="2E9D86E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b）废气污染物：二氧化硫、氮氧化物、颗粒物、挥发性有机物；</w:t>
      </w:r>
    </w:p>
    <w:p w14:paraId="2BCBEFF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（2）</w:t>
      </w:r>
      <w:r>
        <w:rPr>
          <w:rFonts w:hint="default" w:ascii="Times New Roman" w:hAnsi="Times New Roman" w:eastAsia="仿宋" w:cs="Times New Roman"/>
          <w:sz w:val="28"/>
          <w:szCs w:val="28"/>
          <w:highlight w:val="none"/>
          <w:lang w:val="en-US" w:eastAsia="zh-CN"/>
        </w:rPr>
        <w:t>主要污染物许可排放浓度限值，对于有排污许可证的企业，依据排污许可证确认；其他企业，参考环评批复文件要求确认；</w:t>
      </w:r>
    </w:p>
    <w:p w14:paraId="23E1AE16">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（3）</w:t>
      </w:r>
      <w:r>
        <w:rPr>
          <w:rFonts w:hint="default" w:ascii="Times New Roman" w:hAnsi="Times New Roman" w:eastAsia="仿宋" w:cs="Times New Roman"/>
          <w:sz w:val="28"/>
          <w:szCs w:val="28"/>
          <w:highlight w:val="none"/>
          <w:lang w:val="en-US" w:eastAsia="zh-CN"/>
        </w:rPr>
        <w:t>主要污染物年均排放浓度，对于有污染物在线监测的企业，原则上以在线监测记录给出的年均排放浓度为准；其他情况，按照下式进行计算：</w:t>
      </w:r>
    </w:p>
    <w:p w14:paraId="14ABF500">
      <w:pPr>
        <w:keepNext w:val="0"/>
        <w:keepLines w:val="0"/>
        <w:pageBreakBefore w:val="0"/>
        <w:widowControl w:val="0"/>
        <w:suppressLineNumbers w:val="0"/>
        <w:topLinePunct w:val="0"/>
        <w:bidi w:val="0"/>
        <w:spacing w:before="0" w:beforeAutospacing="0" w:after="0" w:afterAutospacing="0" w:line="240" w:lineRule="auto"/>
        <w:ind w:left="0" w:right="0" w:firstLine="0" w:firstLineChars="0"/>
        <w:jc w:val="center"/>
        <w:rPr>
          <w:rFonts w:hint="default" w:ascii="Times New Roman" w:hAnsi="Times New Roman" w:eastAsia="仿宋_GB2312" w:cs="Times New Roman"/>
          <w:sz w:val="28"/>
          <w:szCs w:val="28"/>
          <w:highlight w:val="none"/>
          <w:lang w:val="en-US"/>
        </w:rPr>
      </w:pPr>
      <w:r>
        <w:rPr>
          <w:rFonts w:hint="default" w:ascii="Times New Roman" w:hAnsi="Times New Roman" w:eastAsia="宋体" w:cs="Times New Roman"/>
          <w:i/>
          <w:iCs/>
          <w:position w:val="-26"/>
          <w:sz w:val="28"/>
          <w:szCs w:val="28"/>
          <w:highlight w:val="none"/>
        </w:rPr>
        <w:object>
          <v:shape id="_x0000_i1035" o:spt="75" type="#_x0000_t75" style="height:33.25pt;width:34.5pt;" o:ole="t" filled="f" o:preferrelative="t" stroked="f" coordsize="21600,21600">
            <v:path/>
            <v:fill on="f" focussize="0,0"/>
            <v:stroke on="f"/>
            <v:imagedata r:id="rId28" o:title=""/>
            <o:lock v:ext="edit" aspectratio="t"/>
            <w10:wrap type="none"/>
            <w10:anchorlock/>
          </v:shape>
          <o:OLEObject Type="Embed" ProgID="Equation.3" ShapeID="_x0000_i1035" DrawAspect="Content" ObjectID="_1468075735" r:id="rId27">
            <o:LockedField>false</o:LockedField>
          </o:OLEObject>
        </w:object>
      </w:r>
    </w:p>
    <w:p w14:paraId="221326FC">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1C4870C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s</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统计期内，某种主要污染物年均排放浓度，单位为污染物排放浓度单位；</w:t>
      </w:r>
    </w:p>
    <w:p w14:paraId="4DBE041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S</w:t>
      </w:r>
      <w:r>
        <w:rPr>
          <w:rFonts w:hint="default" w:ascii="Times New Roman" w:hAnsi="Times New Roman" w:eastAsia="仿宋" w:cs="Times New Roman"/>
          <w:sz w:val="28"/>
          <w:szCs w:val="28"/>
          <w:highlight w:val="none"/>
          <w:vertAlign w:val="subscript"/>
          <w:lang w:val="en-US" w:eastAsia="zh-CN"/>
        </w:rPr>
        <w:t>i</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统计期内，某种主要污染物排放量，单位为污染物单位</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查阅环境检测报告中的污染物排放浓度，结合生产时间、排放量等数据计算</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w:t>
      </w:r>
    </w:p>
    <w:p w14:paraId="35C69A8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Q</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统计期内废气或废水排放总量，单位为立方米（m</w:t>
      </w:r>
      <w:r>
        <w:rPr>
          <w:rFonts w:hint="default" w:ascii="Times New Roman" w:hAnsi="Times New Roman" w:eastAsia="仿宋" w:cs="Times New Roman"/>
          <w:sz w:val="28"/>
          <w:szCs w:val="28"/>
          <w:highlight w:val="none"/>
          <w:vertAlign w:val="superscript"/>
          <w:lang w:val="en-US" w:eastAsia="zh-CN"/>
        </w:rPr>
        <w:t>3</w:t>
      </w:r>
      <w:r>
        <w:rPr>
          <w:rFonts w:hint="default" w:ascii="Times New Roman" w:hAnsi="Times New Roman" w:eastAsia="仿宋" w:cs="Times New Roman"/>
          <w:sz w:val="28"/>
          <w:szCs w:val="28"/>
          <w:highlight w:val="none"/>
          <w:lang w:val="en-US" w:eastAsia="zh-CN"/>
        </w:rPr>
        <w:t>）或升（L）。</w:t>
      </w:r>
    </w:p>
    <w:p w14:paraId="6F6F02AF">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其中，只计算有组织排放，如某一污染物涉及多个排放口，需按各个排</w:t>
      </w:r>
      <w:r>
        <w:rPr>
          <w:rFonts w:hint="eastAsia" w:ascii="Times New Roman" w:eastAsia="仿宋" w:cs="Times New Roman"/>
          <w:sz w:val="28"/>
          <w:szCs w:val="28"/>
          <w:highlight w:val="none"/>
          <w:lang w:val="en-US" w:eastAsia="zh-CN"/>
        </w:rPr>
        <w:t>放</w:t>
      </w:r>
      <w:r>
        <w:rPr>
          <w:rFonts w:hint="default" w:ascii="Times New Roman" w:hAnsi="Times New Roman" w:eastAsia="仿宋" w:cs="Times New Roman"/>
          <w:sz w:val="28"/>
          <w:szCs w:val="28"/>
          <w:highlight w:val="none"/>
          <w:lang w:val="en-US" w:eastAsia="zh-CN"/>
        </w:rPr>
        <w:t>口分别计算年均排放浓度优于许可排放浓度限值的比例，而后取优标比例最低值作为此类污染物的优标比例。</w:t>
      </w:r>
    </w:p>
    <w:bookmarkEnd w:id="30"/>
    <w:p w14:paraId="65765AB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11</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开展碳足迹核算的产品类别占比</w:t>
      </w:r>
    </w:p>
    <w:p w14:paraId="5F28B10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开展碳足迹核算的产品类别占比=开展碳足迹核算的产品类别数量/评价年工厂产品类别总数×100%</w:t>
      </w:r>
    </w:p>
    <w:p w14:paraId="0D21315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其中，工厂产品类别总数，依据评价年报统计部门《工业产销总值及主要产品产量》（B204-1）中给出的对应国民经济GB/T4754的小类数量计数。对应每个小类，有开展一项及以上产品碳足迹核算，视为开展了此类别产品碳足迹核算。</w:t>
      </w:r>
    </w:p>
    <w:p w14:paraId="7D097232">
      <w:pPr>
        <w:pStyle w:val="29"/>
        <w:keepNext w:val="0"/>
        <w:keepLines w:val="0"/>
        <w:pageBreakBefore w:val="0"/>
        <w:widowControl w:val="0"/>
        <w:kinsoku/>
        <w:topLinePunct w:val="0"/>
        <w:autoSpaceDE w:val="0"/>
        <w:bidi w:val="0"/>
        <w:adjustRightInd/>
        <w:snapToGrid/>
        <w:spacing w:line="500" w:lineRule="exact"/>
        <w:rPr>
          <w:rFonts w:hint="default" w:ascii="Times New Roman" w:hAnsi="Times New Roman" w:cs="Times New Roman"/>
          <w:sz w:val="28"/>
          <w:szCs w:val="28"/>
          <w:highlight w:val="none"/>
          <w:lang w:val="en-US" w:eastAsia="zh-CN"/>
        </w:rPr>
      </w:pPr>
      <w:r>
        <w:rPr>
          <w:rFonts w:hint="default" w:ascii="Times New Roman" w:hAnsi="Times New Roman" w:eastAsia="仿宋" w:cs="Times New Roman"/>
          <w:kern w:val="21"/>
          <w:sz w:val="28"/>
          <w:szCs w:val="28"/>
          <w:highlight w:val="none"/>
          <w:lang w:val="en-US" w:eastAsia="zh-CN" w:bidi="ar-SA"/>
        </w:rPr>
        <w:t>例如：铜冶炼企业副产硫酸，《工业产销总值及主要产品产量》（B204-1）表涉及3211铜冶炼和2611无机酸制造两个GB/T4754小类，工厂的产品类别总数为2；如果只开展了铜产品的碳足迹核算并提交有效产品碳足迹报告，则该工厂开展碳足迹核算的产品类别比重为50%。</w:t>
      </w:r>
    </w:p>
    <w:p w14:paraId="086DB578">
      <w:pPr>
        <w:pStyle w:val="29"/>
        <w:keepNext w:val="0"/>
        <w:keepLines w:val="0"/>
        <w:pageBreakBefore w:val="0"/>
        <w:widowControl w:val="0"/>
        <w:topLinePunct w:val="0"/>
        <w:bidi w:val="0"/>
        <w:ind w:left="0" w:leftChars="0" w:firstLine="0" w:firstLineChars="0"/>
        <w:jc w:val="center"/>
        <w:rPr>
          <w:rFonts w:hint="default" w:ascii="Times New Roman" w:hAnsi="Times New Roman" w:cs="Times New Roman"/>
          <w:highlight w:val="none"/>
        </w:rPr>
      </w:pPr>
      <w:r>
        <w:rPr>
          <w:rFonts w:hint="default" w:ascii="Times New Roman" w:hAnsi="Times New Roman" w:cs="Times New Roman"/>
          <w:highlight w:val="none"/>
        </w:rPr>
        <w:drawing>
          <wp:anchor distT="0" distB="0" distL="114300" distR="114300" simplePos="0" relativeHeight="251660288" behindDoc="1" locked="0" layoutInCell="1" allowOverlap="1">
            <wp:simplePos x="0" y="0"/>
            <wp:positionH relativeFrom="column">
              <wp:posOffset>-506730</wp:posOffset>
            </wp:positionH>
            <wp:positionV relativeFrom="paragraph">
              <wp:posOffset>102870</wp:posOffset>
            </wp:positionV>
            <wp:extent cx="6188075" cy="3450590"/>
            <wp:effectExtent l="9525" t="9525" r="12700" b="26035"/>
            <wp:wrapNone/>
            <wp:docPr id="2"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6"/>
                    <pic:cNvPicPr>
                      <a:picLocks noChangeAspect="1"/>
                    </pic:cNvPicPr>
                  </pic:nvPicPr>
                  <pic:blipFill>
                    <a:blip r:embed="rId29"/>
                    <a:stretch>
                      <a:fillRect/>
                    </a:stretch>
                  </pic:blipFill>
                  <pic:spPr>
                    <a:xfrm>
                      <a:off x="0" y="0"/>
                      <a:ext cx="6188075" cy="3450590"/>
                    </a:xfrm>
                    <a:prstGeom prst="rect">
                      <a:avLst/>
                    </a:prstGeom>
                    <a:noFill/>
                    <a:ln>
                      <a:solidFill>
                        <a:schemeClr val="tx1">
                          <a:lumMod val="50000"/>
                          <a:lumOff val="50000"/>
                        </a:schemeClr>
                      </a:solidFill>
                    </a:ln>
                  </pic:spPr>
                </pic:pic>
              </a:graphicData>
            </a:graphic>
          </wp:anchor>
        </w:drawing>
      </w:r>
    </w:p>
    <w:p w14:paraId="7C96C5F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2DBC7F6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654E1E5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7D7ACB77">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7FAA47C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6703CDB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67EC692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62E63AA6">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652A13F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72C1FD0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5572ECE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615D91D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12</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节能产品占比</w:t>
      </w:r>
    </w:p>
    <w:p w14:paraId="11BCFF06">
      <w:pPr>
        <w:keepNext w:val="0"/>
        <w:keepLines w:val="0"/>
        <w:pageBreakBefore w:val="0"/>
        <w:widowControl w:val="0"/>
        <w:topLinePunct w:val="0"/>
        <w:autoSpaceDE w:val="0"/>
        <w:autoSpaceDN w:val="0"/>
        <w:bidi w:val="0"/>
        <w:ind w:firstLine="360" w:firstLineChars="200"/>
        <w:jc w:val="center"/>
        <w:rPr>
          <w:rFonts w:hint="default" w:ascii="Times New Roman" w:hAnsi="Times New Roman" w:eastAsia="宋体" w:cs="Times New Roman"/>
          <w:sz w:val="21"/>
          <w:highlight w:val="none"/>
          <w:lang w:val="en-US" w:eastAsia="zh-CN" w:bidi="ar-SA"/>
        </w:rPr>
      </w:pPr>
      <w:r>
        <w:rPr>
          <w:rFonts w:hint="default" w:ascii="Times New Roman" w:hAnsi="Times New Roman" w:eastAsia="仿宋_GB2312" w:cs="Times New Roman"/>
          <w:i/>
          <w:iCs/>
          <w:color w:val="000000"/>
          <w:kern w:val="0"/>
          <w:position w:val="-32"/>
          <w:sz w:val="18"/>
          <w:szCs w:val="18"/>
          <w:highlight w:val="none"/>
          <w:lang w:val="en-US" w:eastAsia="zh-CN" w:bidi="ar-SA"/>
        </w:rPr>
        <w:object>
          <v:shape id="_x0000_i1036" o:spt="75" type="#_x0000_t75" style="height:36.75pt;width:176.5pt;" o:ole="t" filled="f" o:preferrelative="t" stroked="f" coordsize="21600,21600">
            <v:path/>
            <v:fill on="f" focussize="0,0"/>
            <v:stroke on="f"/>
            <v:imagedata r:id="rId31" o:title=""/>
            <o:lock v:ext="edit" aspectratio="t"/>
            <w10:wrap type="none"/>
            <w10:anchorlock/>
          </v:shape>
          <o:OLEObject Type="Embed" ProgID="Equation.KSEE3" ShapeID="_x0000_i1036" DrawAspect="Content" ObjectID="_1468075736" r:id="rId30">
            <o:LockedField>false</o:LockedField>
          </o:OLEObject>
        </w:object>
      </w:r>
    </w:p>
    <w:p w14:paraId="7721C53C">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55E64EA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w-</w:t>
      </w:r>
      <w:r>
        <w:rPr>
          <w:rFonts w:hint="default" w:ascii="Times New Roman" w:hAnsi="Times New Roman" w:eastAsia="仿宋" w:cs="Times New Roman"/>
          <w:sz w:val="28"/>
          <w:szCs w:val="28"/>
          <w:highlight w:val="none"/>
          <w:lang w:val="en-US" w:eastAsia="zh-CN"/>
        </w:rPr>
        <w:t>评价年工厂生产的节能产品数量占比，%；</w:t>
      </w:r>
    </w:p>
    <w:p w14:paraId="7F8B513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W</w:t>
      </w:r>
      <w:r>
        <w:rPr>
          <w:rFonts w:hint="default" w:ascii="Times New Roman" w:hAnsi="Times New Roman" w:eastAsia="仿宋" w:cs="Times New Roman"/>
          <w:sz w:val="28"/>
          <w:szCs w:val="28"/>
          <w:highlight w:val="none"/>
          <w:vertAlign w:val="subscript"/>
          <w:lang w:val="en-US" w:eastAsia="zh-CN"/>
        </w:rPr>
        <w:t>节能产品</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评价年工厂生产的节能产品数量，单位为产品单位；</w:t>
      </w:r>
    </w:p>
    <w:p w14:paraId="40ED9D5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W</w:t>
      </w:r>
      <w:r>
        <w:rPr>
          <w:rFonts w:hint="default" w:ascii="Times New Roman" w:hAnsi="Times New Roman" w:eastAsia="仿宋" w:cs="Times New Roman"/>
          <w:sz w:val="28"/>
          <w:szCs w:val="28"/>
          <w:highlight w:val="none"/>
          <w:vertAlign w:val="subscript"/>
          <w:lang w:val="en-US" w:eastAsia="zh-CN"/>
        </w:rPr>
        <w:t>总</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评价年工厂生产的全部合格产品数量，单位为产品单位。</w:t>
      </w:r>
    </w:p>
    <w:p w14:paraId="2D3E833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注1：节能产品为符合适用国家强制性能效标准（以实施时间为准）中2级及以上的产品；合格产品数量按相同适用范围内的合格产品总数计。</w:t>
      </w:r>
    </w:p>
    <w:p w14:paraId="4070602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注2：无相关适用强制性能效标准的企业，不适用此指标，无需填报。</w:t>
      </w:r>
    </w:p>
    <w:p w14:paraId="0912568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13</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单位用地面积产值</w:t>
      </w:r>
    </w:p>
    <w:p w14:paraId="6DF5B82E">
      <w:pPr>
        <w:keepNext w:val="0"/>
        <w:keepLines w:val="0"/>
        <w:pageBreakBefore w:val="0"/>
        <w:widowControl w:val="0"/>
        <w:topLinePunct w:val="0"/>
        <w:bidi w:val="0"/>
        <w:spacing w:line="360" w:lineRule="auto"/>
        <w:ind w:left="0" w:leftChars="0" w:firstLine="0" w:firstLineChars="0"/>
        <w:jc w:val="center"/>
        <w:outlineLvl w:val="0"/>
        <w:rPr>
          <w:rFonts w:hint="default" w:ascii="Times New Roman" w:hAnsi="Times New Roman" w:eastAsia="宋体" w:cs="Times New Roman"/>
          <w:highlight w:val="none"/>
        </w:rPr>
      </w:pPr>
      <w:r>
        <w:rPr>
          <w:rFonts w:hint="default" w:ascii="Times New Roman" w:hAnsi="Times New Roman" w:eastAsia="宋体" w:cs="Times New Roman"/>
          <w:position w:val="-32"/>
          <w:highlight w:val="none"/>
        </w:rPr>
        <w:object>
          <v:shape id="_x0000_i1037" o:spt="75" type="#_x0000_t75" style="height:35pt;width:48.3pt;" o:ole="t" filled="f" o:preferrelative="t" stroked="f" coordsize="21600,21600">
            <v:path/>
            <v:fill on="f" focussize="0,0"/>
            <v:stroke on="f"/>
            <v:imagedata r:id="rId33" o:title=""/>
            <o:lock v:ext="edit" aspectratio="t"/>
            <w10:wrap type="none"/>
            <w10:anchorlock/>
          </v:shape>
          <o:OLEObject Type="Embed" ProgID="Equation.3" ShapeID="_x0000_i1037" DrawAspect="Content" ObjectID="_1468075737" r:id="rId32">
            <o:LockedField>false</o:LockedField>
          </o:OLEObject>
        </w:object>
      </w:r>
    </w:p>
    <w:p w14:paraId="58FE42C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7B7385E1">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eastAsia" w:ascii="Times New Roman" w:eastAsia="仿宋" w:cs="Times New Roman"/>
          <w:sz w:val="28"/>
          <w:szCs w:val="28"/>
          <w:highlight w:val="none"/>
          <w:lang w:val="en-US" w:eastAsia="zh-CN"/>
        </w:rPr>
        <w:t>g-</w:t>
      </w:r>
      <w:r>
        <w:rPr>
          <w:rFonts w:hint="default" w:ascii="Times New Roman" w:hAnsi="Times New Roman" w:eastAsia="仿宋" w:cs="Times New Roman"/>
          <w:sz w:val="28"/>
          <w:szCs w:val="28"/>
          <w:highlight w:val="none"/>
          <w:lang w:val="en-US" w:eastAsia="zh-CN"/>
        </w:rPr>
        <w:t>单位用地面积产值，单位为万元每平方米（万元/m</w:t>
      </w:r>
      <w:r>
        <w:rPr>
          <w:rFonts w:hint="default" w:ascii="Times New Roman" w:hAnsi="Times New Roman" w:eastAsia="仿宋" w:cs="Times New Roman"/>
          <w:sz w:val="28"/>
          <w:szCs w:val="28"/>
          <w:highlight w:val="none"/>
          <w:vertAlign w:val="superscript"/>
          <w:lang w:val="en-US" w:eastAsia="zh-CN"/>
        </w:rPr>
        <w:t>2</w:t>
      </w:r>
      <w:r>
        <w:rPr>
          <w:rFonts w:hint="default" w:ascii="Times New Roman" w:hAnsi="Times New Roman" w:eastAsia="仿宋" w:cs="Times New Roman"/>
          <w:sz w:val="28"/>
          <w:szCs w:val="28"/>
          <w:highlight w:val="none"/>
          <w:lang w:val="en-US" w:eastAsia="zh-CN"/>
        </w:rPr>
        <w:t>）；</w:t>
      </w:r>
    </w:p>
    <w:p w14:paraId="5C2FCB96">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G</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评价年工厂的总产值，单位为万元；</w:t>
      </w:r>
    </w:p>
    <w:p w14:paraId="60AE8A2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w:t>
      </w:r>
      <w:r>
        <w:rPr>
          <w:rFonts w:hint="default" w:ascii="Times New Roman" w:hAnsi="Times New Roman" w:eastAsia="仿宋" w:cs="Times New Roman"/>
          <w:sz w:val="28"/>
          <w:szCs w:val="28"/>
          <w:highlight w:val="none"/>
          <w:vertAlign w:val="subscript"/>
          <w:lang w:val="en-US" w:eastAsia="zh-CN"/>
        </w:rPr>
        <w:t>用地</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工厂总用地面积，按照土地权属、界址确定，单位为平方米（m2）。</w:t>
      </w:r>
    </w:p>
    <w:p w14:paraId="066F1C0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14</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建筑系数</w:t>
      </w:r>
    </w:p>
    <w:p w14:paraId="4EA1547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建筑系数为工厂用地范围内各种建筑物、用于生产和直接为生产服务的构筑物以及堆场面积总和占厂区用地面积的比例，按下式计算。</w:t>
      </w:r>
    </w:p>
    <w:p w14:paraId="42435EBD">
      <w:pPr>
        <w:keepNext w:val="0"/>
        <w:keepLines w:val="0"/>
        <w:pageBreakBefore w:val="0"/>
        <w:widowControl w:val="0"/>
        <w:topLinePunct w:val="0"/>
        <w:bidi w:val="0"/>
        <w:spacing w:line="360" w:lineRule="auto"/>
        <w:ind w:left="0" w:leftChars="0" w:firstLine="0" w:firstLineChars="0"/>
        <w:jc w:val="center"/>
        <w:outlineLvl w:val="0"/>
        <w:rPr>
          <w:rFonts w:hint="eastAsia" w:ascii="黑体" w:hAnsi="黑体" w:eastAsia="黑体" w:cs="黑体"/>
          <w:color w:val="auto"/>
          <w:position w:val="-28"/>
          <w:sz w:val="21"/>
          <w:highlight w:val="none"/>
        </w:rPr>
      </w:pPr>
      <w:r>
        <w:rPr>
          <w:rFonts w:hint="eastAsia" w:ascii="黑体" w:hAnsi="黑体" w:eastAsia="黑体" w:cs="黑体"/>
          <w:color w:val="auto"/>
          <w:position w:val="-28"/>
          <w:sz w:val="21"/>
          <w:highlight w:val="none"/>
        </w:rPr>
        <w:object>
          <v:shape id="_x0000_i1038" o:spt="75" type="#_x0000_t75" style="height:51.15pt;width:259.9pt;" o:ole="t" filled="f" o:preferrelative="t" stroked="f" coordsize="21600,21600">
            <v:path/>
            <v:fill on="f" focussize="0,0"/>
            <v:stroke on="f"/>
            <v:imagedata r:id="rId35" o:title=""/>
            <o:lock v:ext="edit" aspectratio="t"/>
            <w10:wrap type="none"/>
            <w10:anchorlock/>
          </v:shape>
          <o:OLEObject Type="Embed" ProgID="Equation.3" ShapeID="_x0000_i1038" DrawAspect="Content" ObjectID="_1468075738" r:id="rId34">
            <o:LockedField>false</o:LockedField>
          </o:OLEObject>
        </w:object>
      </w:r>
    </w:p>
    <w:p w14:paraId="0D10B7D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式中：</w:t>
      </w:r>
    </w:p>
    <w:p w14:paraId="61E2BC9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r</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工厂建筑系数，无量纲；</w:t>
      </w:r>
    </w:p>
    <w:p w14:paraId="3F77B03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w:t>
      </w:r>
      <w:r>
        <w:rPr>
          <w:rFonts w:hint="default" w:ascii="Times New Roman" w:hAnsi="Times New Roman" w:eastAsia="仿宋" w:cs="Times New Roman"/>
          <w:sz w:val="28"/>
          <w:szCs w:val="28"/>
          <w:highlight w:val="none"/>
          <w:vertAlign w:val="subscript"/>
          <w:lang w:val="en-US" w:eastAsia="zh-CN"/>
        </w:rPr>
        <w:t>总建筑物</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工厂总建筑物占地面积，单位为平方米（m</w:t>
      </w:r>
      <w:r>
        <w:rPr>
          <w:rFonts w:hint="default" w:ascii="Times New Roman" w:hAnsi="Times New Roman" w:eastAsia="仿宋" w:cs="Times New Roman"/>
          <w:sz w:val="28"/>
          <w:szCs w:val="28"/>
          <w:highlight w:val="none"/>
          <w:vertAlign w:val="superscript"/>
          <w:lang w:val="en-US" w:eastAsia="zh-CN"/>
        </w:rPr>
        <w:t>2</w:t>
      </w:r>
      <w:r>
        <w:rPr>
          <w:rFonts w:hint="default" w:ascii="Times New Roman" w:hAnsi="Times New Roman" w:eastAsia="仿宋" w:cs="Times New Roman"/>
          <w:sz w:val="28"/>
          <w:szCs w:val="28"/>
          <w:highlight w:val="none"/>
          <w:lang w:val="en-US" w:eastAsia="zh-CN"/>
        </w:rPr>
        <w:t>）；</w:t>
      </w:r>
    </w:p>
    <w:p w14:paraId="72852C93">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w:t>
      </w:r>
      <w:r>
        <w:rPr>
          <w:rFonts w:hint="default" w:ascii="Times New Roman" w:hAnsi="Times New Roman" w:eastAsia="仿宋" w:cs="Times New Roman"/>
          <w:sz w:val="28"/>
          <w:szCs w:val="28"/>
          <w:highlight w:val="none"/>
          <w:vertAlign w:val="subscript"/>
          <w:lang w:val="en-US" w:eastAsia="zh-CN"/>
        </w:rPr>
        <w:t>总构筑物</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工厂各种用于生产和直接为生产服务的总构筑物占地面积，单位为平方米（m</w:t>
      </w:r>
      <w:r>
        <w:rPr>
          <w:rFonts w:hint="default" w:ascii="Times New Roman" w:hAnsi="Times New Roman" w:eastAsia="仿宋" w:cs="Times New Roman"/>
          <w:sz w:val="28"/>
          <w:szCs w:val="28"/>
          <w:highlight w:val="none"/>
          <w:vertAlign w:val="superscript"/>
          <w:lang w:val="en-US" w:eastAsia="zh-CN"/>
        </w:rPr>
        <w:t>2</w:t>
      </w:r>
      <w:r>
        <w:rPr>
          <w:rFonts w:hint="default" w:ascii="Times New Roman" w:hAnsi="Times New Roman" w:eastAsia="仿宋" w:cs="Times New Roman"/>
          <w:sz w:val="28"/>
          <w:szCs w:val="28"/>
          <w:highlight w:val="none"/>
          <w:lang w:val="en-US" w:eastAsia="zh-CN"/>
        </w:rPr>
        <w:t>）；</w:t>
      </w:r>
    </w:p>
    <w:p w14:paraId="2A94D220">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w:t>
      </w:r>
      <w:r>
        <w:rPr>
          <w:rFonts w:hint="default" w:ascii="Times New Roman" w:hAnsi="Times New Roman" w:eastAsia="仿宋" w:cs="Times New Roman"/>
          <w:sz w:val="28"/>
          <w:szCs w:val="28"/>
          <w:highlight w:val="none"/>
          <w:vertAlign w:val="subscript"/>
          <w:lang w:val="en-US" w:eastAsia="zh-CN"/>
        </w:rPr>
        <w:t>堆场</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工厂堆场用地面积，单位为平方米（m</w:t>
      </w:r>
      <w:r>
        <w:rPr>
          <w:rFonts w:hint="default" w:ascii="Times New Roman" w:hAnsi="Times New Roman" w:eastAsia="仿宋" w:cs="Times New Roman"/>
          <w:sz w:val="28"/>
          <w:szCs w:val="28"/>
          <w:highlight w:val="none"/>
          <w:vertAlign w:val="superscript"/>
          <w:lang w:val="en-US" w:eastAsia="zh-CN"/>
        </w:rPr>
        <w:t>2</w:t>
      </w:r>
      <w:r>
        <w:rPr>
          <w:rFonts w:hint="default" w:ascii="Times New Roman" w:hAnsi="Times New Roman" w:eastAsia="仿宋" w:cs="Times New Roman"/>
          <w:sz w:val="28"/>
          <w:szCs w:val="28"/>
          <w:highlight w:val="none"/>
          <w:lang w:val="en-US" w:eastAsia="zh-CN"/>
        </w:rPr>
        <w:t>）；</w:t>
      </w:r>
    </w:p>
    <w:p w14:paraId="1F04AA8F">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w:t>
      </w:r>
      <w:r>
        <w:rPr>
          <w:rFonts w:hint="default" w:ascii="Times New Roman" w:hAnsi="Times New Roman" w:eastAsia="仿宋" w:cs="Times New Roman"/>
          <w:sz w:val="28"/>
          <w:szCs w:val="28"/>
          <w:highlight w:val="none"/>
          <w:vertAlign w:val="subscript"/>
          <w:lang w:val="en-US" w:eastAsia="zh-CN"/>
        </w:rPr>
        <w:t>用地</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工厂总用地面积，按照土地权属、界址确定，单位为平方米（m</w:t>
      </w:r>
      <w:r>
        <w:rPr>
          <w:rFonts w:hint="default" w:ascii="Times New Roman" w:hAnsi="Times New Roman" w:eastAsia="仿宋" w:cs="Times New Roman"/>
          <w:sz w:val="28"/>
          <w:szCs w:val="28"/>
          <w:highlight w:val="none"/>
          <w:vertAlign w:val="superscript"/>
          <w:lang w:val="en-US" w:eastAsia="zh-CN"/>
        </w:rPr>
        <w:t>2</w:t>
      </w:r>
      <w:r>
        <w:rPr>
          <w:rFonts w:hint="default" w:ascii="Times New Roman" w:hAnsi="Times New Roman" w:eastAsia="仿宋" w:cs="Times New Roman"/>
          <w:sz w:val="28"/>
          <w:szCs w:val="28"/>
          <w:highlight w:val="none"/>
          <w:lang w:val="en-US" w:eastAsia="zh-CN"/>
        </w:rPr>
        <w:t>）。</w:t>
      </w:r>
    </w:p>
    <w:p w14:paraId="382A633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15</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容积率</w:t>
      </w:r>
    </w:p>
    <w:p w14:paraId="0646EB6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bookmarkStart w:id="31" w:name="_Toc496686869"/>
      <w:bookmarkStart w:id="32" w:name="_Toc496718770"/>
      <w:r>
        <w:rPr>
          <w:rFonts w:hint="default" w:ascii="Times New Roman" w:hAnsi="Times New Roman" w:eastAsia="仿宋" w:cs="Times New Roman"/>
          <w:sz w:val="28"/>
          <w:szCs w:val="28"/>
          <w:highlight w:val="none"/>
          <w:lang w:val="en-US" w:eastAsia="zh-CN"/>
        </w:rPr>
        <w:t>容积率为工厂总建筑面积与工厂总用地面积的比值，按下式计算。</w:t>
      </w:r>
      <w:bookmarkEnd w:id="31"/>
      <w:bookmarkEnd w:id="32"/>
    </w:p>
    <w:p w14:paraId="55D6653F">
      <w:pPr>
        <w:keepNext w:val="0"/>
        <w:keepLines w:val="0"/>
        <w:pageBreakBefore w:val="0"/>
        <w:widowControl w:val="0"/>
        <w:topLinePunct w:val="0"/>
        <w:autoSpaceDE w:val="0"/>
        <w:bidi w:val="0"/>
        <w:spacing w:line="360" w:lineRule="auto"/>
        <w:ind w:left="0" w:leftChars="0" w:firstLine="0" w:firstLineChars="0"/>
        <w:jc w:val="center"/>
        <w:textAlignment w:val="baseline"/>
        <w:outlineLvl w:val="0"/>
        <w:rPr>
          <w:rFonts w:hint="default" w:ascii="Times New Roman" w:hAnsi="Times New Roman" w:eastAsia="宋体" w:cs="Times New Roman"/>
        </w:rPr>
      </w:pPr>
      <w:r>
        <w:rPr>
          <w:rFonts w:hint="default" w:ascii="Times New Roman" w:hAnsi="Times New Roman" w:eastAsia="宋体" w:cs="Times New Roman"/>
          <w:position w:val="-28"/>
        </w:rPr>
        <w:object>
          <v:shape id="_x0000_i1039" o:spt="75" type="#_x0000_t75" style="height:31.95pt;width:65pt;" o:ole="t" filled="f" o:preferrelative="t" stroked="f" coordsize="21600,21600">
            <v:path/>
            <v:fill on="f" focussize="0,0"/>
            <v:stroke on="f"/>
            <v:imagedata r:id="rId37" o:title=""/>
            <o:lock v:ext="edit" aspectratio="t"/>
            <w10:wrap type="none"/>
            <w10:anchorlock/>
          </v:shape>
          <o:OLEObject Type="Embed" ProgID="Equation.3" ShapeID="_x0000_i1039" DrawAspect="Content" ObjectID="_1468075739" r:id="rId36">
            <o:LockedField>false</o:LockedField>
          </o:OLEObject>
        </w:object>
      </w:r>
    </w:p>
    <w:p w14:paraId="1F41C779">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bookmarkStart w:id="33" w:name="_Toc496686871"/>
      <w:bookmarkStart w:id="34" w:name="_Toc496718772"/>
      <w:r>
        <w:rPr>
          <w:rFonts w:hint="default" w:ascii="Times New Roman" w:hAnsi="Times New Roman" w:eastAsia="仿宋" w:cs="Times New Roman"/>
          <w:sz w:val="28"/>
          <w:szCs w:val="28"/>
          <w:highlight w:val="none"/>
          <w:lang w:val="en-US" w:eastAsia="zh-CN"/>
        </w:rPr>
        <w:t>式中：</w:t>
      </w:r>
      <w:bookmarkEnd w:id="33"/>
      <w:bookmarkEnd w:id="34"/>
    </w:p>
    <w:p w14:paraId="0A86060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bookmarkStart w:id="35" w:name="_Toc496686872"/>
      <w:bookmarkStart w:id="36" w:name="_Toc496718773"/>
      <w:r>
        <w:rPr>
          <w:rFonts w:hint="default" w:ascii="Times New Roman" w:hAnsi="Times New Roman" w:eastAsia="仿宋" w:cs="Times New Roman"/>
          <w:sz w:val="28"/>
          <w:szCs w:val="28"/>
          <w:highlight w:val="none"/>
          <w:lang w:val="en-US" w:eastAsia="zh-CN"/>
        </w:rPr>
        <w:t>R</w:t>
      </w:r>
      <w:r>
        <w:rPr>
          <w:rFonts w:hint="eastAsia"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工厂容积率，无量纲；</w:t>
      </w:r>
      <w:bookmarkEnd w:id="35"/>
      <w:bookmarkEnd w:id="36"/>
      <w:bookmarkStart w:id="37" w:name="_Toc496686873"/>
      <w:bookmarkStart w:id="38" w:name="_Toc496718774"/>
    </w:p>
    <w:p w14:paraId="6774F7D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A</w:t>
      </w:r>
      <w:r>
        <w:rPr>
          <w:rFonts w:hint="default" w:ascii="Times New Roman" w:hAnsi="Times New Roman" w:eastAsia="仿宋" w:cs="Times New Roman"/>
          <w:sz w:val="28"/>
          <w:szCs w:val="28"/>
          <w:highlight w:val="none"/>
          <w:vertAlign w:val="subscript"/>
          <w:lang w:val="en-US" w:eastAsia="zh-CN"/>
        </w:rPr>
        <w:t>总建筑面积</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工厂总建筑面积，参照GB/T50353计算，其中，建筑物层高超过8m的，在计算容积率时该层建筑面积加倍计算，单位为平方米（m</w:t>
      </w:r>
      <w:r>
        <w:rPr>
          <w:rFonts w:hint="default" w:ascii="Times New Roman" w:hAnsi="Times New Roman" w:eastAsia="仿宋" w:cs="Times New Roman"/>
          <w:sz w:val="28"/>
          <w:szCs w:val="28"/>
          <w:highlight w:val="none"/>
          <w:vertAlign w:val="superscript"/>
          <w:lang w:val="en-US" w:eastAsia="zh-CN"/>
        </w:rPr>
        <w:t>2</w:t>
      </w:r>
      <w:r>
        <w:rPr>
          <w:rFonts w:hint="default" w:ascii="Times New Roman" w:hAnsi="Times New Roman" w:eastAsia="仿宋" w:cs="Times New Roman"/>
          <w:sz w:val="28"/>
          <w:szCs w:val="28"/>
          <w:highlight w:val="none"/>
          <w:lang w:val="en-US" w:eastAsia="zh-CN"/>
        </w:rPr>
        <w:t>）；</w:t>
      </w:r>
      <w:bookmarkEnd w:id="37"/>
      <w:bookmarkEnd w:id="38"/>
    </w:p>
    <w:p w14:paraId="6D40173C">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textAlignment w:val="baseline"/>
        <w:outlineLvl w:val="0"/>
        <w:rPr>
          <w:rFonts w:hint="default" w:ascii="Times New Roman" w:hAnsi="Times New Roman" w:eastAsia="仿宋" w:cs="Times New Roman"/>
          <w:sz w:val="28"/>
          <w:szCs w:val="28"/>
          <w:highlight w:val="none"/>
          <w:lang w:val="en-US" w:eastAsia="zh-CN"/>
        </w:rPr>
      </w:pPr>
      <w:bookmarkStart w:id="39" w:name="_Toc496718776"/>
      <w:bookmarkStart w:id="40" w:name="_Toc496686875"/>
      <w:r>
        <w:rPr>
          <w:rFonts w:hint="default" w:ascii="Times New Roman" w:hAnsi="Times New Roman" w:eastAsia="仿宋" w:cs="Times New Roman"/>
          <w:sz w:val="28"/>
          <w:szCs w:val="28"/>
          <w:highlight w:val="none"/>
          <w:lang w:val="en-US" w:eastAsia="zh-CN"/>
        </w:rPr>
        <w:t>A</w:t>
      </w:r>
      <w:r>
        <w:rPr>
          <w:rFonts w:hint="default" w:ascii="Times New Roman" w:hAnsi="Times New Roman" w:eastAsia="仿宋" w:cs="Times New Roman"/>
          <w:sz w:val="28"/>
          <w:szCs w:val="28"/>
          <w:highlight w:val="none"/>
          <w:vertAlign w:val="subscript"/>
          <w:lang w:val="en-US" w:eastAsia="zh-CN"/>
        </w:rPr>
        <w:t>用地</w:t>
      </w:r>
      <w:r>
        <w:rPr>
          <w:rFonts w:hint="eastAsia" w:asci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lang w:val="en-US" w:eastAsia="zh-CN"/>
        </w:rPr>
        <w:t>工厂总用地面积，按照土地权属、界址确定，单位为平方米（m</w:t>
      </w:r>
      <w:r>
        <w:rPr>
          <w:rFonts w:hint="default" w:ascii="Times New Roman" w:hAnsi="Times New Roman" w:eastAsia="仿宋" w:cs="Times New Roman"/>
          <w:sz w:val="28"/>
          <w:szCs w:val="28"/>
          <w:highlight w:val="none"/>
          <w:vertAlign w:val="superscript"/>
          <w:lang w:val="en-US" w:eastAsia="zh-CN"/>
        </w:rPr>
        <w:t>2</w:t>
      </w:r>
      <w:r>
        <w:rPr>
          <w:rFonts w:hint="default" w:ascii="Times New Roman" w:hAnsi="Times New Roman" w:eastAsia="仿宋" w:cs="Times New Roman"/>
          <w:sz w:val="28"/>
          <w:szCs w:val="28"/>
          <w:highlight w:val="none"/>
          <w:lang w:val="en-US" w:eastAsia="zh-CN"/>
        </w:rPr>
        <w:t>）。</w:t>
      </w:r>
      <w:bookmarkEnd w:id="39"/>
      <w:bookmarkEnd w:id="40"/>
    </w:p>
    <w:bookmarkEnd w:id="27"/>
    <w:bookmarkEnd w:id="28"/>
    <w:bookmarkEnd w:id="29"/>
    <w:p w14:paraId="7063BE80">
      <w:pPr>
        <w:pStyle w:val="29"/>
        <w:keepNext w:val="0"/>
        <w:keepLines w:val="0"/>
        <w:pageBreakBefore w:val="0"/>
        <w:widowControl w:val="0"/>
        <w:topLinePunct w:val="0"/>
        <w:bidi w:val="0"/>
        <w:ind w:firstLine="420" w:firstLineChars="200"/>
        <w:rPr>
          <w:rFonts w:hint="default" w:ascii="Times New Roman" w:hAnsi="Times New Roman" w:eastAsia="仿宋_GB2312" w:cs="Times New Roman"/>
          <w:lang w:eastAsia="zh-CN"/>
        </w:rPr>
      </w:pPr>
    </w:p>
    <w:p w14:paraId="0C15B73B">
      <w:pPr>
        <w:pStyle w:val="13"/>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p>
    <w:p w14:paraId="3A864206">
      <w:pPr>
        <w:pStyle w:val="13"/>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p>
    <w:p w14:paraId="6183A48D">
      <w:pPr>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br w:type="page"/>
      </w:r>
    </w:p>
    <w:p w14:paraId="358444B9">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r>
        <w:rPr>
          <w:rFonts w:hint="eastAsia" w:ascii="Times New Roman" w:hAnsi="Times New Roman" w:eastAsia="黑体" w:cs="Times New Roman"/>
          <w:b w:val="0"/>
          <w:bCs w:val="0"/>
          <w:sz w:val="32"/>
          <w:szCs w:val="32"/>
          <w:lang w:val="en-US" w:eastAsia="zh-CN"/>
        </w:rPr>
        <w:t>三、</w:t>
      </w:r>
      <w:r>
        <w:rPr>
          <w:rFonts w:hint="default" w:ascii="Times New Roman" w:hAnsi="Times New Roman" w:eastAsia="黑体" w:cs="Times New Roman"/>
          <w:b w:val="0"/>
          <w:bCs w:val="0"/>
          <w:sz w:val="32"/>
          <w:szCs w:val="32"/>
          <w:lang w:val="en-US" w:eastAsia="zh-CN"/>
        </w:rPr>
        <w:t>绿色工厂指标计算过程表</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89"/>
        <w:gridCol w:w="936"/>
        <w:gridCol w:w="965"/>
        <w:gridCol w:w="383"/>
        <w:gridCol w:w="728"/>
        <w:gridCol w:w="808"/>
        <w:gridCol w:w="1029"/>
        <w:gridCol w:w="159"/>
        <w:gridCol w:w="1614"/>
      </w:tblGrid>
      <w:tr w14:paraId="3782A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589" w:type="dxa"/>
            <w:vAlign w:val="center"/>
          </w:tcPr>
          <w:p w14:paraId="720B162F">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指标名称</w:t>
            </w:r>
          </w:p>
        </w:tc>
        <w:tc>
          <w:tcPr>
            <w:tcW w:w="6622" w:type="dxa"/>
            <w:gridSpan w:val="8"/>
            <w:vAlign w:val="center"/>
          </w:tcPr>
          <w:p w14:paraId="292E9AE7">
            <w:pPr>
              <w:keepNext w:val="0"/>
              <w:keepLines w:val="0"/>
              <w:pageBreakBefore w:val="0"/>
              <w:widowControl w:val="0"/>
              <w:topLinePunct w:val="0"/>
              <w:bidi w:val="0"/>
              <w:jc w:val="center"/>
              <w:rPr>
                <w:rFonts w:hint="default" w:ascii="Times New Roman" w:hAnsi="Times New Roman" w:eastAsia="仿宋_GB2312" w:cs="Times New Roman"/>
                <w:b w:val="0"/>
                <w:bCs w:val="0"/>
                <w:vertAlign w:val="baseline"/>
              </w:rPr>
            </w:pPr>
          </w:p>
        </w:tc>
      </w:tr>
      <w:tr w14:paraId="56279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589" w:type="dxa"/>
            <w:vAlign w:val="center"/>
          </w:tcPr>
          <w:p w14:paraId="028ADD7A">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指标计算结果</w:t>
            </w:r>
          </w:p>
        </w:tc>
        <w:tc>
          <w:tcPr>
            <w:tcW w:w="2284" w:type="dxa"/>
            <w:gridSpan w:val="3"/>
            <w:vAlign w:val="center"/>
          </w:tcPr>
          <w:p w14:paraId="0A4F63CC">
            <w:pPr>
              <w:keepNext w:val="0"/>
              <w:keepLines w:val="0"/>
              <w:pageBreakBefore w:val="0"/>
              <w:widowControl w:val="0"/>
              <w:topLinePunct w:val="0"/>
              <w:bidi w:val="0"/>
              <w:jc w:val="center"/>
              <w:rPr>
                <w:rFonts w:hint="default" w:ascii="Times New Roman" w:hAnsi="Times New Roman" w:eastAsia="仿宋_GB2312" w:cs="Times New Roman"/>
                <w:b w:val="0"/>
                <w:bCs w:val="0"/>
                <w:vertAlign w:val="baseline"/>
              </w:rPr>
            </w:pPr>
          </w:p>
        </w:tc>
        <w:tc>
          <w:tcPr>
            <w:tcW w:w="2565" w:type="dxa"/>
            <w:gridSpan w:val="3"/>
            <w:vAlign w:val="center"/>
          </w:tcPr>
          <w:p w14:paraId="397D4A0C">
            <w:pPr>
              <w:keepNext w:val="0"/>
              <w:keepLines w:val="0"/>
              <w:pageBreakBefore w:val="0"/>
              <w:widowControl w:val="0"/>
              <w:topLinePunct w:val="0"/>
              <w:bidi w:val="0"/>
              <w:jc w:val="center"/>
              <w:rPr>
                <w:rFonts w:hint="default" w:ascii="Times New Roman" w:hAnsi="Times New Roman" w:eastAsia="仿宋_GB2312" w:cs="Times New Roman"/>
                <w:b w:val="0"/>
                <w:bCs w:val="0"/>
                <w:vertAlign w:val="baseline"/>
                <w:lang w:val="en-US" w:eastAsia="zh-CN"/>
              </w:rPr>
            </w:pPr>
            <w:r>
              <w:rPr>
                <w:rFonts w:hint="default" w:ascii="Times New Roman" w:hAnsi="Times New Roman" w:eastAsia="仿宋_GB2312" w:cs="Times New Roman"/>
                <w:b/>
                <w:bCs/>
                <w:vertAlign w:val="baseline"/>
                <w:lang w:val="en-US" w:eastAsia="zh-CN"/>
              </w:rPr>
              <w:t>指标计算结果对应的单位</w:t>
            </w:r>
          </w:p>
        </w:tc>
        <w:tc>
          <w:tcPr>
            <w:tcW w:w="1773" w:type="dxa"/>
            <w:gridSpan w:val="2"/>
            <w:vAlign w:val="center"/>
          </w:tcPr>
          <w:p w14:paraId="035D0DBB">
            <w:pPr>
              <w:keepNext w:val="0"/>
              <w:keepLines w:val="0"/>
              <w:pageBreakBefore w:val="0"/>
              <w:widowControl w:val="0"/>
              <w:topLinePunct w:val="0"/>
              <w:bidi w:val="0"/>
              <w:jc w:val="center"/>
              <w:rPr>
                <w:rFonts w:hint="default" w:ascii="Times New Roman" w:hAnsi="Times New Roman" w:eastAsia="仿宋_GB2312" w:cs="Times New Roman"/>
                <w:b w:val="0"/>
                <w:bCs w:val="0"/>
                <w:vertAlign w:val="baseline"/>
              </w:rPr>
            </w:pPr>
          </w:p>
        </w:tc>
      </w:tr>
      <w:tr w14:paraId="39BB8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9" w:type="dxa"/>
            <w:vAlign w:val="center"/>
          </w:tcPr>
          <w:p w14:paraId="5193351D">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指标计算对应的边界</w:t>
            </w:r>
          </w:p>
        </w:tc>
        <w:tc>
          <w:tcPr>
            <w:tcW w:w="6622" w:type="dxa"/>
            <w:gridSpan w:val="8"/>
            <w:vAlign w:val="center"/>
          </w:tcPr>
          <w:p w14:paraId="114C8CDB">
            <w:pPr>
              <w:keepNext w:val="0"/>
              <w:keepLines w:val="0"/>
              <w:pageBreakBefore w:val="0"/>
              <w:widowControl w:val="0"/>
              <w:topLinePunct w:val="0"/>
              <w:bidi w:val="0"/>
              <w:jc w:val="center"/>
              <w:rPr>
                <w:rFonts w:hint="default" w:ascii="Times New Roman" w:hAnsi="Times New Roman" w:eastAsia="仿宋_GB2312" w:cs="Times New Roman"/>
                <w:b w:val="0"/>
                <w:bCs w:val="0"/>
                <w:vertAlign w:val="baseline"/>
              </w:rPr>
            </w:pPr>
          </w:p>
        </w:tc>
      </w:tr>
      <w:tr w14:paraId="027FA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6" w:hRule="atLeast"/>
        </w:trPr>
        <w:tc>
          <w:tcPr>
            <w:tcW w:w="1589" w:type="dxa"/>
            <w:vAlign w:val="center"/>
          </w:tcPr>
          <w:p w14:paraId="3B392C74">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指标计算方法</w:t>
            </w:r>
          </w:p>
        </w:tc>
        <w:tc>
          <w:tcPr>
            <w:tcW w:w="6622" w:type="dxa"/>
            <w:gridSpan w:val="8"/>
          </w:tcPr>
          <w:p w14:paraId="16618A33">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r>
      <w:tr w14:paraId="11F9C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1589" w:type="dxa"/>
            <w:vMerge w:val="restart"/>
            <w:vAlign w:val="center"/>
          </w:tcPr>
          <w:p w14:paraId="04D7431C">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计算过程涉及的参数</w:t>
            </w:r>
          </w:p>
        </w:tc>
        <w:tc>
          <w:tcPr>
            <w:tcW w:w="936" w:type="dxa"/>
            <w:vMerge w:val="restart"/>
            <w:vAlign w:val="center"/>
          </w:tcPr>
          <w:p w14:paraId="186D9AFC">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参数1</w:t>
            </w:r>
          </w:p>
        </w:tc>
        <w:tc>
          <w:tcPr>
            <w:tcW w:w="965" w:type="dxa"/>
            <w:vAlign w:val="center"/>
          </w:tcPr>
          <w:p w14:paraId="756A2E0A">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名称</w:t>
            </w:r>
          </w:p>
        </w:tc>
        <w:tc>
          <w:tcPr>
            <w:tcW w:w="1111" w:type="dxa"/>
            <w:gridSpan w:val="2"/>
            <w:vAlign w:val="center"/>
          </w:tcPr>
          <w:p w14:paraId="40D9EE5B">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数值</w:t>
            </w:r>
          </w:p>
        </w:tc>
        <w:tc>
          <w:tcPr>
            <w:tcW w:w="808" w:type="dxa"/>
            <w:vAlign w:val="center"/>
          </w:tcPr>
          <w:p w14:paraId="16C0C37A">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单位</w:t>
            </w:r>
          </w:p>
        </w:tc>
        <w:tc>
          <w:tcPr>
            <w:tcW w:w="1188" w:type="dxa"/>
            <w:gridSpan w:val="2"/>
            <w:vAlign w:val="center"/>
          </w:tcPr>
          <w:p w14:paraId="0712D3B2">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对应的证明材料</w:t>
            </w:r>
          </w:p>
        </w:tc>
        <w:tc>
          <w:tcPr>
            <w:tcW w:w="1614" w:type="dxa"/>
            <w:vAlign w:val="center"/>
          </w:tcPr>
          <w:p w14:paraId="50FBAE22">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说明（针对参数1的说明）</w:t>
            </w:r>
          </w:p>
        </w:tc>
      </w:tr>
      <w:tr w14:paraId="54500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trPr>
        <w:tc>
          <w:tcPr>
            <w:tcW w:w="1589" w:type="dxa"/>
            <w:vMerge w:val="continue"/>
          </w:tcPr>
          <w:p w14:paraId="729CFEE0">
            <w:pPr>
              <w:keepNext w:val="0"/>
              <w:keepLines w:val="0"/>
              <w:pageBreakBefore w:val="0"/>
              <w:widowControl w:val="0"/>
              <w:topLinePunct w:val="0"/>
              <w:bidi w:val="0"/>
              <w:jc w:val="center"/>
              <w:rPr>
                <w:rFonts w:hint="default" w:ascii="Times New Roman" w:hAnsi="Times New Roman" w:eastAsia="仿宋_GB2312" w:cs="Times New Roman"/>
                <w:b/>
                <w:bCs/>
              </w:rPr>
            </w:pPr>
          </w:p>
        </w:tc>
        <w:tc>
          <w:tcPr>
            <w:tcW w:w="936" w:type="dxa"/>
            <w:vMerge w:val="continue"/>
            <w:vAlign w:val="center"/>
          </w:tcPr>
          <w:p w14:paraId="015787DF">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p>
        </w:tc>
        <w:tc>
          <w:tcPr>
            <w:tcW w:w="965" w:type="dxa"/>
          </w:tcPr>
          <w:p w14:paraId="72ACE124">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111" w:type="dxa"/>
            <w:gridSpan w:val="2"/>
          </w:tcPr>
          <w:p w14:paraId="5DF7BE7E">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808" w:type="dxa"/>
          </w:tcPr>
          <w:p w14:paraId="28659521">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188" w:type="dxa"/>
            <w:gridSpan w:val="2"/>
          </w:tcPr>
          <w:p w14:paraId="6D44D1D7">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614" w:type="dxa"/>
          </w:tcPr>
          <w:p w14:paraId="2DE77470">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r>
      <w:tr w14:paraId="06BAA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1589" w:type="dxa"/>
            <w:vMerge w:val="continue"/>
          </w:tcPr>
          <w:p w14:paraId="3584B8FA">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p>
        </w:tc>
        <w:tc>
          <w:tcPr>
            <w:tcW w:w="936" w:type="dxa"/>
            <w:vMerge w:val="restart"/>
            <w:vAlign w:val="center"/>
          </w:tcPr>
          <w:p w14:paraId="220C85ED">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参数2</w:t>
            </w:r>
          </w:p>
        </w:tc>
        <w:tc>
          <w:tcPr>
            <w:tcW w:w="965" w:type="dxa"/>
            <w:vAlign w:val="center"/>
          </w:tcPr>
          <w:p w14:paraId="768A6C37">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名称</w:t>
            </w:r>
          </w:p>
        </w:tc>
        <w:tc>
          <w:tcPr>
            <w:tcW w:w="1111" w:type="dxa"/>
            <w:gridSpan w:val="2"/>
            <w:vAlign w:val="center"/>
          </w:tcPr>
          <w:p w14:paraId="4FDDC87B">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数值</w:t>
            </w:r>
          </w:p>
        </w:tc>
        <w:tc>
          <w:tcPr>
            <w:tcW w:w="808" w:type="dxa"/>
            <w:vAlign w:val="center"/>
          </w:tcPr>
          <w:p w14:paraId="04969E5F">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单位</w:t>
            </w:r>
          </w:p>
        </w:tc>
        <w:tc>
          <w:tcPr>
            <w:tcW w:w="1188" w:type="dxa"/>
            <w:gridSpan w:val="2"/>
            <w:vAlign w:val="center"/>
          </w:tcPr>
          <w:p w14:paraId="13BD2110">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对应的证明材料</w:t>
            </w:r>
          </w:p>
        </w:tc>
        <w:tc>
          <w:tcPr>
            <w:tcW w:w="1614" w:type="dxa"/>
            <w:vAlign w:val="center"/>
          </w:tcPr>
          <w:p w14:paraId="04F1D448">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说明（针对参数2的说明）</w:t>
            </w:r>
          </w:p>
        </w:tc>
      </w:tr>
      <w:tr w14:paraId="38304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1589" w:type="dxa"/>
            <w:vMerge w:val="continue"/>
          </w:tcPr>
          <w:p w14:paraId="7645D981">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p>
        </w:tc>
        <w:tc>
          <w:tcPr>
            <w:tcW w:w="936" w:type="dxa"/>
            <w:vMerge w:val="continue"/>
            <w:vAlign w:val="center"/>
          </w:tcPr>
          <w:p w14:paraId="714A7BE2">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p>
        </w:tc>
        <w:tc>
          <w:tcPr>
            <w:tcW w:w="965" w:type="dxa"/>
          </w:tcPr>
          <w:p w14:paraId="6601B1EC">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111" w:type="dxa"/>
            <w:gridSpan w:val="2"/>
          </w:tcPr>
          <w:p w14:paraId="7CB575A3">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808" w:type="dxa"/>
          </w:tcPr>
          <w:p w14:paraId="0F53F461">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188" w:type="dxa"/>
            <w:gridSpan w:val="2"/>
          </w:tcPr>
          <w:p w14:paraId="0B7C4537">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614" w:type="dxa"/>
          </w:tcPr>
          <w:p w14:paraId="155B7DF4">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r>
      <w:tr w14:paraId="50209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1589" w:type="dxa"/>
            <w:vMerge w:val="continue"/>
          </w:tcPr>
          <w:p w14:paraId="23C9B13A">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p>
        </w:tc>
        <w:tc>
          <w:tcPr>
            <w:tcW w:w="936" w:type="dxa"/>
            <w:vMerge w:val="restart"/>
            <w:vAlign w:val="center"/>
          </w:tcPr>
          <w:p w14:paraId="0E2B7AFF">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参数3</w:t>
            </w:r>
          </w:p>
        </w:tc>
        <w:tc>
          <w:tcPr>
            <w:tcW w:w="965" w:type="dxa"/>
            <w:vAlign w:val="center"/>
          </w:tcPr>
          <w:p w14:paraId="26CD674A">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名称</w:t>
            </w:r>
          </w:p>
        </w:tc>
        <w:tc>
          <w:tcPr>
            <w:tcW w:w="1111" w:type="dxa"/>
            <w:gridSpan w:val="2"/>
            <w:vAlign w:val="center"/>
          </w:tcPr>
          <w:p w14:paraId="20490BEC">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数值</w:t>
            </w:r>
          </w:p>
        </w:tc>
        <w:tc>
          <w:tcPr>
            <w:tcW w:w="808" w:type="dxa"/>
            <w:vAlign w:val="center"/>
          </w:tcPr>
          <w:p w14:paraId="6099622D">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单位</w:t>
            </w:r>
          </w:p>
        </w:tc>
        <w:tc>
          <w:tcPr>
            <w:tcW w:w="1188" w:type="dxa"/>
            <w:gridSpan w:val="2"/>
            <w:vAlign w:val="center"/>
          </w:tcPr>
          <w:p w14:paraId="4761D3CF">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r>
              <w:rPr>
                <w:rFonts w:hint="default" w:ascii="Times New Roman" w:hAnsi="Times New Roman" w:eastAsia="仿宋_GB2312" w:cs="Times New Roman"/>
                <w:b/>
                <w:bCs/>
                <w:vertAlign w:val="baseline"/>
                <w:lang w:val="en-US" w:eastAsia="zh-CN"/>
              </w:rPr>
              <w:t>对应的证明材料</w:t>
            </w:r>
          </w:p>
        </w:tc>
        <w:tc>
          <w:tcPr>
            <w:tcW w:w="1614" w:type="dxa"/>
            <w:vAlign w:val="center"/>
          </w:tcPr>
          <w:p w14:paraId="5E63DDC2">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说明（针对参数3的说明）</w:t>
            </w:r>
          </w:p>
        </w:tc>
      </w:tr>
      <w:tr w14:paraId="6C517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1589" w:type="dxa"/>
            <w:vMerge w:val="continue"/>
          </w:tcPr>
          <w:p w14:paraId="2CF2EEF3">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p>
        </w:tc>
        <w:tc>
          <w:tcPr>
            <w:tcW w:w="936" w:type="dxa"/>
            <w:vMerge w:val="continue"/>
          </w:tcPr>
          <w:p w14:paraId="5A8CF454">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965" w:type="dxa"/>
          </w:tcPr>
          <w:p w14:paraId="22C2FF8B">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111" w:type="dxa"/>
            <w:gridSpan w:val="2"/>
          </w:tcPr>
          <w:p w14:paraId="673816F1">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808" w:type="dxa"/>
          </w:tcPr>
          <w:p w14:paraId="623E548B">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188" w:type="dxa"/>
            <w:gridSpan w:val="2"/>
          </w:tcPr>
          <w:p w14:paraId="15067AF7">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c>
          <w:tcPr>
            <w:tcW w:w="1614" w:type="dxa"/>
          </w:tcPr>
          <w:p w14:paraId="5E14CCF9">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p>
        </w:tc>
      </w:tr>
      <w:tr w14:paraId="79253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5" w:hRule="atLeast"/>
        </w:trPr>
        <w:tc>
          <w:tcPr>
            <w:tcW w:w="1589" w:type="dxa"/>
            <w:vMerge w:val="continue"/>
          </w:tcPr>
          <w:p w14:paraId="09B48C2B">
            <w:pPr>
              <w:keepNext w:val="0"/>
              <w:keepLines w:val="0"/>
              <w:pageBreakBefore w:val="0"/>
              <w:widowControl w:val="0"/>
              <w:topLinePunct w:val="0"/>
              <w:bidi w:val="0"/>
              <w:jc w:val="center"/>
              <w:rPr>
                <w:rFonts w:hint="default" w:ascii="Times New Roman" w:hAnsi="Times New Roman" w:eastAsia="仿宋_GB2312" w:cs="Times New Roman"/>
                <w:b/>
                <w:bCs/>
                <w:vertAlign w:val="baseline"/>
              </w:rPr>
            </w:pPr>
          </w:p>
        </w:tc>
        <w:tc>
          <w:tcPr>
            <w:tcW w:w="6622" w:type="dxa"/>
            <w:gridSpan w:val="8"/>
          </w:tcPr>
          <w:p w14:paraId="5F9D8B0F">
            <w:pPr>
              <w:keepNext w:val="0"/>
              <w:keepLines w:val="0"/>
              <w:pageBreakBefore w:val="0"/>
              <w:widowControl w:val="0"/>
              <w:topLinePunct w:val="0"/>
              <w:bidi w:val="0"/>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注：</w:t>
            </w:r>
          </w:p>
          <w:p w14:paraId="13D7B487">
            <w:pPr>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r>
              <w:rPr>
                <w:rFonts w:hint="default" w:ascii="Times New Roman" w:hAnsi="Times New Roman" w:eastAsia="仿宋" w:cs="Times New Roman"/>
                <w:b w:val="0"/>
                <w:bCs w:val="0"/>
                <w:vertAlign w:val="baseline"/>
                <w:lang w:val="en-US" w:eastAsia="zh-CN"/>
              </w:rPr>
              <w:t>1</w:t>
            </w:r>
            <w:r>
              <w:rPr>
                <w:rFonts w:hint="eastAsia" w:ascii="Times New Roman" w:hAnsi="Times New Roman" w:eastAsia="仿宋" w:cs="Times New Roman"/>
                <w:b w:val="0"/>
                <w:bCs w:val="0"/>
                <w:vertAlign w:val="baseline"/>
                <w:lang w:val="en-US" w:eastAsia="zh-CN"/>
              </w:rPr>
              <w:t>.</w:t>
            </w:r>
            <w:r>
              <w:rPr>
                <w:rFonts w:hint="default" w:ascii="Times New Roman" w:hAnsi="Times New Roman" w:eastAsia="仿宋" w:cs="Times New Roman"/>
                <w:b w:val="0"/>
                <w:bCs w:val="0"/>
                <w:vertAlign w:val="baseline"/>
                <w:lang w:val="en-US" w:eastAsia="zh-CN"/>
              </w:rPr>
              <w:t>如计算过程涉及参数多于3个请自行添加行；</w:t>
            </w:r>
          </w:p>
          <w:p w14:paraId="5154DCA5">
            <w:pPr>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r>
              <w:rPr>
                <w:rFonts w:hint="default" w:ascii="Times New Roman" w:hAnsi="Times New Roman" w:eastAsia="仿宋" w:cs="Times New Roman"/>
                <w:b w:val="0"/>
                <w:bCs w:val="0"/>
                <w:vertAlign w:val="baseline"/>
                <w:lang w:val="en-US" w:eastAsia="zh-CN"/>
              </w:rPr>
              <w:t>2</w:t>
            </w:r>
            <w:r>
              <w:rPr>
                <w:rFonts w:hint="eastAsia" w:ascii="Times New Roman" w:hAnsi="Times New Roman" w:eastAsia="仿宋" w:cs="Times New Roman"/>
                <w:b w:val="0"/>
                <w:bCs w:val="0"/>
                <w:vertAlign w:val="baseline"/>
                <w:lang w:val="en-US" w:eastAsia="zh-CN"/>
              </w:rPr>
              <w:t>.</w:t>
            </w:r>
            <w:r>
              <w:rPr>
                <w:rFonts w:hint="default" w:ascii="Times New Roman" w:hAnsi="Times New Roman" w:eastAsia="仿宋" w:cs="Times New Roman"/>
                <w:b w:val="0"/>
                <w:bCs w:val="0"/>
                <w:vertAlign w:val="baseline"/>
                <w:lang w:val="en-US" w:eastAsia="zh-CN"/>
              </w:rPr>
              <w:t>如某个参数经过较为复杂过程计算得出，可参考本表格式新建表格对该参数计算过程予以说明；</w:t>
            </w:r>
          </w:p>
          <w:p w14:paraId="05FF3028">
            <w:pPr>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r>
              <w:rPr>
                <w:rFonts w:hint="default" w:ascii="Times New Roman" w:hAnsi="Times New Roman" w:eastAsia="仿宋" w:cs="Times New Roman"/>
                <w:b w:val="0"/>
                <w:bCs w:val="0"/>
                <w:highlight w:val="none"/>
                <w:vertAlign w:val="baseline"/>
                <w:lang w:val="en-US" w:eastAsia="zh-CN"/>
              </w:rPr>
              <w:t>3</w:t>
            </w:r>
            <w:r>
              <w:rPr>
                <w:rFonts w:hint="eastAsia" w:ascii="Times New Roman" w:hAnsi="Times New Roman" w:eastAsia="仿宋" w:cs="Times New Roman"/>
                <w:b w:val="0"/>
                <w:bCs w:val="0"/>
                <w:highlight w:val="none"/>
                <w:vertAlign w:val="baseline"/>
                <w:lang w:val="en-US" w:eastAsia="zh-CN"/>
              </w:rPr>
              <w:t>.</w:t>
            </w:r>
            <w:r>
              <w:rPr>
                <w:rFonts w:hint="default" w:ascii="Times New Roman" w:hAnsi="Times New Roman" w:eastAsia="仿宋" w:cs="Times New Roman"/>
                <w:b w:val="0"/>
                <w:bCs w:val="0"/>
                <w:highlight w:val="none"/>
                <w:vertAlign w:val="baseline"/>
                <w:lang w:val="en-US" w:eastAsia="zh-CN"/>
              </w:rPr>
              <w:t>未在该项指标的证明材料要求中提及，但计算过程中涉及的证明材料，应作为本表格附件附后，并与本表格一起上传。</w:t>
            </w:r>
          </w:p>
        </w:tc>
      </w:tr>
      <w:tr w14:paraId="11182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6" w:hRule="atLeast"/>
        </w:trPr>
        <w:tc>
          <w:tcPr>
            <w:tcW w:w="1589" w:type="dxa"/>
            <w:vAlign w:val="center"/>
          </w:tcPr>
          <w:p w14:paraId="38898BB8">
            <w:pPr>
              <w:keepNext w:val="0"/>
              <w:keepLines w:val="0"/>
              <w:pageBreakBefore w:val="0"/>
              <w:widowControl w:val="0"/>
              <w:topLinePunct w:val="0"/>
              <w:bidi w:val="0"/>
              <w:jc w:val="center"/>
              <w:rPr>
                <w:rFonts w:hint="default" w:ascii="Times New Roman" w:hAnsi="Times New Roman" w:eastAsia="仿宋_GB2312" w:cs="Times New Roman"/>
                <w:b/>
                <w:bCs/>
                <w:vertAlign w:val="baseline"/>
                <w:lang w:val="en-US" w:eastAsia="zh-CN"/>
              </w:rPr>
            </w:pPr>
            <w:r>
              <w:rPr>
                <w:rFonts w:hint="default" w:ascii="Times New Roman" w:hAnsi="Times New Roman" w:eastAsia="仿宋_GB2312" w:cs="Times New Roman"/>
                <w:b/>
                <w:bCs/>
                <w:vertAlign w:val="baseline"/>
                <w:lang w:val="en-US" w:eastAsia="zh-CN"/>
              </w:rPr>
              <w:t>备注</w:t>
            </w:r>
          </w:p>
        </w:tc>
        <w:tc>
          <w:tcPr>
            <w:tcW w:w="6622" w:type="dxa"/>
            <w:gridSpan w:val="8"/>
          </w:tcPr>
          <w:p w14:paraId="13288884">
            <w:pPr>
              <w:keepNext w:val="0"/>
              <w:keepLines w:val="0"/>
              <w:pageBreakBefore w:val="0"/>
              <w:widowControl w:val="0"/>
              <w:topLinePunct w:val="0"/>
              <w:bidi w:val="0"/>
              <w:rPr>
                <w:rFonts w:hint="default" w:ascii="Times New Roman" w:hAnsi="Times New Roman" w:eastAsia="仿宋_GB2312" w:cs="Times New Roman"/>
                <w:b w:val="0"/>
                <w:bCs w:val="0"/>
                <w:vertAlign w:val="baseline"/>
              </w:rPr>
            </w:pPr>
            <w:r>
              <w:rPr>
                <w:rFonts w:hint="default" w:ascii="Times New Roman" w:hAnsi="Times New Roman" w:eastAsia="仿宋_GB2312" w:cs="Times New Roman"/>
                <w:b w:val="0"/>
                <w:bCs w:val="0"/>
                <w:vertAlign w:val="baseline"/>
                <w:lang w:val="en-US" w:eastAsia="zh-CN"/>
              </w:rPr>
              <w:t>（如有其他需要说明的事项，请在此栏详细备注）</w:t>
            </w:r>
          </w:p>
        </w:tc>
      </w:tr>
    </w:tbl>
    <w:p w14:paraId="4BD404F6">
      <w:pPr>
        <w:keepNext w:val="0"/>
        <w:keepLines w:val="0"/>
        <w:pageBreakBefore w:val="0"/>
        <w:widowControl w:val="0"/>
        <w:topLinePunct w:val="0"/>
        <w:bidi w:val="0"/>
        <w:rPr>
          <w:rFonts w:hint="default" w:ascii="Times New Roman" w:hAnsi="Times New Roman" w:cs="Times New Roman"/>
          <w:lang w:val="en-US" w:eastAsia="zh-CN"/>
        </w:rPr>
      </w:pPr>
    </w:p>
    <w:p w14:paraId="179ECD22">
      <w:pPr>
        <w:keepNext w:val="0"/>
        <w:keepLines w:val="0"/>
        <w:pageBreakBefore w:val="0"/>
        <w:widowControl w:val="0"/>
        <w:topLinePunct w:val="0"/>
        <w:bidi w:val="0"/>
        <w:rPr>
          <w:rFonts w:hint="default" w:ascii="Times New Roman" w:hAnsi="Times New Roman" w:eastAsia="仿宋" w:cs="Times New Roman"/>
          <w:b/>
          <w:bCs/>
          <w:sz w:val="24"/>
          <w:szCs w:val="32"/>
          <w:vertAlign w:val="baseline"/>
          <w:lang w:val="en-US" w:eastAsia="zh-CN"/>
        </w:rPr>
      </w:pPr>
      <w:r>
        <w:rPr>
          <w:rFonts w:hint="default" w:ascii="Times New Roman" w:hAnsi="Times New Roman" w:eastAsia="仿宋" w:cs="Times New Roman"/>
          <w:b/>
          <w:bCs/>
          <w:sz w:val="24"/>
          <w:szCs w:val="32"/>
          <w:vertAlign w:val="baseline"/>
          <w:lang w:val="en-US" w:eastAsia="zh-CN"/>
        </w:rPr>
        <w:br w:type="page"/>
      </w:r>
    </w:p>
    <w:p w14:paraId="4987909E">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r>
        <w:rPr>
          <w:rFonts w:hint="default" w:ascii="Times New Roman" w:hAnsi="Times New Roman" w:eastAsia="黑体" w:cs="Times New Roman"/>
          <w:b w:val="0"/>
          <w:bCs w:val="0"/>
          <w:sz w:val="32"/>
          <w:szCs w:val="32"/>
          <w:lang w:val="en-US" w:eastAsia="zh-CN"/>
        </w:rPr>
        <w:t>绿色工厂指标计算过程表（示例）</w:t>
      </w:r>
    </w:p>
    <w:p w14:paraId="07B6C0C0">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r>
        <w:rPr>
          <w:rFonts w:hint="default" w:ascii="Times New Roman" w:hAnsi="Times New Roman" w:eastAsia="黑体" w:cs="Times New Roman"/>
          <w:b w:val="0"/>
          <w:bCs w:val="0"/>
          <w:sz w:val="32"/>
          <w:szCs w:val="32"/>
          <w:lang w:val="en-US" w:eastAsia="zh-CN"/>
        </w:rPr>
        <w:t>（</w:t>
      </w:r>
      <w:r>
        <w:rPr>
          <w:rFonts w:hint="eastAsia" w:ascii="Times New Roman" w:hAnsi="Times New Roman" w:eastAsia="黑体" w:cs="Times New Roman"/>
          <w:b w:val="0"/>
          <w:bCs w:val="0"/>
          <w:sz w:val="32"/>
          <w:szCs w:val="32"/>
          <w:lang w:val="en-US" w:eastAsia="zh-CN"/>
        </w:rPr>
        <w:t>申报材料中</w:t>
      </w:r>
      <w:r>
        <w:rPr>
          <w:rFonts w:hint="default" w:ascii="Times New Roman" w:hAnsi="Times New Roman" w:eastAsia="黑体" w:cs="Times New Roman"/>
          <w:b w:val="0"/>
          <w:bCs w:val="0"/>
          <w:sz w:val="32"/>
          <w:szCs w:val="32"/>
          <w:lang w:val="en-US" w:eastAsia="zh-CN"/>
        </w:rPr>
        <w:t>请删除本示例）</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9"/>
        <w:gridCol w:w="847"/>
        <w:gridCol w:w="1140"/>
        <w:gridCol w:w="297"/>
        <w:gridCol w:w="474"/>
        <w:gridCol w:w="664"/>
        <w:gridCol w:w="1427"/>
        <w:gridCol w:w="1773"/>
      </w:tblGrid>
      <w:tr w14:paraId="16310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589" w:type="dxa"/>
            <w:vAlign w:val="center"/>
          </w:tcPr>
          <w:p w14:paraId="73BBF044">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指标名称</w:t>
            </w:r>
          </w:p>
        </w:tc>
        <w:tc>
          <w:tcPr>
            <w:tcW w:w="6622" w:type="dxa"/>
            <w:gridSpan w:val="7"/>
            <w:vAlign w:val="center"/>
          </w:tcPr>
          <w:p w14:paraId="65EA0217">
            <w:pPr>
              <w:keepNext w:val="0"/>
              <w:keepLines w:val="0"/>
              <w:pageBreakBefore w:val="0"/>
              <w:widowControl w:val="0"/>
              <w:topLinePunct w:val="0"/>
              <w:bidi w:val="0"/>
              <w:jc w:val="center"/>
              <w:rPr>
                <w:rFonts w:hint="default" w:ascii="Times New Roman" w:hAnsi="Times New Roman" w:eastAsia="仿宋" w:cs="Times New Roman"/>
                <w:b/>
                <w:bCs/>
                <w:highlight w:val="none"/>
                <w:vertAlign w:val="baseline"/>
                <w:lang w:val="en-US" w:eastAsia="zh-CN"/>
              </w:rPr>
            </w:pPr>
            <w:r>
              <w:rPr>
                <w:rFonts w:hint="default" w:ascii="Times New Roman" w:hAnsi="Times New Roman" w:eastAsia="仿宋" w:cs="Times New Roman"/>
                <w:b w:val="0"/>
                <w:bCs w:val="0"/>
                <w:highlight w:val="none"/>
                <w:vertAlign w:val="baseline"/>
                <w:lang w:val="en-US" w:eastAsia="zh-CN"/>
              </w:rPr>
              <w:t>单位产品综合能耗（消费型锂离子电池）</w:t>
            </w:r>
          </w:p>
        </w:tc>
      </w:tr>
      <w:tr w14:paraId="185F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589" w:type="dxa"/>
            <w:vAlign w:val="center"/>
          </w:tcPr>
          <w:p w14:paraId="70ADD1DB">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指标计算结果</w:t>
            </w:r>
          </w:p>
        </w:tc>
        <w:tc>
          <w:tcPr>
            <w:tcW w:w="2284" w:type="dxa"/>
            <w:gridSpan w:val="3"/>
            <w:vAlign w:val="center"/>
          </w:tcPr>
          <w:p w14:paraId="18307D8E">
            <w:pPr>
              <w:keepNext w:val="0"/>
              <w:keepLines w:val="0"/>
              <w:pageBreakBefore w:val="0"/>
              <w:widowControl w:val="0"/>
              <w:topLinePunct w:val="0"/>
              <w:bidi w:val="0"/>
              <w:jc w:val="center"/>
              <w:rPr>
                <w:rFonts w:hint="default" w:ascii="Times New Roman" w:hAnsi="Times New Roman" w:eastAsia="仿宋" w:cs="Times New Roman"/>
                <w:b/>
                <w:bCs/>
                <w:highlight w:val="none"/>
                <w:vertAlign w:val="baseline"/>
                <w:lang w:val="en-US" w:eastAsia="zh-CN"/>
              </w:rPr>
            </w:pPr>
            <w:r>
              <w:rPr>
                <w:rFonts w:hint="default" w:ascii="Times New Roman" w:hAnsi="Times New Roman" w:eastAsia="仿宋" w:cs="Times New Roman"/>
                <w:b w:val="0"/>
                <w:bCs w:val="0"/>
                <w:highlight w:val="none"/>
                <w:vertAlign w:val="baseline"/>
                <w:lang w:val="en-US" w:eastAsia="zh-CN"/>
              </w:rPr>
              <w:t>9.2</w:t>
            </w:r>
          </w:p>
        </w:tc>
        <w:tc>
          <w:tcPr>
            <w:tcW w:w="2565" w:type="dxa"/>
            <w:gridSpan w:val="3"/>
            <w:vAlign w:val="center"/>
          </w:tcPr>
          <w:p w14:paraId="38983631">
            <w:pPr>
              <w:keepNext w:val="0"/>
              <w:keepLines w:val="0"/>
              <w:pageBreakBefore w:val="0"/>
              <w:widowControl w:val="0"/>
              <w:topLinePunct w:val="0"/>
              <w:bidi w:val="0"/>
              <w:jc w:val="center"/>
              <w:rPr>
                <w:rFonts w:hint="default" w:ascii="Times New Roman" w:hAnsi="Times New Roman" w:eastAsia="仿宋" w:cs="Times New Roman"/>
                <w:b/>
                <w:bCs/>
                <w:highlight w:val="none"/>
                <w:vertAlign w:val="baseline"/>
                <w:lang w:val="en-US" w:eastAsia="zh-CN"/>
              </w:rPr>
            </w:pPr>
            <w:r>
              <w:rPr>
                <w:rFonts w:hint="default" w:ascii="Times New Roman" w:hAnsi="Times New Roman" w:eastAsia="仿宋" w:cs="Times New Roman"/>
                <w:b/>
                <w:bCs/>
                <w:highlight w:val="none"/>
                <w:vertAlign w:val="baseline"/>
                <w:lang w:val="en-US" w:eastAsia="zh-CN"/>
              </w:rPr>
              <w:t>指标计算结果对应的单位</w:t>
            </w:r>
          </w:p>
        </w:tc>
        <w:tc>
          <w:tcPr>
            <w:tcW w:w="1773" w:type="dxa"/>
            <w:vAlign w:val="center"/>
          </w:tcPr>
          <w:p w14:paraId="544D3BA6">
            <w:pPr>
              <w:keepNext w:val="0"/>
              <w:keepLines w:val="0"/>
              <w:pageBreakBefore w:val="0"/>
              <w:widowControl w:val="0"/>
              <w:topLinePunct w:val="0"/>
              <w:bidi w:val="0"/>
              <w:jc w:val="center"/>
              <w:rPr>
                <w:rFonts w:hint="default" w:ascii="Times New Roman" w:hAnsi="Times New Roman" w:eastAsia="仿宋" w:cs="Times New Roman"/>
                <w:b/>
                <w:bCs/>
                <w:highlight w:val="none"/>
                <w:vertAlign w:val="baseline"/>
              </w:rPr>
            </w:pPr>
            <w:r>
              <w:rPr>
                <w:rFonts w:hint="default" w:ascii="Times New Roman" w:hAnsi="Times New Roman" w:eastAsia="仿宋" w:cs="Times New Roman"/>
                <w:b w:val="0"/>
                <w:bCs w:val="0"/>
                <w:highlight w:val="none"/>
                <w:vertAlign w:val="baseline"/>
              </w:rPr>
              <w:t>kgce/kWh</w:t>
            </w:r>
          </w:p>
        </w:tc>
      </w:tr>
      <w:tr w14:paraId="5BC3B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89" w:type="dxa"/>
            <w:vAlign w:val="center"/>
          </w:tcPr>
          <w:p w14:paraId="1EE3B51C">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指标计算对应的边界</w:t>
            </w:r>
          </w:p>
        </w:tc>
        <w:tc>
          <w:tcPr>
            <w:tcW w:w="6622" w:type="dxa"/>
            <w:gridSpan w:val="7"/>
            <w:vAlign w:val="center"/>
          </w:tcPr>
          <w:p w14:paraId="47A99BDE">
            <w:pPr>
              <w:keepNext w:val="0"/>
              <w:keepLines w:val="0"/>
              <w:pageBreakBefore w:val="0"/>
              <w:widowControl w:val="0"/>
              <w:topLinePunct w:val="0"/>
              <w:bidi w:val="0"/>
              <w:jc w:val="left"/>
              <w:rPr>
                <w:rFonts w:hint="default" w:ascii="Times New Roman" w:hAnsi="Times New Roman" w:eastAsia="仿宋" w:cs="Times New Roman"/>
                <w:b/>
                <w:bCs/>
                <w:highlight w:val="none"/>
                <w:vertAlign w:val="baseline"/>
                <w:lang w:val="en-US" w:eastAsia="zh-CN"/>
              </w:rPr>
            </w:pPr>
            <w:r>
              <w:rPr>
                <w:rFonts w:hint="default" w:ascii="Times New Roman" w:hAnsi="Times New Roman" w:eastAsia="仿宋" w:cs="Times New Roman"/>
                <w:b w:val="0"/>
                <w:bCs w:val="0"/>
                <w:highlight w:val="none"/>
                <w:vertAlign w:val="baseline"/>
                <w:lang w:val="en-US" w:eastAsia="zh-CN"/>
              </w:rPr>
              <w:t>2024年，XXXX公司全厂</w:t>
            </w:r>
          </w:p>
        </w:tc>
      </w:tr>
      <w:tr w14:paraId="04421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3" w:hRule="atLeast"/>
        </w:trPr>
        <w:tc>
          <w:tcPr>
            <w:tcW w:w="1589" w:type="dxa"/>
            <w:vAlign w:val="center"/>
          </w:tcPr>
          <w:p w14:paraId="63A7B547">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指标计算方法</w:t>
            </w:r>
          </w:p>
        </w:tc>
        <w:tc>
          <w:tcPr>
            <w:tcW w:w="6622" w:type="dxa"/>
            <w:gridSpan w:val="7"/>
          </w:tcPr>
          <w:p w14:paraId="6CC4FD62">
            <w:pPr>
              <w:pStyle w:val="22"/>
              <w:keepNext w:val="0"/>
              <w:keepLines w:val="0"/>
              <w:pageBreakBefore w:val="0"/>
              <w:widowControl w:val="0"/>
              <w:topLinePunct w:val="0"/>
              <w:bidi w:val="0"/>
              <w:adjustRightInd w:val="0"/>
              <w:snapToGrid w:val="0"/>
              <w:spacing w:beforeAutospacing="0" w:afterAutospacing="0"/>
              <w:rPr>
                <w:rFonts w:hint="default" w:ascii="Times New Roman" w:hAnsi="Times New Roman" w:eastAsia="仿宋_GB2312" w:cs="Times New Roman"/>
                <w:sz w:val="18"/>
                <w:szCs w:val="18"/>
                <w:highlight w:val="none"/>
              </w:rPr>
            </w:pPr>
            <w:r>
              <w:rPr>
                <w:rFonts w:hint="default" w:ascii="Times New Roman" w:hAnsi="Times New Roman" w:eastAsia="仿宋_GB2312" w:cs="Times New Roman"/>
                <w:position w:val="-30"/>
                <w:sz w:val="18"/>
                <w:szCs w:val="18"/>
                <w:highlight w:val="none"/>
              </w:rPr>
              <w:object>
                <v:shape id="_x0000_i1040" o:spt="75" type="#_x0000_t75" style="height:28.5pt;width:36pt;" o:ole="t" filled="f" o:preferrelative="t" stroked="f" coordsize="21600,21600">
                  <v:path/>
                  <v:fill on="f" focussize="0,0"/>
                  <v:stroke on="f" joinstyle="miter"/>
                  <v:imagedata r:id="rId8" o:title=""/>
                  <o:lock v:ext="edit" aspectratio="t"/>
                  <w10:wrap type="none"/>
                  <w10:anchorlock/>
                </v:shape>
                <o:OLEObject Type="Embed" ProgID="Equation.3" ShapeID="_x0000_i1040" DrawAspect="Content" ObjectID="_1468075740" r:id="rId38">
                  <o:LockedField>false</o:LockedField>
                </o:OLEObject>
              </w:object>
            </w:r>
          </w:p>
          <w:p w14:paraId="28867A46">
            <w:pPr>
              <w:pStyle w:val="22"/>
              <w:keepNext w:val="0"/>
              <w:keepLines w:val="0"/>
              <w:pageBreakBefore w:val="0"/>
              <w:widowControl w:val="0"/>
              <w:topLinePunct w:val="0"/>
              <w:bidi w:val="0"/>
              <w:adjustRightInd w:val="0"/>
              <w:snapToGrid w:val="0"/>
              <w:spacing w:beforeAutospacing="0" w:afterAutospacing="0"/>
              <w:jc w:val="both"/>
              <w:rPr>
                <w:rFonts w:hint="default" w:ascii="Times New Roman" w:hAnsi="Times New Roman" w:eastAsia="仿宋_GB2312" w:cs="Times New Roman"/>
                <w:sz w:val="18"/>
                <w:szCs w:val="18"/>
                <w:highlight w:val="none"/>
              </w:rPr>
            </w:pPr>
            <w:r>
              <w:rPr>
                <w:rFonts w:hint="default" w:ascii="Times New Roman" w:hAnsi="Times New Roman" w:eastAsia="仿宋_GB2312" w:cs="Times New Roman"/>
                <w:i/>
                <w:iCs/>
                <w:sz w:val="18"/>
                <w:szCs w:val="18"/>
                <w:highlight w:val="none"/>
              </w:rPr>
              <w:t>E</w:t>
            </w:r>
            <w:r>
              <w:rPr>
                <w:rFonts w:hint="default" w:ascii="Times New Roman" w:hAnsi="Times New Roman" w:eastAsia="仿宋_GB2312" w:cs="Times New Roman"/>
                <w:i/>
                <w:iCs/>
                <w:sz w:val="18"/>
                <w:szCs w:val="18"/>
                <w:highlight w:val="none"/>
                <w:vertAlign w:val="subscript"/>
              </w:rPr>
              <w:t>ui</w:t>
            </w:r>
            <w:r>
              <w:rPr>
                <w:rFonts w:hint="default" w:ascii="Times New Roman" w:hAnsi="Times New Roman" w:eastAsia="仿宋_GB2312" w:cs="Times New Roman"/>
                <w:sz w:val="18"/>
                <w:szCs w:val="18"/>
                <w:highlight w:val="none"/>
              </w:rPr>
              <w:t>——第</w:t>
            </w:r>
            <w:r>
              <w:rPr>
                <w:rFonts w:hint="default" w:ascii="Times New Roman" w:hAnsi="Times New Roman" w:eastAsia="仿宋_GB2312" w:cs="Times New Roman"/>
                <w:i/>
                <w:iCs/>
                <w:sz w:val="18"/>
                <w:szCs w:val="18"/>
                <w:highlight w:val="none"/>
              </w:rPr>
              <w:t>i</w:t>
            </w:r>
            <w:r>
              <w:rPr>
                <w:rFonts w:hint="default" w:ascii="Times New Roman" w:hAnsi="Times New Roman" w:eastAsia="仿宋_GB2312" w:cs="Times New Roman"/>
                <w:sz w:val="18"/>
                <w:szCs w:val="18"/>
                <w:highlight w:val="none"/>
              </w:rPr>
              <w:t>种产品的单位产品综合能耗，单位为千克标准煤每千瓦时（kgce/kWh）；</w:t>
            </w:r>
          </w:p>
          <w:p w14:paraId="2CBFCBA1">
            <w:pPr>
              <w:pStyle w:val="22"/>
              <w:keepNext w:val="0"/>
              <w:keepLines w:val="0"/>
              <w:pageBreakBefore w:val="0"/>
              <w:widowControl w:val="0"/>
              <w:topLinePunct w:val="0"/>
              <w:bidi w:val="0"/>
              <w:adjustRightInd w:val="0"/>
              <w:snapToGrid w:val="0"/>
              <w:spacing w:beforeAutospacing="0" w:afterAutospacing="0"/>
              <w:jc w:val="both"/>
              <w:rPr>
                <w:rFonts w:hint="default" w:ascii="Times New Roman" w:hAnsi="Times New Roman" w:eastAsia="仿宋_GB2312" w:cs="Times New Roman"/>
                <w:sz w:val="18"/>
                <w:szCs w:val="18"/>
                <w:highlight w:val="none"/>
              </w:rPr>
            </w:pPr>
            <w:r>
              <w:rPr>
                <w:rFonts w:hint="default" w:ascii="Times New Roman" w:hAnsi="Times New Roman" w:eastAsia="仿宋_GB2312" w:cs="Times New Roman"/>
                <w:i/>
                <w:iCs/>
                <w:sz w:val="18"/>
                <w:szCs w:val="18"/>
                <w:highlight w:val="none"/>
              </w:rPr>
              <w:t>E</w:t>
            </w:r>
            <w:r>
              <w:rPr>
                <w:rFonts w:hint="default" w:ascii="Times New Roman" w:hAnsi="Times New Roman" w:eastAsia="仿宋_GB2312" w:cs="Times New Roman"/>
                <w:i/>
                <w:iCs/>
                <w:sz w:val="18"/>
                <w:szCs w:val="18"/>
                <w:highlight w:val="none"/>
                <w:vertAlign w:val="subscript"/>
              </w:rPr>
              <w:t>i</w:t>
            </w:r>
            <w:r>
              <w:rPr>
                <w:rFonts w:hint="default" w:ascii="Times New Roman" w:hAnsi="Times New Roman" w:eastAsia="仿宋_GB2312" w:cs="Times New Roman"/>
                <w:sz w:val="18"/>
                <w:szCs w:val="18"/>
                <w:highlight w:val="none"/>
              </w:rPr>
              <w:t>——评价年工厂第</w:t>
            </w:r>
            <w:r>
              <w:rPr>
                <w:rFonts w:hint="default" w:ascii="Times New Roman" w:hAnsi="Times New Roman" w:eastAsia="仿宋_GB2312" w:cs="Times New Roman"/>
                <w:i/>
                <w:iCs/>
                <w:sz w:val="18"/>
                <w:szCs w:val="18"/>
                <w:highlight w:val="none"/>
              </w:rPr>
              <w:t>i</w:t>
            </w:r>
            <w:r>
              <w:rPr>
                <w:rFonts w:hint="default" w:ascii="Times New Roman" w:hAnsi="Times New Roman" w:eastAsia="仿宋_GB2312" w:cs="Times New Roman"/>
                <w:sz w:val="18"/>
                <w:szCs w:val="18"/>
                <w:highlight w:val="none"/>
              </w:rPr>
              <w:t>种产品的综合能耗（不含用作原料的能源），单位为千克标准煤（kgce）；</w:t>
            </w:r>
          </w:p>
          <w:p w14:paraId="789982F6">
            <w:pPr>
              <w:pStyle w:val="22"/>
              <w:keepNext w:val="0"/>
              <w:keepLines w:val="0"/>
              <w:pageBreakBefore w:val="0"/>
              <w:widowControl w:val="0"/>
              <w:topLinePunct w:val="0"/>
              <w:bidi w:val="0"/>
              <w:adjustRightInd w:val="0"/>
              <w:snapToGrid w:val="0"/>
              <w:spacing w:beforeAutospacing="0" w:afterAutospacing="0"/>
              <w:jc w:val="both"/>
              <w:rPr>
                <w:rFonts w:hint="default" w:ascii="Times New Roman" w:hAnsi="Times New Roman" w:eastAsia="仿宋" w:cs="Times New Roman"/>
                <w:b/>
                <w:bCs/>
                <w:highlight w:val="none"/>
                <w:vertAlign w:val="baseline"/>
              </w:rPr>
            </w:pPr>
            <w:r>
              <w:rPr>
                <w:rFonts w:hint="default" w:ascii="Times New Roman" w:hAnsi="Times New Roman" w:eastAsia="仿宋_GB2312" w:cs="Times New Roman"/>
                <w:i/>
                <w:iCs/>
                <w:sz w:val="18"/>
                <w:szCs w:val="18"/>
                <w:highlight w:val="none"/>
              </w:rPr>
              <w:t>Qi</w:t>
            </w:r>
            <w:r>
              <w:rPr>
                <w:rFonts w:hint="default" w:ascii="Times New Roman" w:hAnsi="Times New Roman" w:eastAsia="仿宋_GB2312" w:cs="Times New Roman"/>
                <w:sz w:val="18"/>
                <w:szCs w:val="18"/>
                <w:highlight w:val="none"/>
              </w:rPr>
              <w:t>——评价年工厂第</w:t>
            </w:r>
            <w:r>
              <w:rPr>
                <w:rFonts w:hint="default" w:ascii="Times New Roman" w:hAnsi="Times New Roman" w:eastAsia="仿宋_GB2312" w:cs="Times New Roman"/>
                <w:i/>
                <w:iCs/>
                <w:sz w:val="18"/>
                <w:szCs w:val="18"/>
                <w:highlight w:val="none"/>
              </w:rPr>
              <w:t>i</w:t>
            </w:r>
            <w:r>
              <w:rPr>
                <w:rFonts w:hint="default" w:ascii="Times New Roman" w:hAnsi="Times New Roman" w:eastAsia="仿宋_GB2312" w:cs="Times New Roman"/>
                <w:sz w:val="18"/>
                <w:szCs w:val="18"/>
                <w:highlight w:val="none"/>
              </w:rPr>
              <w:t>种产品的合格产品产量，单位为千瓦时（kWh）。</w:t>
            </w:r>
          </w:p>
        </w:tc>
      </w:tr>
      <w:tr w14:paraId="0E60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1589" w:type="dxa"/>
            <w:vMerge w:val="restart"/>
            <w:vAlign w:val="center"/>
          </w:tcPr>
          <w:p w14:paraId="3FBA94A5">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计算过程涉及的参数</w:t>
            </w:r>
          </w:p>
        </w:tc>
        <w:tc>
          <w:tcPr>
            <w:tcW w:w="847" w:type="dxa"/>
            <w:vMerge w:val="restart"/>
            <w:vAlign w:val="center"/>
          </w:tcPr>
          <w:p w14:paraId="1E6C6D16">
            <w:pPr>
              <w:keepNext w:val="0"/>
              <w:keepLines w:val="0"/>
              <w:pageBreakBefore w:val="0"/>
              <w:widowControl w:val="0"/>
              <w:topLinePunct w:val="0"/>
              <w:bidi w:val="0"/>
              <w:jc w:val="both"/>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参数1</w:t>
            </w:r>
          </w:p>
        </w:tc>
        <w:tc>
          <w:tcPr>
            <w:tcW w:w="1140" w:type="dxa"/>
            <w:vAlign w:val="center"/>
          </w:tcPr>
          <w:p w14:paraId="50D6782F">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名称</w:t>
            </w:r>
          </w:p>
        </w:tc>
        <w:tc>
          <w:tcPr>
            <w:tcW w:w="771" w:type="dxa"/>
            <w:gridSpan w:val="2"/>
            <w:vAlign w:val="center"/>
          </w:tcPr>
          <w:p w14:paraId="722F638C">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数值</w:t>
            </w:r>
          </w:p>
        </w:tc>
        <w:tc>
          <w:tcPr>
            <w:tcW w:w="664" w:type="dxa"/>
            <w:vAlign w:val="center"/>
          </w:tcPr>
          <w:p w14:paraId="2BF611E6">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单位</w:t>
            </w:r>
          </w:p>
        </w:tc>
        <w:tc>
          <w:tcPr>
            <w:tcW w:w="1427" w:type="dxa"/>
            <w:vAlign w:val="center"/>
          </w:tcPr>
          <w:p w14:paraId="67B3ED1D">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对应的证明材料</w:t>
            </w:r>
          </w:p>
        </w:tc>
        <w:tc>
          <w:tcPr>
            <w:tcW w:w="1773" w:type="dxa"/>
            <w:vAlign w:val="center"/>
          </w:tcPr>
          <w:p w14:paraId="363E8AFD">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说明（针对参数1的说明）</w:t>
            </w:r>
          </w:p>
        </w:tc>
      </w:tr>
      <w:tr w14:paraId="7935C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trPr>
        <w:tc>
          <w:tcPr>
            <w:tcW w:w="1589" w:type="dxa"/>
            <w:vMerge w:val="continue"/>
          </w:tcPr>
          <w:p w14:paraId="235E4EBE">
            <w:pPr>
              <w:keepNext w:val="0"/>
              <w:keepLines w:val="0"/>
              <w:pageBreakBefore w:val="0"/>
              <w:widowControl w:val="0"/>
              <w:topLinePunct w:val="0"/>
              <w:bidi w:val="0"/>
              <w:jc w:val="center"/>
              <w:rPr>
                <w:rFonts w:hint="default" w:ascii="Times New Roman" w:hAnsi="Times New Roman" w:eastAsia="仿宋" w:cs="Times New Roman"/>
                <w:b/>
                <w:bCs/>
              </w:rPr>
            </w:pPr>
          </w:p>
        </w:tc>
        <w:tc>
          <w:tcPr>
            <w:tcW w:w="847" w:type="dxa"/>
            <w:vMerge w:val="continue"/>
            <w:vAlign w:val="center"/>
          </w:tcPr>
          <w:p w14:paraId="6F3F7CFF">
            <w:pPr>
              <w:keepNext w:val="0"/>
              <w:keepLines w:val="0"/>
              <w:pageBreakBefore w:val="0"/>
              <w:widowControl w:val="0"/>
              <w:topLinePunct w:val="0"/>
              <w:bidi w:val="0"/>
              <w:jc w:val="both"/>
              <w:rPr>
                <w:rFonts w:hint="default" w:ascii="Times New Roman" w:hAnsi="Times New Roman" w:eastAsia="仿宋" w:cs="Times New Roman"/>
                <w:b/>
                <w:bCs/>
                <w:highlight w:val="none"/>
                <w:vertAlign w:val="baseline"/>
              </w:rPr>
            </w:pPr>
          </w:p>
        </w:tc>
        <w:tc>
          <w:tcPr>
            <w:tcW w:w="1140" w:type="dxa"/>
            <w:vAlign w:val="center"/>
          </w:tcPr>
          <w:p w14:paraId="6C52B4FF">
            <w:pPr>
              <w:keepNext w:val="0"/>
              <w:keepLines w:val="0"/>
              <w:pageBreakBefore w:val="0"/>
              <w:widowControl w:val="0"/>
              <w:topLinePunct w:val="0"/>
              <w:bidi w:val="0"/>
              <w:jc w:val="both"/>
              <w:rPr>
                <w:rFonts w:hint="default" w:ascii="Times New Roman" w:hAnsi="Times New Roman" w:eastAsia="仿宋" w:cs="Times New Roman"/>
                <w:b/>
                <w:bCs/>
                <w:highlight w:val="none"/>
                <w:vertAlign w:val="baseline"/>
                <w:lang w:val="en-US"/>
              </w:rPr>
            </w:pPr>
            <w:r>
              <w:rPr>
                <w:rFonts w:hint="default" w:ascii="Times New Roman" w:hAnsi="Times New Roman" w:eastAsia="仿宋_GB2312" w:cs="Times New Roman"/>
                <w:sz w:val="18"/>
                <w:szCs w:val="18"/>
                <w:highlight w:val="none"/>
                <w:lang w:val="en-US" w:eastAsia="zh-CN"/>
              </w:rPr>
              <w:t>消费型锂离子电池综合能耗</w:t>
            </w:r>
          </w:p>
        </w:tc>
        <w:tc>
          <w:tcPr>
            <w:tcW w:w="771" w:type="dxa"/>
            <w:gridSpan w:val="2"/>
            <w:vAlign w:val="center"/>
          </w:tcPr>
          <w:p w14:paraId="0306CA1C">
            <w:pPr>
              <w:keepNext w:val="0"/>
              <w:keepLines w:val="0"/>
              <w:pageBreakBefore w:val="0"/>
              <w:widowControl w:val="0"/>
              <w:topLinePunct w:val="0"/>
              <w:bidi w:val="0"/>
              <w:jc w:val="both"/>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2760</w:t>
            </w:r>
          </w:p>
        </w:tc>
        <w:tc>
          <w:tcPr>
            <w:tcW w:w="664" w:type="dxa"/>
            <w:vAlign w:val="center"/>
          </w:tcPr>
          <w:p w14:paraId="36A3B60F">
            <w:pPr>
              <w:keepNext w:val="0"/>
              <w:keepLines w:val="0"/>
              <w:pageBreakBefore w:val="0"/>
              <w:widowControl w:val="0"/>
              <w:topLinePunct w:val="0"/>
              <w:bidi w:val="0"/>
              <w:jc w:val="both"/>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tce</w:t>
            </w:r>
          </w:p>
        </w:tc>
        <w:tc>
          <w:tcPr>
            <w:tcW w:w="1427" w:type="dxa"/>
            <w:vAlign w:val="center"/>
          </w:tcPr>
          <w:p w14:paraId="6901ECB1">
            <w:pPr>
              <w:keepNext w:val="0"/>
              <w:keepLines w:val="0"/>
              <w:pageBreakBefore w:val="0"/>
              <w:widowControl w:val="0"/>
              <w:topLinePunct w:val="0"/>
              <w:bidi w:val="0"/>
              <w:jc w:val="both"/>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《能源购进、消费与库存》（205-1表）</w:t>
            </w:r>
          </w:p>
        </w:tc>
        <w:tc>
          <w:tcPr>
            <w:tcW w:w="1773" w:type="dxa"/>
            <w:vAlign w:val="center"/>
          </w:tcPr>
          <w:p w14:paraId="44847C9F">
            <w:pPr>
              <w:keepNext w:val="0"/>
              <w:keepLines w:val="0"/>
              <w:pageBreakBefore w:val="0"/>
              <w:widowControl w:val="0"/>
              <w:topLinePunct w:val="0"/>
              <w:bidi w:val="0"/>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工厂仅生产消费型锂离子电池，不需要根据产品类型对能耗进行拆分</w:t>
            </w:r>
          </w:p>
        </w:tc>
      </w:tr>
      <w:tr w14:paraId="371F0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 w:hRule="atLeast"/>
        </w:trPr>
        <w:tc>
          <w:tcPr>
            <w:tcW w:w="1589" w:type="dxa"/>
            <w:vMerge w:val="continue"/>
          </w:tcPr>
          <w:p w14:paraId="2B6147E6">
            <w:pPr>
              <w:keepNext w:val="0"/>
              <w:keepLines w:val="0"/>
              <w:pageBreakBefore w:val="0"/>
              <w:widowControl w:val="0"/>
              <w:topLinePunct w:val="0"/>
              <w:bidi w:val="0"/>
              <w:jc w:val="center"/>
              <w:rPr>
                <w:rFonts w:hint="default" w:ascii="Times New Roman" w:hAnsi="Times New Roman" w:eastAsia="仿宋" w:cs="Times New Roman"/>
                <w:b/>
                <w:bCs/>
                <w:vertAlign w:val="baseline"/>
              </w:rPr>
            </w:pPr>
          </w:p>
        </w:tc>
        <w:tc>
          <w:tcPr>
            <w:tcW w:w="847" w:type="dxa"/>
            <w:vMerge w:val="restart"/>
            <w:vAlign w:val="center"/>
          </w:tcPr>
          <w:p w14:paraId="1510F214">
            <w:pPr>
              <w:keepNext w:val="0"/>
              <w:keepLines w:val="0"/>
              <w:pageBreakBefore w:val="0"/>
              <w:widowControl w:val="0"/>
              <w:topLinePunct w:val="0"/>
              <w:bidi w:val="0"/>
              <w:jc w:val="both"/>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参数2</w:t>
            </w:r>
          </w:p>
        </w:tc>
        <w:tc>
          <w:tcPr>
            <w:tcW w:w="1140" w:type="dxa"/>
            <w:vAlign w:val="center"/>
          </w:tcPr>
          <w:p w14:paraId="5CAA18CF">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名称</w:t>
            </w:r>
          </w:p>
        </w:tc>
        <w:tc>
          <w:tcPr>
            <w:tcW w:w="771" w:type="dxa"/>
            <w:gridSpan w:val="2"/>
            <w:vAlign w:val="center"/>
          </w:tcPr>
          <w:p w14:paraId="0613D6C6">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数值</w:t>
            </w:r>
          </w:p>
        </w:tc>
        <w:tc>
          <w:tcPr>
            <w:tcW w:w="664" w:type="dxa"/>
            <w:vAlign w:val="center"/>
          </w:tcPr>
          <w:p w14:paraId="25D1514E">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单位</w:t>
            </w:r>
          </w:p>
        </w:tc>
        <w:tc>
          <w:tcPr>
            <w:tcW w:w="1427" w:type="dxa"/>
            <w:vAlign w:val="center"/>
          </w:tcPr>
          <w:p w14:paraId="2EFDFCD7">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对应的证明材料</w:t>
            </w:r>
          </w:p>
        </w:tc>
        <w:tc>
          <w:tcPr>
            <w:tcW w:w="1773" w:type="dxa"/>
            <w:vAlign w:val="center"/>
          </w:tcPr>
          <w:p w14:paraId="6F5F31CC">
            <w:pPr>
              <w:keepNext w:val="0"/>
              <w:keepLines w:val="0"/>
              <w:pageBreakBefore w:val="0"/>
              <w:widowControl w:val="0"/>
              <w:topLinePunct w:val="0"/>
              <w:bidi w:val="0"/>
              <w:jc w:val="center"/>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说明（针对参数2的说明）</w:t>
            </w:r>
          </w:p>
        </w:tc>
      </w:tr>
      <w:tr w14:paraId="7FD4F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1589" w:type="dxa"/>
            <w:vMerge w:val="continue"/>
          </w:tcPr>
          <w:p w14:paraId="52740C10">
            <w:pPr>
              <w:keepNext w:val="0"/>
              <w:keepLines w:val="0"/>
              <w:pageBreakBefore w:val="0"/>
              <w:widowControl w:val="0"/>
              <w:topLinePunct w:val="0"/>
              <w:bidi w:val="0"/>
              <w:jc w:val="center"/>
              <w:rPr>
                <w:rFonts w:hint="default" w:ascii="Times New Roman" w:hAnsi="Times New Roman" w:eastAsia="仿宋" w:cs="Times New Roman"/>
                <w:b/>
                <w:bCs/>
                <w:vertAlign w:val="baseline"/>
              </w:rPr>
            </w:pPr>
          </w:p>
        </w:tc>
        <w:tc>
          <w:tcPr>
            <w:tcW w:w="847" w:type="dxa"/>
            <w:vMerge w:val="continue"/>
            <w:vAlign w:val="center"/>
          </w:tcPr>
          <w:p w14:paraId="380F676C">
            <w:pPr>
              <w:keepNext w:val="0"/>
              <w:keepLines w:val="0"/>
              <w:pageBreakBefore w:val="0"/>
              <w:widowControl w:val="0"/>
              <w:topLinePunct w:val="0"/>
              <w:bidi w:val="0"/>
              <w:jc w:val="both"/>
              <w:rPr>
                <w:rFonts w:hint="default" w:ascii="Times New Roman" w:hAnsi="Times New Roman" w:eastAsia="仿宋" w:cs="Times New Roman"/>
                <w:b/>
                <w:bCs/>
                <w:highlight w:val="none"/>
                <w:vertAlign w:val="baseline"/>
              </w:rPr>
            </w:pPr>
          </w:p>
        </w:tc>
        <w:tc>
          <w:tcPr>
            <w:tcW w:w="1140" w:type="dxa"/>
          </w:tcPr>
          <w:p w14:paraId="049A39E6">
            <w:pPr>
              <w:keepNext w:val="0"/>
              <w:keepLines w:val="0"/>
              <w:pageBreakBefore w:val="0"/>
              <w:widowControl w:val="0"/>
              <w:topLinePunct w:val="0"/>
              <w:bidi w:val="0"/>
              <w:jc w:val="left"/>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消费型锂离子电池合格产品产量</w:t>
            </w:r>
          </w:p>
        </w:tc>
        <w:tc>
          <w:tcPr>
            <w:tcW w:w="771" w:type="dxa"/>
            <w:gridSpan w:val="2"/>
          </w:tcPr>
          <w:p w14:paraId="558D7580">
            <w:pPr>
              <w:keepNext w:val="0"/>
              <w:keepLines w:val="0"/>
              <w:pageBreakBefore w:val="0"/>
              <w:widowControl w:val="0"/>
              <w:topLinePunct w:val="0"/>
              <w:bidi w:val="0"/>
              <w:jc w:val="left"/>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300000</w:t>
            </w:r>
          </w:p>
        </w:tc>
        <w:tc>
          <w:tcPr>
            <w:tcW w:w="664" w:type="dxa"/>
          </w:tcPr>
          <w:p w14:paraId="4B3A8926">
            <w:pPr>
              <w:keepNext w:val="0"/>
              <w:keepLines w:val="0"/>
              <w:pageBreakBefore w:val="0"/>
              <w:widowControl w:val="0"/>
              <w:topLinePunct w:val="0"/>
              <w:bidi w:val="0"/>
              <w:jc w:val="left"/>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kwh</w:t>
            </w:r>
          </w:p>
        </w:tc>
        <w:tc>
          <w:tcPr>
            <w:tcW w:w="1427" w:type="dxa"/>
          </w:tcPr>
          <w:p w14:paraId="223974BC">
            <w:pPr>
              <w:keepNext w:val="0"/>
              <w:keepLines w:val="0"/>
              <w:pageBreakBefore w:val="0"/>
              <w:widowControl w:val="0"/>
              <w:topLinePunct w:val="0"/>
              <w:bidi w:val="0"/>
              <w:jc w:val="left"/>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《工业产销总值及主要产品产量表》（B204-1表）</w:t>
            </w:r>
          </w:p>
        </w:tc>
        <w:tc>
          <w:tcPr>
            <w:tcW w:w="1773" w:type="dxa"/>
            <w:vAlign w:val="center"/>
          </w:tcPr>
          <w:p w14:paraId="63BA72CA">
            <w:pPr>
              <w:keepNext w:val="0"/>
              <w:keepLines w:val="0"/>
              <w:pageBreakBefore w:val="0"/>
              <w:widowControl w:val="0"/>
              <w:topLinePunct w:val="0"/>
              <w:bidi w:val="0"/>
              <w:jc w:val="left"/>
              <w:rPr>
                <w:rFonts w:hint="default" w:ascii="Times New Roman" w:hAnsi="Times New Roman" w:eastAsia="仿宋_GB2312" w:cs="Times New Roman"/>
                <w:sz w:val="18"/>
                <w:szCs w:val="18"/>
                <w:highlight w:val="none"/>
                <w:lang w:val="en-US" w:eastAsia="zh-CN"/>
              </w:rPr>
            </w:pPr>
            <w:r>
              <w:rPr>
                <w:rFonts w:hint="default" w:ascii="Times New Roman" w:hAnsi="Times New Roman" w:eastAsia="仿宋_GB2312" w:cs="Times New Roman"/>
                <w:sz w:val="18"/>
                <w:szCs w:val="18"/>
                <w:highlight w:val="none"/>
                <w:lang w:val="en-US" w:eastAsia="zh-CN"/>
              </w:rPr>
              <w:t>产量扣除了容量小于1Ah的电池</w:t>
            </w:r>
          </w:p>
        </w:tc>
      </w:tr>
      <w:tr w14:paraId="29EE4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trPr>
        <w:tc>
          <w:tcPr>
            <w:tcW w:w="1589" w:type="dxa"/>
            <w:vMerge w:val="continue"/>
          </w:tcPr>
          <w:p w14:paraId="25790265">
            <w:pPr>
              <w:keepNext w:val="0"/>
              <w:keepLines w:val="0"/>
              <w:pageBreakBefore w:val="0"/>
              <w:widowControl w:val="0"/>
              <w:topLinePunct w:val="0"/>
              <w:bidi w:val="0"/>
              <w:jc w:val="center"/>
              <w:rPr>
                <w:rFonts w:hint="default" w:ascii="Times New Roman" w:hAnsi="Times New Roman" w:eastAsia="仿宋" w:cs="Times New Roman"/>
                <w:b/>
                <w:bCs/>
                <w:vertAlign w:val="baseline"/>
              </w:rPr>
            </w:pPr>
          </w:p>
        </w:tc>
        <w:tc>
          <w:tcPr>
            <w:tcW w:w="847" w:type="dxa"/>
            <w:vMerge w:val="restart"/>
            <w:vAlign w:val="center"/>
          </w:tcPr>
          <w:p w14:paraId="6FD987B7">
            <w:pPr>
              <w:keepNext w:val="0"/>
              <w:keepLines w:val="0"/>
              <w:pageBreakBefore w:val="0"/>
              <w:widowControl w:val="0"/>
              <w:topLinePunct w:val="0"/>
              <w:bidi w:val="0"/>
              <w:jc w:val="both"/>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参数3</w:t>
            </w:r>
          </w:p>
        </w:tc>
        <w:tc>
          <w:tcPr>
            <w:tcW w:w="1140" w:type="dxa"/>
            <w:vAlign w:val="center"/>
          </w:tcPr>
          <w:p w14:paraId="1847C9BF">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名称</w:t>
            </w:r>
          </w:p>
        </w:tc>
        <w:tc>
          <w:tcPr>
            <w:tcW w:w="771" w:type="dxa"/>
            <w:gridSpan w:val="2"/>
            <w:vAlign w:val="center"/>
          </w:tcPr>
          <w:p w14:paraId="4977DC25">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数值</w:t>
            </w:r>
          </w:p>
        </w:tc>
        <w:tc>
          <w:tcPr>
            <w:tcW w:w="664" w:type="dxa"/>
            <w:vAlign w:val="center"/>
          </w:tcPr>
          <w:p w14:paraId="3891C467">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单位</w:t>
            </w:r>
          </w:p>
        </w:tc>
        <w:tc>
          <w:tcPr>
            <w:tcW w:w="1427" w:type="dxa"/>
            <w:vAlign w:val="center"/>
          </w:tcPr>
          <w:p w14:paraId="3956C4DB">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对应的证明材料</w:t>
            </w:r>
          </w:p>
        </w:tc>
        <w:tc>
          <w:tcPr>
            <w:tcW w:w="1773" w:type="dxa"/>
            <w:vAlign w:val="center"/>
          </w:tcPr>
          <w:p w14:paraId="1DECA59B">
            <w:pPr>
              <w:keepNext w:val="0"/>
              <w:keepLines w:val="0"/>
              <w:pageBreakBefore w:val="0"/>
              <w:widowControl w:val="0"/>
              <w:topLinePunct w:val="0"/>
              <w:bidi w:val="0"/>
              <w:jc w:val="center"/>
              <w:rPr>
                <w:rFonts w:hint="default" w:ascii="Times New Roman" w:hAnsi="Times New Roman" w:eastAsia="仿宋" w:cs="Times New Roman"/>
                <w:b/>
                <w:bCs/>
                <w:vertAlign w:val="baseline"/>
              </w:rPr>
            </w:pPr>
            <w:r>
              <w:rPr>
                <w:rFonts w:hint="default" w:ascii="Times New Roman" w:hAnsi="Times New Roman" w:eastAsia="仿宋" w:cs="Times New Roman"/>
                <w:b/>
                <w:bCs/>
                <w:vertAlign w:val="baseline"/>
                <w:lang w:val="en-US" w:eastAsia="zh-CN"/>
              </w:rPr>
              <w:t>说明（针对参数3的说明）</w:t>
            </w:r>
          </w:p>
        </w:tc>
      </w:tr>
      <w:tr w14:paraId="48986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1589" w:type="dxa"/>
            <w:vMerge w:val="continue"/>
          </w:tcPr>
          <w:p w14:paraId="13E7DF6E">
            <w:pPr>
              <w:keepNext w:val="0"/>
              <w:keepLines w:val="0"/>
              <w:pageBreakBefore w:val="0"/>
              <w:widowControl w:val="0"/>
              <w:topLinePunct w:val="0"/>
              <w:bidi w:val="0"/>
              <w:jc w:val="center"/>
              <w:rPr>
                <w:rFonts w:hint="default" w:ascii="Times New Roman" w:hAnsi="Times New Roman" w:eastAsia="仿宋" w:cs="Times New Roman"/>
                <w:b/>
                <w:bCs/>
                <w:vertAlign w:val="baseline"/>
              </w:rPr>
            </w:pPr>
          </w:p>
        </w:tc>
        <w:tc>
          <w:tcPr>
            <w:tcW w:w="847" w:type="dxa"/>
            <w:vMerge w:val="continue"/>
          </w:tcPr>
          <w:p w14:paraId="7B265B73">
            <w:pPr>
              <w:keepNext w:val="0"/>
              <w:keepLines w:val="0"/>
              <w:pageBreakBefore w:val="0"/>
              <w:widowControl w:val="0"/>
              <w:topLinePunct w:val="0"/>
              <w:bidi w:val="0"/>
              <w:rPr>
                <w:rFonts w:hint="default" w:ascii="Times New Roman" w:hAnsi="Times New Roman" w:eastAsia="仿宋" w:cs="Times New Roman"/>
                <w:b/>
                <w:bCs/>
                <w:vertAlign w:val="baseline"/>
              </w:rPr>
            </w:pPr>
          </w:p>
        </w:tc>
        <w:tc>
          <w:tcPr>
            <w:tcW w:w="1140" w:type="dxa"/>
          </w:tcPr>
          <w:p w14:paraId="1905CC43">
            <w:pPr>
              <w:keepNext w:val="0"/>
              <w:keepLines w:val="0"/>
              <w:pageBreakBefore w:val="0"/>
              <w:widowControl w:val="0"/>
              <w:topLinePunct w:val="0"/>
              <w:bidi w:val="0"/>
              <w:rPr>
                <w:rFonts w:hint="default" w:ascii="Times New Roman" w:hAnsi="Times New Roman" w:eastAsia="仿宋" w:cs="Times New Roman"/>
                <w:b/>
                <w:bCs/>
                <w:vertAlign w:val="baseline"/>
              </w:rPr>
            </w:pPr>
          </w:p>
        </w:tc>
        <w:tc>
          <w:tcPr>
            <w:tcW w:w="771" w:type="dxa"/>
            <w:gridSpan w:val="2"/>
          </w:tcPr>
          <w:p w14:paraId="25D5CC4C">
            <w:pPr>
              <w:keepNext w:val="0"/>
              <w:keepLines w:val="0"/>
              <w:pageBreakBefore w:val="0"/>
              <w:widowControl w:val="0"/>
              <w:topLinePunct w:val="0"/>
              <w:bidi w:val="0"/>
              <w:rPr>
                <w:rFonts w:hint="default" w:ascii="Times New Roman" w:hAnsi="Times New Roman" w:eastAsia="仿宋" w:cs="Times New Roman"/>
                <w:b/>
                <w:bCs/>
                <w:vertAlign w:val="baseline"/>
              </w:rPr>
            </w:pPr>
          </w:p>
        </w:tc>
        <w:tc>
          <w:tcPr>
            <w:tcW w:w="664" w:type="dxa"/>
          </w:tcPr>
          <w:p w14:paraId="5339C53E">
            <w:pPr>
              <w:keepNext w:val="0"/>
              <w:keepLines w:val="0"/>
              <w:pageBreakBefore w:val="0"/>
              <w:widowControl w:val="0"/>
              <w:topLinePunct w:val="0"/>
              <w:bidi w:val="0"/>
              <w:rPr>
                <w:rFonts w:hint="default" w:ascii="Times New Roman" w:hAnsi="Times New Roman" w:eastAsia="仿宋" w:cs="Times New Roman"/>
                <w:b/>
                <w:bCs/>
                <w:vertAlign w:val="baseline"/>
              </w:rPr>
            </w:pPr>
          </w:p>
        </w:tc>
        <w:tc>
          <w:tcPr>
            <w:tcW w:w="1427" w:type="dxa"/>
          </w:tcPr>
          <w:p w14:paraId="5E299060">
            <w:pPr>
              <w:keepNext w:val="0"/>
              <w:keepLines w:val="0"/>
              <w:pageBreakBefore w:val="0"/>
              <w:widowControl w:val="0"/>
              <w:topLinePunct w:val="0"/>
              <w:bidi w:val="0"/>
              <w:rPr>
                <w:rFonts w:hint="default" w:ascii="Times New Roman" w:hAnsi="Times New Roman" w:eastAsia="仿宋" w:cs="Times New Roman"/>
                <w:b/>
                <w:bCs/>
                <w:vertAlign w:val="baseline"/>
              </w:rPr>
            </w:pPr>
          </w:p>
        </w:tc>
        <w:tc>
          <w:tcPr>
            <w:tcW w:w="1773" w:type="dxa"/>
          </w:tcPr>
          <w:p w14:paraId="6A2E70AB">
            <w:pPr>
              <w:keepNext w:val="0"/>
              <w:keepLines w:val="0"/>
              <w:pageBreakBefore w:val="0"/>
              <w:widowControl w:val="0"/>
              <w:topLinePunct w:val="0"/>
              <w:bidi w:val="0"/>
              <w:rPr>
                <w:rFonts w:hint="default" w:ascii="Times New Roman" w:hAnsi="Times New Roman" w:eastAsia="仿宋" w:cs="Times New Roman"/>
                <w:b/>
                <w:bCs/>
                <w:vertAlign w:val="baseline"/>
              </w:rPr>
            </w:pPr>
          </w:p>
        </w:tc>
      </w:tr>
      <w:tr w14:paraId="08D5F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589" w:type="dxa"/>
            <w:vMerge w:val="continue"/>
          </w:tcPr>
          <w:p w14:paraId="02B95BBA">
            <w:pPr>
              <w:keepNext w:val="0"/>
              <w:keepLines w:val="0"/>
              <w:pageBreakBefore w:val="0"/>
              <w:widowControl w:val="0"/>
              <w:topLinePunct w:val="0"/>
              <w:bidi w:val="0"/>
              <w:jc w:val="center"/>
              <w:rPr>
                <w:rFonts w:hint="default" w:ascii="Times New Roman" w:hAnsi="Times New Roman" w:eastAsia="仿宋" w:cs="Times New Roman"/>
                <w:b/>
                <w:bCs/>
                <w:vertAlign w:val="baseline"/>
              </w:rPr>
            </w:pPr>
          </w:p>
        </w:tc>
        <w:tc>
          <w:tcPr>
            <w:tcW w:w="6622" w:type="dxa"/>
            <w:gridSpan w:val="7"/>
          </w:tcPr>
          <w:p w14:paraId="0F608D29">
            <w:pPr>
              <w:keepNext w:val="0"/>
              <w:keepLines w:val="0"/>
              <w:pageBreakBefore w:val="0"/>
              <w:widowControl w:val="0"/>
              <w:topLinePunct w:val="0"/>
              <w:bidi w:val="0"/>
              <w:rPr>
                <w:rFonts w:hint="default" w:ascii="Times New Roman" w:hAnsi="Times New Roman" w:eastAsia="仿宋" w:cs="Times New Roman"/>
                <w:b/>
                <w:bCs/>
                <w:vertAlign w:val="baseline"/>
                <w:lang w:val="en-US" w:eastAsia="zh-CN"/>
              </w:rPr>
            </w:pPr>
            <w:r>
              <w:rPr>
                <w:rFonts w:hint="default" w:ascii="Times New Roman" w:hAnsi="Times New Roman" w:eastAsia="仿宋" w:cs="Times New Roman"/>
                <w:b/>
                <w:bCs/>
                <w:vertAlign w:val="baseline"/>
                <w:lang w:val="en-US" w:eastAsia="zh-CN"/>
              </w:rPr>
              <w:t>注：</w:t>
            </w:r>
          </w:p>
          <w:p w14:paraId="0C199FCE">
            <w:pPr>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r>
              <w:rPr>
                <w:rFonts w:hint="default" w:ascii="Times New Roman" w:hAnsi="Times New Roman" w:eastAsia="仿宋" w:cs="Times New Roman"/>
                <w:b w:val="0"/>
                <w:bCs w:val="0"/>
                <w:vertAlign w:val="baseline"/>
                <w:lang w:val="en-US" w:eastAsia="zh-CN"/>
              </w:rPr>
              <w:t>1</w:t>
            </w:r>
            <w:r>
              <w:rPr>
                <w:rFonts w:hint="eastAsia" w:ascii="Times New Roman" w:hAnsi="Times New Roman" w:eastAsia="仿宋" w:cs="Times New Roman"/>
                <w:b w:val="0"/>
                <w:bCs w:val="0"/>
                <w:vertAlign w:val="baseline"/>
                <w:lang w:val="en-US" w:eastAsia="zh-CN"/>
              </w:rPr>
              <w:t>.</w:t>
            </w:r>
            <w:r>
              <w:rPr>
                <w:rFonts w:hint="default" w:ascii="Times New Roman" w:hAnsi="Times New Roman" w:eastAsia="仿宋" w:cs="Times New Roman"/>
                <w:b w:val="0"/>
                <w:bCs w:val="0"/>
                <w:vertAlign w:val="baseline"/>
                <w:lang w:val="en-US" w:eastAsia="zh-CN"/>
              </w:rPr>
              <w:t>如计算过程涉及参数多于3个请自行添加行；</w:t>
            </w:r>
          </w:p>
          <w:p w14:paraId="4520FC77">
            <w:pPr>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r>
              <w:rPr>
                <w:rFonts w:hint="default" w:ascii="Times New Roman" w:hAnsi="Times New Roman" w:eastAsia="仿宋" w:cs="Times New Roman"/>
                <w:b w:val="0"/>
                <w:bCs w:val="0"/>
                <w:vertAlign w:val="baseline"/>
                <w:lang w:val="en-US" w:eastAsia="zh-CN"/>
              </w:rPr>
              <w:t>2</w:t>
            </w:r>
            <w:r>
              <w:rPr>
                <w:rFonts w:hint="eastAsia" w:ascii="Times New Roman" w:hAnsi="Times New Roman" w:eastAsia="仿宋" w:cs="Times New Roman"/>
                <w:b w:val="0"/>
                <w:bCs w:val="0"/>
                <w:vertAlign w:val="baseline"/>
                <w:lang w:val="en-US" w:eastAsia="zh-CN"/>
              </w:rPr>
              <w:t>.</w:t>
            </w:r>
            <w:r>
              <w:rPr>
                <w:rFonts w:hint="default" w:ascii="Times New Roman" w:hAnsi="Times New Roman" w:eastAsia="仿宋" w:cs="Times New Roman"/>
                <w:b w:val="0"/>
                <w:bCs w:val="0"/>
                <w:vertAlign w:val="baseline"/>
                <w:lang w:val="en-US" w:eastAsia="zh-CN"/>
              </w:rPr>
              <w:t>如某个参数经过较为复杂过程计算得出，可参考本表格式新建表格对该参数计算过程予以说明。</w:t>
            </w:r>
          </w:p>
          <w:p w14:paraId="678A8981">
            <w:pPr>
              <w:keepNext w:val="0"/>
              <w:keepLines w:val="0"/>
              <w:pageBreakBefore w:val="0"/>
              <w:widowControl w:val="0"/>
              <w:topLinePunct w:val="0"/>
              <w:bidi w:val="0"/>
              <w:rPr>
                <w:rFonts w:hint="default" w:ascii="Times New Roman" w:hAnsi="Times New Roman" w:eastAsia="仿宋" w:cs="Times New Roman"/>
                <w:b w:val="0"/>
                <w:bCs w:val="0"/>
                <w:highlight w:val="none"/>
                <w:vertAlign w:val="baseline"/>
                <w:lang w:val="en-US" w:eastAsia="zh-CN"/>
              </w:rPr>
            </w:pPr>
            <w:r>
              <w:rPr>
                <w:rFonts w:hint="default" w:ascii="Times New Roman" w:hAnsi="Times New Roman" w:eastAsia="仿宋" w:cs="Times New Roman"/>
                <w:b w:val="0"/>
                <w:bCs w:val="0"/>
                <w:highlight w:val="none"/>
                <w:vertAlign w:val="baseline"/>
                <w:lang w:val="en-US" w:eastAsia="zh-CN"/>
              </w:rPr>
              <w:t>3</w:t>
            </w:r>
            <w:r>
              <w:rPr>
                <w:rFonts w:hint="eastAsia" w:ascii="Times New Roman" w:hAnsi="Times New Roman" w:eastAsia="仿宋" w:cs="Times New Roman"/>
                <w:b w:val="0"/>
                <w:bCs w:val="0"/>
                <w:highlight w:val="none"/>
                <w:vertAlign w:val="baseline"/>
                <w:lang w:val="en-US" w:eastAsia="zh-CN"/>
              </w:rPr>
              <w:t>.</w:t>
            </w:r>
            <w:r>
              <w:rPr>
                <w:rFonts w:hint="default" w:ascii="Times New Roman" w:hAnsi="Times New Roman" w:eastAsia="仿宋" w:cs="Times New Roman"/>
                <w:b w:val="0"/>
                <w:bCs w:val="0"/>
                <w:highlight w:val="none"/>
                <w:vertAlign w:val="baseline"/>
                <w:lang w:val="en-US" w:eastAsia="zh-CN"/>
              </w:rPr>
              <w:t>未在该项指标的证明材料要求中提及，但计算过程中涉及的证明材料，应作为本表格附件附后，并与本表格一起上传。</w:t>
            </w:r>
          </w:p>
          <w:p w14:paraId="30041876">
            <w:pPr>
              <w:pStyle w:val="23"/>
              <w:keepNext w:val="0"/>
              <w:keepLines w:val="0"/>
              <w:pageBreakBefore w:val="0"/>
              <w:widowControl w:val="0"/>
              <w:topLinePunct w:val="0"/>
              <w:bidi w:val="0"/>
              <w:rPr>
                <w:rFonts w:hint="default" w:ascii="Times New Roman" w:hAnsi="Times New Roman" w:eastAsia="仿宋" w:cs="Times New Roman"/>
                <w:b w:val="0"/>
                <w:bCs w:val="0"/>
                <w:highlight w:val="none"/>
                <w:vertAlign w:val="baseline"/>
                <w:lang w:val="en-US" w:eastAsia="zh-CN"/>
              </w:rPr>
            </w:pPr>
          </w:p>
        </w:tc>
      </w:tr>
      <w:tr w14:paraId="66E35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8" w:hRule="atLeast"/>
        </w:trPr>
        <w:tc>
          <w:tcPr>
            <w:tcW w:w="1589" w:type="dxa"/>
            <w:vAlign w:val="center"/>
          </w:tcPr>
          <w:p w14:paraId="289B90F2">
            <w:pPr>
              <w:keepNext w:val="0"/>
              <w:keepLines w:val="0"/>
              <w:pageBreakBefore w:val="0"/>
              <w:widowControl w:val="0"/>
              <w:topLinePunct w:val="0"/>
              <w:bidi w:val="0"/>
              <w:jc w:val="center"/>
              <w:rPr>
                <w:rFonts w:hint="default" w:ascii="Times New Roman" w:hAnsi="Times New Roman" w:cs="Times New Roman" w:eastAsiaTheme="minorEastAsia"/>
                <w:vertAlign w:val="baseline"/>
                <w:lang w:val="en-US" w:eastAsia="zh-CN"/>
              </w:rPr>
            </w:pPr>
            <w:r>
              <w:rPr>
                <w:rFonts w:hint="default" w:ascii="Times New Roman" w:hAnsi="Times New Roman" w:eastAsia="仿宋" w:cs="Times New Roman"/>
                <w:b/>
                <w:bCs/>
                <w:vertAlign w:val="baseline"/>
                <w:lang w:val="en-US" w:eastAsia="zh-CN"/>
              </w:rPr>
              <w:t>备注</w:t>
            </w:r>
          </w:p>
        </w:tc>
        <w:tc>
          <w:tcPr>
            <w:tcW w:w="6622" w:type="dxa"/>
            <w:gridSpan w:val="7"/>
          </w:tcPr>
          <w:p w14:paraId="7DF3C9E7">
            <w:pPr>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r>
              <w:rPr>
                <w:rFonts w:hint="default" w:ascii="Times New Roman" w:hAnsi="Times New Roman" w:eastAsia="仿宋" w:cs="Times New Roman"/>
                <w:b w:val="0"/>
                <w:bCs w:val="0"/>
                <w:vertAlign w:val="baseline"/>
                <w:lang w:val="en-US" w:eastAsia="zh-CN"/>
              </w:rPr>
              <w:t>（如有其他需要说明的事项，请在此栏详细备注）</w:t>
            </w:r>
          </w:p>
          <w:p w14:paraId="4EE2207A">
            <w:pPr>
              <w:pStyle w:val="23"/>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p>
          <w:p w14:paraId="1EC1AA9D">
            <w:pPr>
              <w:pStyle w:val="23"/>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p>
          <w:p w14:paraId="5552499F">
            <w:pPr>
              <w:pStyle w:val="23"/>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p>
          <w:p w14:paraId="75B23F68">
            <w:pPr>
              <w:pStyle w:val="23"/>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p>
          <w:p w14:paraId="40EBD7DE">
            <w:pPr>
              <w:pStyle w:val="23"/>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p>
          <w:p w14:paraId="4473DCE6">
            <w:pPr>
              <w:pStyle w:val="23"/>
              <w:keepNext w:val="0"/>
              <w:keepLines w:val="0"/>
              <w:pageBreakBefore w:val="0"/>
              <w:widowControl w:val="0"/>
              <w:topLinePunct w:val="0"/>
              <w:bidi w:val="0"/>
              <w:rPr>
                <w:rFonts w:hint="default" w:ascii="Times New Roman" w:hAnsi="Times New Roman" w:eastAsia="仿宋" w:cs="Times New Roman"/>
                <w:b w:val="0"/>
                <w:bCs w:val="0"/>
                <w:vertAlign w:val="baseline"/>
                <w:lang w:val="en-US" w:eastAsia="zh-CN"/>
              </w:rPr>
            </w:pPr>
          </w:p>
        </w:tc>
      </w:tr>
    </w:tbl>
    <w:p w14:paraId="0B279AE8">
      <w:pPr>
        <w:keepNext w:val="0"/>
        <w:keepLines w:val="0"/>
        <w:pageBreakBefore w:val="0"/>
        <w:widowControl w:val="0"/>
        <w:topLinePunct w:val="0"/>
        <w:bidi w:val="0"/>
        <w:rPr>
          <w:rFonts w:hint="default" w:ascii="Times New Roman" w:hAnsi="Times New Roman" w:cs="Times New Roman"/>
          <w:lang w:val="en-US" w:eastAsia="zh-CN"/>
        </w:rPr>
      </w:pPr>
    </w:p>
    <w:p w14:paraId="0261026D">
      <w:pPr>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r>
        <w:rPr>
          <w:rFonts w:hint="default" w:ascii="Times New Roman" w:hAnsi="Times New Roman" w:eastAsia="仿宋" w:cs="Times New Roman"/>
          <w:snapToGrid w:val="0"/>
          <w:color w:val="000000"/>
          <w:kern w:val="0"/>
          <w:sz w:val="24"/>
          <w:szCs w:val="24"/>
          <w:vertAlign w:val="baseline"/>
          <w:lang w:val="en-US" w:eastAsia="zh-CN" w:bidi="ar-SA"/>
        </w:rPr>
        <w:br w:type="page"/>
      </w:r>
    </w:p>
    <w:p w14:paraId="62509687">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bookmarkStart w:id="41" w:name="_Toc26463"/>
      <w:bookmarkStart w:id="42" w:name="_Toc12558"/>
      <w:r>
        <w:rPr>
          <w:rFonts w:hint="eastAsia" w:ascii="Times New Roman" w:hAnsi="Times New Roman" w:eastAsia="黑体" w:cs="Times New Roman"/>
          <w:b w:val="0"/>
          <w:bCs w:val="0"/>
          <w:sz w:val="32"/>
          <w:szCs w:val="32"/>
          <w:lang w:val="en-US" w:eastAsia="zh-CN"/>
        </w:rPr>
        <w:t>四、</w:t>
      </w:r>
      <w:r>
        <w:rPr>
          <w:rFonts w:hint="default" w:ascii="Times New Roman" w:hAnsi="Times New Roman" w:eastAsia="黑体" w:cs="Times New Roman"/>
          <w:b w:val="0"/>
          <w:bCs w:val="0"/>
          <w:sz w:val="32"/>
          <w:szCs w:val="32"/>
          <w:lang w:val="en-US" w:eastAsia="zh-CN"/>
        </w:rPr>
        <w:t>可再生能源电力消费核算清单</w:t>
      </w:r>
      <w:bookmarkEnd w:id="41"/>
      <w:bookmarkEnd w:id="42"/>
    </w:p>
    <w:p w14:paraId="775C868D">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112AA33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说明：企业可以申请由电力交易机构出具《可再生能源电力消费核算清单》及其明细（或《绿色电力消费核算清单》及其明细，具体以电力交易机构出具的为准），也可自行整理填报</w:t>
      </w:r>
      <w:r>
        <w:rPr>
          <w:rFonts w:hint="default" w:ascii="Times New Roman" w:hAnsi="Times New Roman" w:eastAsia="仿宋" w:cs="Times New Roman"/>
          <w:sz w:val="28"/>
          <w:szCs w:val="28"/>
          <w:highlight w:val="none"/>
          <w:u w:val="single"/>
          <w:lang w:val="en-US" w:eastAsia="zh-CN"/>
        </w:rPr>
        <w:t>（优先第一种方式）</w:t>
      </w:r>
      <w:r>
        <w:rPr>
          <w:rFonts w:hint="default"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u w:val="single"/>
          <w:lang w:val="en-US" w:eastAsia="zh-CN"/>
        </w:rPr>
        <w:t>如提供了电力交易机构出具的核算清单</w:t>
      </w:r>
      <w:r>
        <w:rPr>
          <w:rFonts w:hint="default" w:ascii="Times New Roman" w:hAnsi="Times New Roman" w:eastAsia="仿宋" w:cs="Times New Roman"/>
          <w:sz w:val="28"/>
          <w:szCs w:val="28"/>
          <w:highlight w:val="none"/>
          <w:lang w:val="en-US" w:eastAsia="zh-CN"/>
        </w:rPr>
        <w:t>，其内容覆盖的绿色电力市场化交易合同、交易结算凭证、绿证（GEC）等可再生能源电力</w:t>
      </w:r>
      <w:r>
        <w:rPr>
          <w:rFonts w:hint="default" w:ascii="Times New Roman" w:hAnsi="Times New Roman" w:eastAsia="仿宋" w:cs="Times New Roman"/>
          <w:sz w:val="28"/>
          <w:szCs w:val="28"/>
          <w:highlight w:val="none"/>
          <w:u w:val="single"/>
          <w:lang w:val="en-US" w:eastAsia="zh-CN"/>
        </w:rPr>
        <w:t>消费凭证可免予提供</w:t>
      </w:r>
      <w:r>
        <w:rPr>
          <w:rFonts w:hint="default" w:ascii="Times New Roman" w:hAnsi="Times New Roman" w:eastAsia="仿宋" w:cs="Times New Roman"/>
          <w:sz w:val="28"/>
          <w:szCs w:val="28"/>
          <w:highlight w:val="none"/>
          <w:lang w:val="en-US" w:eastAsia="zh-CN"/>
        </w:rPr>
        <w:t>；</w:t>
      </w:r>
      <w:r>
        <w:rPr>
          <w:rFonts w:hint="default" w:ascii="Times New Roman" w:hAnsi="Times New Roman" w:eastAsia="仿宋" w:cs="Times New Roman"/>
          <w:sz w:val="28"/>
          <w:szCs w:val="28"/>
          <w:highlight w:val="none"/>
          <w:u w:val="single"/>
          <w:lang w:val="en-US" w:eastAsia="zh-CN"/>
        </w:rPr>
        <w:t>如自行整理填报，应依据附件模板格式要求编制，并将相关凭证顺次整理并随附</w:t>
      </w:r>
      <w:r>
        <w:rPr>
          <w:rFonts w:hint="default" w:ascii="Times New Roman" w:hAnsi="Times New Roman" w:eastAsia="仿宋" w:cs="Times New Roman"/>
          <w:sz w:val="28"/>
          <w:szCs w:val="28"/>
          <w:highlight w:val="none"/>
          <w:lang w:val="en-US" w:eastAsia="zh-CN"/>
        </w:rPr>
        <w:t>。</w:t>
      </w:r>
    </w:p>
    <w:p w14:paraId="0E1E0A7C">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如需对电力交易机构出具的核算清单做必要补充的，也可通过以上两种模式组合提供，其中，自行整理的部分，应依据附件相关适用明细模板编制，并随附相关凭证。</w:t>
      </w:r>
    </w:p>
    <w:p w14:paraId="61AE5C0E">
      <w:pPr>
        <w:keepNext w:val="0"/>
        <w:keepLines w:val="0"/>
        <w:pageBreakBefore w:val="0"/>
        <w:widowControl w:val="0"/>
        <w:topLinePunct w:val="0"/>
        <w:bidi w:val="0"/>
        <w:rPr>
          <w:rFonts w:hint="default" w:ascii="Times New Roman" w:hAnsi="Times New Roman" w:eastAsia="仿宋" w:cs="Times New Roman"/>
          <w:sz w:val="28"/>
          <w:szCs w:val="28"/>
          <w:highlight w:val="none"/>
          <w:lang w:val="en-US" w:eastAsia="zh-CN"/>
        </w:rPr>
      </w:pPr>
      <w:bookmarkStart w:id="43" w:name="_Toc29475"/>
      <w:bookmarkStart w:id="44" w:name="_Toc18538"/>
      <w:r>
        <w:rPr>
          <w:rFonts w:hint="default" w:ascii="Times New Roman" w:hAnsi="Times New Roman" w:eastAsia="仿宋" w:cs="Times New Roman"/>
          <w:sz w:val="28"/>
          <w:szCs w:val="28"/>
          <w:highlight w:val="none"/>
          <w:lang w:val="en-US" w:eastAsia="zh-CN"/>
        </w:rPr>
        <w:br w:type="page"/>
      </w:r>
    </w:p>
    <w:p w14:paraId="332BADC5">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1.可再生能源电力消费核算清单</w:t>
      </w:r>
      <w:bookmarkEnd w:id="43"/>
      <w:bookmarkEnd w:id="44"/>
      <w:r>
        <w:rPr>
          <w:rFonts w:hint="default" w:ascii="Times New Roman" w:hAnsi="Times New Roman" w:eastAsia="仿宋" w:cs="Times New Roman"/>
          <w:sz w:val="28"/>
          <w:szCs w:val="28"/>
          <w:highlight w:val="none"/>
          <w:lang w:val="en-US" w:eastAsia="zh-CN"/>
        </w:rPr>
        <w:t>样例</w:t>
      </w:r>
    </w:p>
    <w:tbl>
      <w:tblPr>
        <w:tblStyle w:val="24"/>
        <w:tblW w:w="916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163"/>
      </w:tblGrid>
      <w:tr w14:paraId="34AD5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92" w:hRule="atLeast"/>
          <w:jc w:val="center"/>
        </w:trPr>
        <w:tc>
          <w:tcPr>
            <w:tcW w:w="9163" w:type="dxa"/>
            <w:tcBorders>
              <w:top w:val="single" w:color="auto" w:sz="6" w:space="0"/>
              <w:left w:val="single" w:color="auto" w:sz="6" w:space="0"/>
              <w:bottom w:val="nil"/>
              <w:right w:val="single" w:color="auto" w:sz="6" w:space="0"/>
            </w:tcBorders>
            <w:shd w:val="clear" w:color="auto" w:fill="auto"/>
            <w:vAlign w:val="center"/>
          </w:tcPr>
          <w:p w14:paraId="080A65D1">
            <w:pPr>
              <w:keepNext w:val="0"/>
              <w:keepLines w:val="0"/>
              <w:pageBreakBefore w:val="0"/>
              <w:widowControl w:val="0"/>
              <w:suppressLineNumbers w:val="0"/>
              <w:topLinePunct w:val="0"/>
              <w:bidi w:val="0"/>
              <w:spacing w:before="0" w:beforeAutospacing="0" w:afterAutospacing="0"/>
              <w:ind w:left="0" w:right="0" w:firstLine="361" w:firstLineChars="100"/>
              <w:jc w:val="left"/>
              <w:textAlignment w:val="center"/>
              <w:rPr>
                <w:rStyle w:val="30"/>
                <w:rFonts w:hint="default" w:ascii="Times New Roman" w:hAnsi="Times New Roman" w:eastAsia="宋体" w:cs="Times New Roman"/>
                <w:color w:val="auto"/>
                <w:sz w:val="36"/>
                <w:szCs w:val="36"/>
                <w:lang w:val="en-US" w:eastAsia="zh-CN" w:bidi="ar"/>
              </w:rPr>
            </w:pPr>
            <w:r>
              <w:rPr>
                <w:rStyle w:val="30"/>
                <w:rFonts w:hint="default" w:ascii="Times New Roman" w:hAnsi="Times New Roman" w:eastAsia="宋体" w:cs="Times New Roman"/>
                <w:color w:val="auto"/>
                <w:sz w:val="36"/>
                <w:szCs w:val="36"/>
                <w:lang w:val="en-US" w:eastAsia="zh-CN" w:bidi="ar"/>
              </w:rPr>
              <w:t>可再生能源电力消费核算清单</w:t>
            </w:r>
          </w:p>
          <w:p w14:paraId="0A962274">
            <w:pPr>
              <w:keepNext w:val="0"/>
              <w:keepLines w:val="0"/>
              <w:pageBreakBefore w:val="0"/>
              <w:widowControl w:val="0"/>
              <w:suppressLineNumbers w:val="0"/>
              <w:topLinePunct w:val="0"/>
              <w:bidi w:val="0"/>
              <w:spacing w:before="0" w:beforeAutospacing="0" w:afterAutospacing="0" w:line="360" w:lineRule="auto"/>
              <w:ind w:left="0" w:right="0" w:firstLine="442" w:firstLineChars="200"/>
              <w:jc w:val="left"/>
              <w:textAlignment w:val="center"/>
              <w:rPr>
                <w:rStyle w:val="32"/>
                <w:rFonts w:hint="default" w:ascii="Times New Roman" w:hAnsi="Times New Roman" w:eastAsia="宋体" w:cs="Times New Roman"/>
                <w:b/>
                <w:bCs/>
                <w:color w:val="auto"/>
                <w:lang w:val="en-US" w:eastAsia="zh-CN" w:bidi="ar"/>
              </w:rPr>
            </w:pPr>
            <w:r>
              <w:rPr>
                <w:rStyle w:val="31"/>
                <w:rFonts w:hint="default" w:ascii="Times New Roman" w:hAnsi="Times New Roman" w:cs="Times New Roman"/>
                <w:b/>
                <w:bCs/>
                <w:color w:val="auto"/>
                <w:lang w:val="en-US" w:eastAsia="zh-CN" w:bidi="ar"/>
              </w:rPr>
              <w:t>XX</w:t>
            </w:r>
            <w:r>
              <w:rPr>
                <w:rStyle w:val="32"/>
                <w:rFonts w:hint="default" w:ascii="Times New Roman" w:hAnsi="Times New Roman" w:eastAsia="宋体" w:cs="Times New Roman"/>
                <w:b/>
                <w:bCs/>
                <w:color w:val="auto"/>
                <w:lang w:val="en-US" w:eastAsia="zh-CN" w:bidi="ar"/>
              </w:rPr>
              <w:t>有限公司</w:t>
            </w:r>
          </w:p>
          <w:p w14:paraId="04D4208F">
            <w:pPr>
              <w:keepNext w:val="0"/>
              <w:keepLines w:val="0"/>
              <w:pageBreakBefore w:val="0"/>
              <w:widowControl w:val="0"/>
              <w:suppressLineNumbers w:val="0"/>
              <w:topLinePunct w:val="0"/>
              <w:bidi w:val="0"/>
              <w:spacing w:before="0" w:beforeAutospacing="0" w:afterAutospacing="0" w:line="360" w:lineRule="auto"/>
              <w:ind w:left="0" w:right="0" w:firstLine="440" w:firstLineChars="200"/>
              <w:jc w:val="left"/>
              <w:textAlignment w:val="center"/>
              <w:rPr>
                <w:rStyle w:val="32"/>
                <w:rFonts w:hint="default" w:ascii="Times New Roman" w:hAnsi="Times New Roman" w:eastAsia="宋体" w:cs="Times New Roman"/>
                <w:color w:val="auto"/>
                <w:lang w:val="en-US" w:eastAsia="zh-CN" w:bidi="ar"/>
              </w:rPr>
            </w:pPr>
            <w:r>
              <w:rPr>
                <w:rStyle w:val="32"/>
                <w:rFonts w:hint="default" w:ascii="Times New Roman" w:hAnsi="Times New Roman" w:eastAsia="宋体" w:cs="Times New Roman"/>
                <w:color w:val="auto"/>
                <w:lang w:val="en-US" w:eastAsia="zh-CN" w:bidi="ar"/>
              </w:rPr>
              <w:t>核算周期：</w:t>
            </w:r>
            <w:r>
              <w:rPr>
                <w:rStyle w:val="32"/>
                <w:rFonts w:hint="default" w:ascii="Times New Roman" w:hAnsi="Times New Roman" w:eastAsia="宋体" w:cs="Times New Roman"/>
                <w:color w:val="auto"/>
                <w:highlight w:val="none"/>
                <w:lang w:val="en-US" w:eastAsia="zh-CN" w:bidi="ar"/>
              </w:rPr>
              <w:t>2024年</w:t>
            </w:r>
          </w:p>
          <w:p w14:paraId="115C1197">
            <w:pPr>
              <w:keepNext w:val="0"/>
              <w:keepLines w:val="0"/>
              <w:pageBreakBefore w:val="0"/>
              <w:widowControl w:val="0"/>
              <w:suppressLineNumbers w:val="0"/>
              <w:topLinePunct w:val="0"/>
              <w:bidi w:val="0"/>
              <w:spacing w:before="0" w:beforeAutospacing="0" w:afterAutospacing="0" w:line="360" w:lineRule="auto"/>
              <w:ind w:left="0" w:right="0" w:firstLine="440" w:firstLineChars="200"/>
              <w:jc w:val="left"/>
              <w:textAlignment w:val="center"/>
              <w:rPr>
                <w:rStyle w:val="32"/>
                <w:rFonts w:hint="default" w:ascii="Times New Roman" w:hAnsi="Times New Roman" w:eastAsia="宋体" w:cs="Times New Roman"/>
                <w:color w:val="auto"/>
                <w:lang w:val="en-US" w:eastAsia="zh-CN" w:bidi="ar"/>
              </w:rPr>
            </w:pPr>
            <w:r>
              <w:rPr>
                <w:rStyle w:val="32"/>
                <w:rFonts w:hint="default" w:ascii="Times New Roman" w:hAnsi="Times New Roman" w:eastAsia="宋体" w:cs="Times New Roman"/>
                <w:color w:val="auto"/>
                <w:lang w:val="en-US" w:eastAsia="zh-CN" w:bidi="ar"/>
              </w:rPr>
              <w:t>账户</w:t>
            </w:r>
            <w:r>
              <w:rPr>
                <w:rStyle w:val="33"/>
                <w:rFonts w:hint="default" w:ascii="Times New Roman" w:hAnsi="Times New Roman" w:eastAsia="宋体" w:cs="Times New Roman"/>
                <w:color w:val="auto"/>
                <w:lang w:val="en-US" w:eastAsia="zh-CN" w:bidi="ar"/>
              </w:rPr>
              <w:t>ID</w:t>
            </w:r>
            <w:r>
              <w:rPr>
                <w:rStyle w:val="33"/>
                <w:rFonts w:hint="eastAsia" w:ascii="Times New Roman" w:hAnsi="Times New Roman" w:eastAsia="宋体" w:cs="Times New Roman"/>
                <w:color w:val="auto"/>
                <w:lang w:val="en-US" w:eastAsia="zh-CN" w:bidi="ar"/>
              </w:rPr>
              <w:t>：</w:t>
            </w:r>
            <w:r>
              <w:rPr>
                <w:rStyle w:val="33"/>
                <w:rFonts w:hint="default" w:ascii="Times New Roman" w:hAnsi="Times New Roman" w:eastAsia="宋体" w:cs="Times New Roman"/>
                <w:color w:val="auto"/>
                <w:lang w:val="en-US" w:eastAsia="zh-CN" w:bidi="ar"/>
              </w:rPr>
              <w:t>37</w:t>
            </w:r>
            <w:r>
              <w:rPr>
                <w:rStyle w:val="33"/>
                <w:rFonts w:hint="default" w:ascii="Times New Roman" w:hAnsi="Times New Roman" w:cs="Times New Roman"/>
                <w:color w:val="auto"/>
                <w:lang w:val="en-US" w:eastAsia="zh-CN" w:bidi="ar"/>
              </w:rPr>
              <w:t>XX</w:t>
            </w:r>
            <w:r>
              <w:rPr>
                <w:rStyle w:val="33"/>
                <w:rFonts w:hint="default" w:ascii="Times New Roman" w:hAnsi="Times New Roman" w:eastAsia="宋体" w:cs="Times New Roman"/>
                <w:color w:val="auto"/>
                <w:lang w:val="en-US" w:eastAsia="zh-CN" w:bidi="ar"/>
              </w:rPr>
              <w:t xml:space="preserve">030000                     </w:t>
            </w:r>
            <w:r>
              <w:rPr>
                <w:rStyle w:val="32"/>
                <w:rFonts w:hint="default" w:ascii="Times New Roman" w:hAnsi="Times New Roman" w:eastAsia="宋体" w:cs="Times New Roman"/>
                <w:color w:val="auto"/>
                <w:lang w:val="en-US" w:eastAsia="zh-CN" w:bidi="ar"/>
              </w:rPr>
              <w:t>统一社会信用代码：</w:t>
            </w:r>
            <w:r>
              <w:rPr>
                <w:rStyle w:val="33"/>
                <w:rFonts w:hint="default" w:ascii="Times New Roman" w:hAnsi="Times New Roman" w:eastAsia="宋体" w:cs="Times New Roman"/>
                <w:color w:val="auto"/>
                <w:lang w:val="en-US" w:eastAsia="zh-CN" w:bidi="ar"/>
              </w:rPr>
              <w:t>XXXXXXXXXXXXX</w:t>
            </w:r>
          </w:p>
          <w:p w14:paraId="3CBD7C11">
            <w:pPr>
              <w:keepNext w:val="0"/>
              <w:keepLines w:val="0"/>
              <w:pageBreakBefore w:val="0"/>
              <w:widowControl w:val="0"/>
              <w:suppressLineNumbers w:val="0"/>
              <w:topLinePunct w:val="0"/>
              <w:bidi w:val="0"/>
              <w:spacing w:before="0" w:beforeAutospacing="0" w:afterAutospacing="0" w:line="360" w:lineRule="auto"/>
              <w:ind w:left="0" w:right="0" w:firstLine="440" w:firstLineChars="200"/>
              <w:jc w:val="left"/>
              <w:textAlignment w:val="center"/>
              <w:rPr>
                <w:rStyle w:val="32"/>
                <w:rFonts w:hint="default" w:ascii="Times New Roman" w:hAnsi="Times New Roman" w:eastAsia="宋体" w:cs="Times New Roman"/>
                <w:color w:val="auto"/>
                <w:lang w:val="en-US" w:eastAsia="zh-CN" w:bidi="ar"/>
              </w:rPr>
            </w:pPr>
            <w:r>
              <w:rPr>
                <w:rStyle w:val="32"/>
                <w:rFonts w:hint="default" w:ascii="Times New Roman" w:hAnsi="Times New Roman" w:eastAsia="宋体" w:cs="Times New Roman"/>
                <w:color w:val="auto"/>
                <w:lang w:val="en-US" w:eastAsia="zh-CN" w:bidi="ar"/>
              </w:rPr>
              <w:t>所在地：上海市                         详细地址：XX省XX市XX区XX路</w:t>
            </w:r>
          </w:p>
        </w:tc>
      </w:tr>
      <w:tr w14:paraId="516F4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7" w:hRule="atLeast"/>
          <w:jc w:val="center"/>
        </w:trPr>
        <w:tc>
          <w:tcPr>
            <w:tcW w:w="9163" w:type="dxa"/>
            <w:tcBorders>
              <w:top w:val="nil"/>
              <w:left w:val="single" w:color="auto" w:sz="6" w:space="0"/>
              <w:bottom w:val="nil"/>
              <w:right w:val="single" w:color="auto" w:sz="6" w:space="0"/>
            </w:tcBorders>
            <w:shd w:val="clear" w:color="auto" w:fill="auto"/>
            <w:vAlign w:val="top"/>
          </w:tcPr>
          <w:tbl>
            <w:tblPr>
              <w:tblStyle w:val="25"/>
              <w:tblpPr w:leftFromText="180" w:rightFromText="180" w:vertAnchor="text" w:tblpX="411" w:tblpY="476"/>
              <w:tblOverlap w:val="never"/>
              <w:tblW w:w="0" w:type="auto"/>
              <w:tblInd w:w="0" w:type="dxa"/>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Layout w:type="autofit"/>
              <w:tblCellMar>
                <w:top w:w="0" w:type="dxa"/>
                <w:left w:w="108" w:type="dxa"/>
                <w:bottom w:w="0" w:type="dxa"/>
                <w:right w:w="108" w:type="dxa"/>
              </w:tblCellMar>
            </w:tblPr>
            <w:tblGrid>
              <w:gridCol w:w="4128"/>
              <w:gridCol w:w="4128"/>
            </w:tblGrid>
            <w:tr w14:paraId="0BC25FF7">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283" w:hRule="atLeast"/>
              </w:trPr>
              <w:tc>
                <w:tcPr>
                  <w:tcW w:w="4128" w:type="dxa"/>
                  <w:tcBorders>
                    <w:top w:val="single" w:color="auto" w:sz="4" w:space="0"/>
                    <w:left w:val="dashSmallGap" w:color="CFCECE" w:sz="4" w:space="0"/>
                    <w:bottom w:val="single" w:color="auto" w:sz="4" w:space="0"/>
                    <w:right w:val="single" w:color="auto" w:sz="4" w:space="0"/>
                  </w:tcBorders>
                  <w:vAlign w:val="center"/>
                </w:tcPr>
                <w:p w14:paraId="3A16CD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rPr>
                  </w:pPr>
                </w:p>
              </w:tc>
              <w:tc>
                <w:tcPr>
                  <w:tcW w:w="4128" w:type="dxa"/>
                  <w:tcBorders>
                    <w:top w:val="single" w:color="auto" w:sz="4" w:space="0"/>
                    <w:left w:val="single" w:color="auto" w:sz="4" w:space="0"/>
                    <w:bottom w:val="single" w:color="auto" w:sz="4" w:space="0"/>
                    <w:right w:val="single" w:color="auto" w:sz="4" w:space="0"/>
                  </w:tcBorders>
                  <w:vAlign w:val="center"/>
                </w:tcPr>
                <w:p w14:paraId="0A313F80">
                  <w:pPr>
                    <w:keepNext w:val="0"/>
                    <w:keepLines w:val="0"/>
                    <w:pageBreakBefore w:val="0"/>
                    <w:widowControl w:val="0"/>
                    <w:suppressLineNumbers w:val="0"/>
                    <w:tabs>
                      <w:tab w:val="center" w:pos="1956"/>
                      <w:tab w:val="right" w:pos="4032"/>
                    </w:tabs>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u w:val="none"/>
                      <w:vertAlign w:val="baseline"/>
                      <w:lang w:val="en-US" w:eastAsia="zh-CN"/>
                    </w:rPr>
                    <w:t>单位：兆瓦时</w:t>
                  </w:r>
                </w:p>
              </w:tc>
            </w:tr>
            <w:tr w14:paraId="387D6A0E">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339" w:hRule="atLeast"/>
              </w:trPr>
              <w:tc>
                <w:tcPr>
                  <w:tcW w:w="4128" w:type="dxa"/>
                  <w:tcBorders>
                    <w:top w:val="single" w:color="auto" w:sz="4" w:space="0"/>
                    <w:left w:val="single" w:color="auto" w:sz="4" w:space="0"/>
                    <w:bottom w:val="single" w:color="auto" w:sz="4" w:space="0"/>
                    <w:right w:val="single" w:color="auto" w:sz="4" w:space="0"/>
                  </w:tcBorders>
                  <w:vAlign w:val="center"/>
                </w:tcPr>
                <w:p w14:paraId="72F454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cs="Times New Roman"/>
                      <w:i w:val="0"/>
                      <w:iCs w:val="0"/>
                      <w:color w:val="auto"/>
                      <w:sz w:val="22"/>
                      <w:szCs w:val="22"/>
                      <w:u w:val="none"/>
                      <w:vertAlign w:val="baseline"/>
                      <w:lang w:val="en-US" w:eastAsia="zh-CN"/>
                    </w:rPr>
                    <w:t>绿电交易</w:t>
                  </w:r>
                </w:p>
              </w:tc>
              <w:tc>
                <w:tcPr>
                  <w:tcW w:w="4128" w:type="dxa"/>
                  <w:tcBorders>
                    <w:top w:val="single" w:color="auto" w:sz="4" w:space="0"/>
                    <w:left w:val="single" w:color="auto" w:sz="4" w:space="0"/>
                    <w:bottom w:val="single" w:color="auto" w:sz="4" w:space="0"/>
                    <w:right w:val="single" w:color="auto" w:sz="4" w:space="0"/>
                  </w:tcBorders>
                  <w:vAlign w:val="center"/>
                </w:tcPr>
                <w:p w14:paraId="0EBB3C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r>
                    <w:rPr>
                      <w:rFonts w:hint="default" w:ascii="Times New Roman" w:hAnsi="Times New Roman" w:eastAsia="宋体" w:cs="Times New Roman"/>
                      <w:i w:val="0"/>
                      <w:iCs w:val="0"/>
                      <w:color w:val="000000"/>
                      <w:kern w:val="0"/>
                      <w:sz w:val="22"/>
                      <w:szCs w:val="22"/>
                      <w:u w:val="none"/>
                      <w:lang w:val="en-US" w:eastAsia="zh-CN" w:bidi="ar"/>
                    </w:rPr>
                    <w:t>10000</w:t>
                  </w:r>
                </w:p>
              </w:tc>
            </w:tr>
            <w:tr w14:paraId="64442179">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339" w:hRule="atLeast"/>
              </w:trPr>
              <w:tc>
                <w:tcPr>
                  <w:tcW w:w="4128" w:type="dxa"/>
                  <w:tcBorders>
                    <w:top w:val="single" w:color="auto" w:sz="4" w:space="0"/>
                    <w:left w:val="single" w:color="auto" w:sz="4" w:space="0"/>
                    <w:bottom w:val="single" w:color="auto" w:sz="4" w:space="0"/>
                    <w:right w:val="single" w:color="auto" w:sz="4" w:space="0"/>
                  </w:tcBorders>
                  <w:vAlign w:val="center"/>
                </w:tcPr>
                <w:p w14:paraId="4AB33C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u w:val="none"/>
                      <w:vertAlign w:val="baseline"/>
                      <w:lang w:val="en-US" w:eastAsia="zh-CN"/>
                    </w:rPr>
                    <w:t>绿证交易</w:t>
                  </w:r>
                </w:p>
              </w:tc>
              <w:tc>
                <w:tcPr>
                  <w:tcW w:w="4128" w:type="dxa"/>
                  <w:tcBorders>
                    <w:top w:val="single" w:color="auto" w:sz="4" w:space="0"/>
                    <w:left w:val="single" w:color="auto" w:sz="4" w:space="0"/>
                    <w:bottom w:val="single" w:color="auto" w:sz="4" w:space="0"/>
                    <w:right w:val="single" w:color="auto" w:sz="4" w:space="0"/>
                  </w:tcBorders>
                  <w:vAlign w:val="center"/>
                </w:tcPr>
                <w:p w14:paraId="7E1EE2D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r>
                    <w:rPr>
                      <w:rFonts w:hint="default" w:ascii="Times New Roman" w:hAnsi="Times New Roman" w:eastAsia="宋体" w:cs="Times New Roman"/>
                      <w:i w:val="0"/>
                      <w:iCs w:val="0"/>
                      <w:color w:val="000000"/>
                      <w:kern w:val="0"/>
                      <w:sz w:val="22"/>
                      <w:szCs w:val="22"/>
                      <w:u w:val="none"/>
                      <w:lang w:val="en-US" w:eastAsia="zh-CN" w:bidi="ar"/>
                    </w:rPr>
                    <w:t>15000</w:t>
                  </w:r>
                </w:p>
              </w:tc>
            </w:tr>
            <w:tr w14:paraId="1EB64C96">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339" w:hRule="atLeast"/>
              </w:trPr>
              <w:tc>
                <w:tcPr>
                  <w:tcW w:w="4128" w:type="dxa"/>
                  <w:tcBorders>
                    <w:top w:val="single" w:color="auto" w:sz="4" w:space="0"/>
                    <w:left w:val="single" w:color="auto" w:sz="4" w:space="0"/>
                    <w:bottom w:val="single" w:color="auto" w:sz="4" w:space="0"/>
                    <w:right w:val="single" w:color="auto" w:sz="4" w:space="0"/>
                  </w:tcBorders>
                  <w:vAlign w:val="center"/>
                </w:tcPr>
                <w:p w14:paraId="0BF10AF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u w:val="none"/>
                      <w:vertAlign w:val="baseline"/>
                      <w:lang w:val="en-US" w:eastAsia="zh-CN"/>
                    </w:rPr>
                    <w:t>自发自用</w:t>
                  </w:r>
                </w:p>
              </w:tc>
              <w:tc>
                <w:tcPr>
                  <w:tcW w:w="4128" w:type="dxa"/>
                  <w:tcBorders>
                    <w:top w:val="single" w:color="auto" w:sz="4" w:space="0"/>
                    <w:left w:val="single" w:color="auto" w:sz="4" w:space="0"/>
                    <w:bottom w:val="single" w:color="auto" w:sz="4" w:space="0"/>
                    <w:right w:val="single" w:color="auto" w:sz="4" w:space="0"/>
                  </w:tcBorders>
                  <w:vAlign w:val="center"/>
                </w:tcPr>
                <w:p w14:paraId="77A268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r>
                    <w:rPr>
                      <w:rFonts w:hint="default" w:ascii="Times New Roman" w:hAnsi="Times New Roman" w:eastAsia="宋体" w:cs="Times New Roman"/>
                      <w:i w:val="0"/>
                      <w:iCs w:val="0"/>
                      <w:color w:val="000000"/>
                      <w:kern w:val="0"/>
                      <w:sz w:val="22"/>
                      <w:szCs w:val="22"/>
                      <w:u w:val="none"/>
                      <w:lang w:val="en-US" w:eastAsia="zh-CN" w:bidi="ar"/>
                    </w:rPr>
                    <w:t>2000</w:t>
                  </w:r>
                </w:p>
              </w:tc>
            </w:tr>
            <w:tr w14:paraId="41B20F6F">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339" w:hRule="atLeast"/>
              </w:trPr>
              <w:tc>
                <w:tcPr>
                  <w:tcW w:w="4128" w:type="dxa"/>
                  <w:tcBorders>
                    <w:top w:val="single" w:color="auto" w:sz="4" w:space="0"/>
                    <w:left w:val="single" w:color="auto" w:sz="4" w:space="0"/>
                    <w:bottom w:val="single" w:color="auto" w:sz="4" w:space="0"/>
                    <w:right w:val="single" w:color="auto" w:sz="4" w:space="0"/>
                  </w:tcBorders>
                  <w:vAlign w:val="center"/>
                </w:tcPr>
                <w:p w14:paraId="2760F8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highlight w:val="none"/>
                      <w:u w:val="none"/>
                      <w:vertAlign w:val="baseline"/>
                      <w:lang w:val="en-US" w:eastAsia="zh-CN"/>
                    </w:rPr>
                    <w:t>专线直供</w:t>
                  </w:r>
                </w:p>
              </w:tc>
              <w:tc>
                <w:tcPr>
                  <w:tcW w:w="4128" w:type="dxa"/>
                  <w:tcBorders>
                    <w:top w:val="single" w:color="auto" w:sz="4" w:space="0"/>
                    <w:left w:val="single" w:color="auto" w:sz="4" w:space="0"/>
                    <w:bottom w:val="single" w:color="auto" w:sz="4" w:space="0"/>
                    <w:right w:val="single" w:color="auto" w:sz="4" w:space="0"/>
                  </w:tcBorders>
                  <w:vAlign w:val="center"/>
                </w:tcPr>
                <w:p w14:paraId="14C17B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000000"/>
                      <w:kern w:val="0"/>
                      <w:sz w:val="22"/>
                      <w:szCs w:val="22"/>
                      <w:u w:val="none"/>
                      <w:lang w:val="en-US" w:eastAsia="zh-CN" w:bidi="ar"/>
                    </w:rPr>
                  </w:pPr>
                  <w:r>
                    <w:rPr>
                      <w:rFonts w:hint="default" w:ascii="Times New Roman" w:hAnsi="Times New Roman" w:cs="Times New Roman"/>
                      <w:i w:val="0"/>
                      <w:iCs w:val="0"/>
                      <w:color w:val="000000"/>
                      <w:kern w:val="0"/>
                      <w:sz w:val="22"/>
                      <w:szCs w:val="22"/>
                      <w:u w:val="none"/>
                      <w:lang w:val="en-US" w:eastAsia="zh-CN" w:bidi="ar"/>
                    </w:rPr>
                    <w:t>700</w:t>
                  </w:r>
                </w:p>
              </w:tc>
            </w:tr>
            <w:tr w14:paraId="6A826AE9">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339" w:hRule="atLeast"/>
              </w:trPr>
              <w:tc>
                <w:tcPr>
                  <w:tcW w:w="4128" w:type="dxa"/>
                  <w:tcBorders>
                    <w:top w:val="single" w:color="auto" w:sz="4" w:space="0"/>
                    <w:left w:val="single" w:color="auto" w:sz="4" w:space="0"/>
                    <w:bottom w:val="single" w:color="auto" w:sz="4" w:space="0"/>
                    <w:right w:val="single" w:color="auto" w:sz="4" w:space="0"/>
                  </w:tcBorders>
                  <w:vAlign w:val="center"/>
                </w:tcPr>
                <w:p w14:paraId="50CE60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rPr>
                  </w:pPr>
                  <w:r>
                    <w:rPr>
                      <w:rStyle w:val="34"/>
                      <w:rFonts w:hint="default" w:ascii="Times New Roman" w:hAnsi="Times New Roman" w:cs="Times New Roman"/>
                      <w:lang w:val="en-US" w:eastAsia="zh-CN" w:bidi="ar"/>
                    </w:rPr>
                    <w:t>可再生能源电力消费总量</w:t>
                  </w:r>
                </w:p>
              </w:tc>
              <w:tc>
                <w:tcPr>
                  <w:tcW w:w="4128" w:type="dxa"/>
                  <w:tcBorders>
                    <w:top w:val="single" w:color="auto" w:sz="4" w:space="0"/>
                    <w:left w:val="single" w:color="auto" w:sz="4" w:space="0"/>
                    <w:bottom w:val="single" w:color="auto" w:sz="4" w:space="0"/>
                    <w:right w:val="single" w:color="auto" w:sz="4" w:space="0"/>
                  </w:tcBorders>
                  <w:vAlign w:val="center"/>
                </w:tcPr>
                <w:p w14:paraId="551847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r>
                    <w:rPr>
                      <w:rFonts w:hint="default" w:ascii="Times New Roman" w:hAnsi="Times New Roman" w:eastAsia="宋体" w:cs="Times New Roman"/>
                      <w:i w:val="0"/>
                      <w:iCs w:val="0"/>
                      <w:color w:val="000000"/>
                      <w:kern w:val="0"/>
                      <w:sz w:val="22"/>
                      <w:szCs w:val="22"/>
                      <w:u w:val="none"/>
                      <w:lang w:val="en-US" w:eastAsia="zh-CN" w:bidi="ar"/>
                    </w:rPr>
                    <w:t>27</w:t>
                  </w:r>
                  <w:r>
                    <w:rPr>
                      <w:rFonts w:hint="default" w:ascii="Times New Roman" w:hAnsi="Times New Roman" w:cs="Times New Roman"/>
                      <w:i w:val="0"/>
                      <w:iCs w:val="0"/>
                      <w:color w:val="000000"/>
                      <w:kern w:val="0"/>
                      <w:sz w:val="22"/>
                      <w:szCs w:val="22"/>
                      <w:u w:val="none"/>
                      <w:lang w:val="en-US" w:eastAsia="zh-CN" w:bidi="ar"/>
                    </w:rPr>
                    <w:t>7</w:t>
                  </w:r>
                  <w:r>
                    <w:rPr>
                      <w:rFonts w:hint="default" w:ascii="Times New Roman" w:hAnsi="Times New Roman" w:eastAsia="宋体" w:cs="Times New Roman"/>
                      <w:i w:val="0"/>
                      <w:iCs w:val="0"/>
                      <w:color w:val="000000"/>
                      <w:kern w:val="0"/>
                      <w:sz w:val="22"/>
                      <w:szCs w:val="22"/>
                      <w:u w:val="none"/>
                      <w:lang w:val="en-US" w:eastAsia="zh-CN" w:bidi="ar"/>
                    </w:rPr>
                    <w:t>00</w:t>
                  </w:r>
                </w:p>
              </w:tc>
            </w:tr>
            <w:tr w14:paraId="0E1ACCB5">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339" w:hRule="atLeast"/>
              </w:trPr>
              <w:tc>
                <w:tcPr>
                  <w:tcW w:w="4128" w:type="dxa"/>
                  <w:tcBorders>
                    <w:top w:val="single" w:color="auto" w:sz="4" w:space="0"/>
                    <w:left w:val="single" w:color="auto" w:sz="4" w:space="0"/>
                    <w:bottom w:val="single" w:color="auto" w:sz="4" w:space="0"/>
                    <w:right w:val="single" w:color="auto" w:sz="4" w:space="0"/>
                  </w:tcBorders>
                  <w:vAlign w:val="center"/>
                </w:tcPr>
                <w:p w14:paraId="10E3F5C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Style w:val="34"/>
                      <w:rFonts w:hint="default" w:ascii="Times New Roman" w:hAnsi="Times New Roman" w:cs="Times New Roman"/>
                      <w:lang w:val="en-US" w:eastAsia="zh-CN" w:bidi="ar"/>
                    </w:rPr>
                  </w:pPr>
                  <w:r>
                    <w:rPr>
                      <w:rStyle w:val="34"/>
                      <w:rFonts w:hint="default" w:ascii="Times New Roman" w:hAnsi="Times New Roman" w:cs="Times New Roman"/>
                      <w:lang w:val="en-US" w:eastAsia="zh-CN" w:bidi="ar"/>
                    </w:rPr>
                    <w:t>总用电量</w:t>
                  </w:r>
                </w:p>
              </w:tc>
              <w:tc>
                <w:tcPr>
                  <w:tcW w:w="4128" w:type="dxa"/>
                  <w:tcBorders>
                    <w:top w:val="single" w:color="auto" w:sz="4" w:space="0"/>
                    <w:left w:val="single" w:color="auto" w:sz="4" w:space="0"/>
                    <w:bottom w:val="single" w:color="auto" w:sz="4" w:space="0"/>
                    <w:right w:val="single" w:color="auto" w:sz="4" w:space="0"/>
                  </w:tcBorders>
                  <w:vAlign w:val="center"/>
                </w:tcPr>
                <w:p w14:paraId="5C6379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000000"/>
                      <w:kern w:val="0"/>
                      <w:sz w:val="22"/>
                      <w:szCs w:val="22"/>
                      <w:u w:val="none"/>
                      <w:lang w:val="en-US" w:eastAsia="zh-CN" w:bidi="ar"/>
                    </w:rPr>
                  </w:pPr>
                  <w:r>
                    <w:rPr>
                      <w:rFonts w:hint="default" w:ascii="Times New Roman" w:hAnsi="Times New Roman" w:cs="Times New Roman"/>
                      <w:i w:val="0"/>
                      <w:iCs w:val="0"/>
                      <w:color w:val="000000"/>
                      <w:kern w:val="0"/>
                      <w:sz w:val="22"/>
                      <w:szCs w:val="22"/>
                      <w:u w:val="none"/>
                      <w:lang w:val="en-US" w:eastAsia="zh-CN" w:bidi="ar"/>
                    </w:rPr>
                    <w:t>100000</w:t>
                  </w:r>
                </w:p>
              </w:tc>
            </w:tr>
            <w:tr w14:paraId="58A48BEE">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339" w:hRule="atLeast"/>
              </w:trPr>
              <w:tc>
                <w:tcPr>
                  <w:tcW w:w="4128" w:type="dxa"/>
                  <w:tcBorders>
                    <w:top w:val="single" w:color="auto" w:sz="4" w:space="0"/>
                    <w:left w:val="single" w:color="auto" w:sz="4" w:space="0"/>
                    <w:bottom w:val="single" w:color="auto" w:sz="4" w:space="0"/>
                    <w:right w:val="single" w:color="auto" w:sz="4" w:space="0"/>
                  </w:tcBorders>
                  <w:vAlign w:val="center"/>
                </w:tcPr>
                <w:p w14:paraId="1D3CFBD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Style w:val="34"/>
                      <w:rFonts w:hint="default" w:ascii="Times New Roman" w:hAnsi="Times New Roman" w:cs="Times New Roman"/>
                      <w:lang w:val="en-US" w:eastAsia="zh-CN" w:bidi="ar"/>
                    </w:rPr>
                  </w:pPr>
                  <w:r>
                    <w:rPr>
                      <w:rStyle w:val="34"/>
                      <w:rFonts w:hint="default" w:ascii="Times New Roman" w:hAnsi="Times New Roman" w:cs="Times New Roman"/>
                      <w:lang w:val="en-US" w:eastAsia="zh-CN" w:bidi="ar"/>
                    </w:rPr>
                    <w:t>可再生能源电力消费占比</w:t>
                  </w:r>
                </w:p>
              </w:tc>
              <w:tc>
                <w:tcPr>
                  <w:tcW w:w="4128" w:type="dxa"/>
                  <w:tcBorders>
                    <w:top w:val="single" w:color="auto" w:sz="4" w:space="0"/>
                    <w:left w:val="single" w:color="auto" w:sz="4" w:space="0"/>
                    <w:bottom w:val="single" w:color="auto" w:sz="4" w:space="0"/>
                    <w:right w:val="single" w:color="auto" w:sz="4" w:space="0"/>
                  </w:tcBorders>
                  <w:vAlign w:val="center"/>
                </w:tcPr>
                <w:p w14:paraId="01270E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000000"/>
                      <w:kern w:val="0"/>
                      <w:sz w:val="22"/>
                      <w:szCs w:val="22"/>
                      <w:u w:val="none"/>
                      <w:lang w:val="en-US" w:eastAsia="zh-CN" w:bidi="ar"/>
                    </w:rPr>
                  </w:pPr>
                  <w:r>
                    <w:rPr>
                      <w:rFonts w:hint="default" w:ascii="Times New Roman" w:hAnsi="Times New Roman" w:cs="Times New Roman"/>
                      <w:i w:val="0"/>
                      <w:iCs w:val="0"/>
                      <w:color w:val="000000"/>
                      <w:kern w:val="0"/>
                      <w:sz w:val="22"/>
                      <w:szCs w:val="22"/>
                      <w:u w:val="none"/>
                      <w:lang w:val="en-US" w:eastAsia="zh-CN" w:bidi="ar"/>
                    </w:rPr>
                    <w:t>27.7%</w:t>
                  </w:r>
                </w:p>
              </w:tc>
            </w:tr>
            <w:tr w14:paraId="05972D52">
              <w:tblPrEx>
                <w:tblBorders>
                  <w:top w:val="dashSmallGap" w:color="auto" w:sz="4" w:space="0"/>
                  <w:left w:val="dashSmallGap" w:color="auto" w:sz="4" w:space="0"/>
                  <w:bottom w:val="dashSmallGap" w:color="auto" w:sz="4" w:space="0"/>
                  <w:right w:val="dashSmallGap" w:color="auto" w:sz="4" w:space="0"/>
                  <w:insideH w:val="dashSmallGap" w:color="auto" w:sz="4" w:space="0"/>
                  <w:insideV w:val="dashSmallGap" w:color="auto" w:sz="4" w:space="0"/>
                </w:tblBorders>
                <w:tblCellMar>
                  <w:top w:w="0" w:type="dxa"/>
                  <w:left w:w="108" w:type="dxa"/>
                  <w:bottom w:w="0" w:type="dxa"/>
                  <w:right w:w="108" w:type="dxa"/>
                </w:tblCellMar>
              </w:tblPrEx>
              <w:trPr>
                <w:trHeight w:val="269" w:hRule="atLeast"/>
              </w:trPr>
              <w:tc>
                <w:tcPr>
                  <w:tcW w:w="4128" w:type="dxa"/>
                  <w:tcBorders>
                    <w:top w:val="single" w:color="auto" w:sz="4" w:space="0"/>
                    <w:left w:val="single" w:color="auto" w:sz="4" w:space="0"/>
                    <w:bottom w:val="single" w:color="auto" w:sz="4" w:space="0"/>
                    <w:right w:val="single" w:color="auto" w:sz="4" w:space="0"/>
                  </w:tcBorders>
                  <w:vAlign w:val="center"/>
                </w:tcPr>
                <w:p w14:paraId="3836AFD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rPr>
                      <w:rFonts w:hint="default" w:ascii="Times New Roman" w:hAnsi="Times New Roman" w:eastAsia="宋体" w:cs="Times New Roman"/>
                      <w:i w:val="0"/>
                      <w:iCs w:val="0"/>
                      <w:color w:val="auto"/>
                      <w:sz w:val="22"/>
                      <w:szCs w:val="22"/>
                      <w:u w:val="none"/>
                      <w:vertAlign w:val="baseline"/>
                    </w:rPr>
                  </w:pPr>
                </w:p>
              </w:tc>
              <w:tc>
                <w:tcPr>
                  <w:tcW w:w="4128" w:type="dxa"/>
                  <w:tcBorders>
                    <w:top w:val="single" w:color="auto" w:sz="4" w:space="0"/>
                    <w:left w:val="single" w:color="auto" w:sz="4" w:space="0"/>
                    <w:bottom w:val="single" w:color="auto" w:sz="4" w:space="0"/>
                    <w:right w:val="single" w:color="auto" w:sz="4" w:space="0"/>
                  </w:tcBorders>
                  <w:vAlign w:val="center"/>
                </w:tcPr>
                <w:p w14:paraId="587EA2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r>
                    <w:rPr>
                      <w:rFonts w:hint="default" w:ascii="Times New Roman" w:hAnsi="Times New Roman" w:eastAsia="宋体" w:cs="Times New Roman"/>
                      <w:i w:val="0"/>
                      <w:iCs w:val="0"/>
                      <w:color w:val="000000"/>
                      <w:kern w:val="0"/>
                      <w:sz w:val="22"/>
                      <w:szCs w:val="22"/>
                      <w:u w:val="none"/>
                      <w:lang w:val="en-US" w:eastAsia="zh-CN" w:bidi="ar"/>
                    </w:rPr>
                    <w:t>明细见附件</w:t>
                  </w:r>
                </w:p>
              </w:tc>
            </w:tr>
          </w:tbl>
          <w:p w14:paraId="39DE195E">
            <w:pPr>
              <w:keepNext w:val="0"/>
              <w:keepLines w:val="0"/>
              <w:pageBreakBefore w:val="0"/>
              <w:widowControl w:val="0"/>
              <w:suppressLineNumbers w:val="0"/>
              <w:topLinePunct w:val="0"/>
              <w:bidi w:val="0"/>
              <w:spacing w:before="0" w:beforeAutospacing="0" w:afterAutospacing="0"/>
              <w:ind w:left="0" w:right="0"/>
              <w:jc w:val="both"/>
              <w:textAlignment w:val="center"/>
              <w:rPr>
                <w:rFonts w:hint="default" w:ascii="Times New Roman" w:hAnsi="Times New Roman" w:eastAsia="宋体" w:cs="Times New Roman"/>
                <w:i w:val="0"/>
                <w:iCs w:val="0"/>
                <w:color w:val="auto"/>
                <w:sz w:val="22"/>
                <w:szCs w:val="22"/>
                <w:u w:val="none"/>
                <w:lang w:val="en-US" w:eastAsia="zh-CN"/>
              </w:rPr>
            </w:pPr>
          </w:p>
          <w:p w14:paraId="6A85146B">
            <w:pPr>
              <w:pStyle w:val="23"/>
              <w:keepNext w:val="0"/>
              <w:keepLines w:val="0"/>
              <w:pageBreakBefore w:val="0"/>
              <w:widowControl w:val="0"/>
              <w:topLinePunct w:val="0"/>
              <w:bidi w:val="0"/>
              <w:rPr>
                <w:rFonts w:hint="default" w:ascii="Times New Roman" w:hAnsi="Times New Roman" w:cs="Times New Roman"/>
                <w:lang w:val="en-US" w:eastAsia="zh-CN"/>
              </w:rPr>
            </w:pPr>
          </w:p>
        </w:tc>
      </w:tr>
      <w:tr w14:paraId="395C3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6" w:hRule="atLeast"/>
          <w:jc w:val="center"/>
        </w:trPr>
        <w:tc>
          <w:tcPr>
            <w:tcW w:w="9163" w:type="dxa"/>
            <w:tcBorders>
              <w:top w:val="nil"/>
              <w:left w:val="single" w:color="auto" w:sz="6" w:space="0"/>
              <w:bottom w:val="single" w:color="auto" w:sz="6" w:space="0"/>
              <w:right w:val="single" w:color="auto" w:sz="6" w:space="0"/>
            </w:tcBorders>
            <w:shd w:val="clear" w:color="auto" w:fill="auto"/>
            <w:vAlign w:val="center"/>
          </w:tcPr>
          <w:p w14:paraId="3BBF2E0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40" w:firstLineChars="200"/>
              <w:jc w:val="left"/>
              <w:textAlignment w:val="top"/>
              <w:rPr>
                <w:rStyle w:val="32"/>
                <w:rFonts w:hint="default" w:ascii="Times New Roman" w:hAnsi="Times New Roman" w:eastAsia="宋体" w:cs="Times New Roman"/>
                <w:color w:val="auto"/>
                <w:lang w:val="en-US" w:eastAsia="zh-CN" w:bidi="ar"/>
              </w:rPr>
            </w:pPr>
            <w:r>
              <w:rPr>
                <w:rStyle w:val="32"/>
                <w:rFonts w:hint="default" w:ascii="Times New Roman" w:hAnsi="Times New Roman" w:eastAsia="宋体" w:cs="Times New Roman"/>
                <w:color w:val="auto"/>
                <w:lang w:val="en-US" w:eastAsia="zh-CN" w:bidi="ar"/>
              </w:rPr>
              <w:t>清单编号：BPX-PHDSH-20-202406061</w:t>
            </w:r>
            <w:r>
              <w:rPr>
                <w:rStyle w:val="32"/>
                <w:rFonts w:hint="default" w:ascii="Times New Roman" w:hAnsi="Times New Roman" w:cs="Times New Roman"/>
                <w:color w:val="auto"/>
                <w:lang w:val="en-US" w:eastAsia="zh-CN" w:bidi="ar"/>
              </w:rPr>
              <w:t>XXX</w:t>
            </w:r>
            <w:r>
              <w:rPr>
                <w:rStyle w:val="32"/>
                <w:rFonts w:hint="default" w:ascii="Times New Roman" w:hAnsi="Times New Roman" w:eastAsia="宋体" w:cs="Times New Roman"/>
                <w:color w:val="auto"/>
                <w:lang w:val="en-US" w:eastAsia="zh-CN" w:bidi="ar"/>
              </w:rPr>
              <w:t xml:space="preserve">                        XX电力交易中心</w:t>
            </w:r>
          </w:p>
          <w:p w14:paraId="334FFA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40" w:firstLineChars="200"/>
              <w:jc w:val="left"/>
              <w:textAlignment w:val="top"/>
              <w:rPr>
                <w:rFonts w:hint="default" w:ascii="Times New Roman" w:hAnsi="Times New Roman" w:eastAsia="宋体" w:cs="Times New Roman"/>
                <w:i w:val="0"/>
                <w:iCs w:val="0"/>
                <w:color w:val="auto"/>
                <w:sz w:val="22"/>
                <w:szCs w:val="22"/>
                <w:u w:val="none"/>
              </w:rPr>
            </w:pPr>
            <w:r>
              <w:rPr>
                <w:rStyle w:val="32"/>
                <w:rFonts w:hint="default" w:ascii="Times New Roman" w:hAnsi="Times New Roman" w:eastAsia="宋体" w:cs="Times New Roman"/>
                <w:color w:val="auto"/>
                <w:lang w:val="en-US" w:eastAsia="zh-CN" w:bidi="ar"/>
              </w:rPr>
              <w:t>生成时间：202</w:t>
            </w:r>
            <w:r>
              <w:rPr>
                <w:rStyle w:val="32"/>
                <w:rFonts w:hint="default" w:ascii="Times New Roman" w:hAnsi="Times New Roman" w:cs="Times New Roman"/>
                <w:color w:val="auto"/>
                <w:lang w:val="en-US" w:eastAsia="zh-CN" w:bidi="ar"/>
              </w:rPr>
              <w:t>5</w:t>
            </w:r>
            <w:r>
              <w:rPr>
                <w:rStyle w:val="32"/>
                <w:rFonts w:hint="default" w:ascii="Times New Roman" w:hAnsi="Times New Roman" w:eastAsia="宋体" w:cs="Times New Roman"/>
                <w:color w:val="auto"/>
                <w:lang w:val="en-US" w:eastAsia="zh-CN" w:bidi="ar"/>
              </w:rPr>
              <w:t>年</w:t>
            </w:r>
            <w:r>
              <w:rPr>
                <w:rStyle w:val="32"/>
                <w:rFonts w:hint="default" w:ascii="Times New Roman" w:hAnsi="Times New Roman" w:cs="Times New Roman"/>
                <w:color w:val="auto"/>
                <w:lang w:val="en-US" w:eastAsia="zh-CN" w:bidi="ar"/>
              </w:rPr>
              <w:t>XX</w:t>
            </w:r>
            <w:r>
              <w:rPr>
                <w:rStyle w:val="32"/>
                <w:rFonts w:hint="default" w:ascii="Times New Roman" w:hAnsi="Times New Roman" w:eastAsia="宋体" w:cs="Times New Roman"/>
                <w:color w:val="auto"/>
                <w:lang w:val="en-US" w:eastAsia="zh-CN" w:bidi="ar"/>
              </w:rPr>
              <w:t>月</w:t>
            </w:r>
            <w:r>
              <w:rPr>
                <w:rStyle w:val="32"/>
                <w:rFonts w:hint="default" w:ascii="Times New Roman" w:hAnsi="Times New Roman" w:cs="Times New Roman"/>
                <w:color w:val="auto"/>
                <w:lang w:val="en-US" w:eastAsia="zh-CN" w:bidi="ar"/>
              </w:rPr>
              <w:t>XX</w:t>
            </w:r>
            <w:r>
              <w:rPr>
                <w:rStyle w:val="32"/>
                <w:rFonts w:hint="default" w:ascii="Times New Roman" w:hAnsi="Times New Roman" w:eastAsia="宋体" w:cs="Times New Roman"/>
                <w:color w:val="auto"/>
                <w:lang w:val="en-US" w:eastAsia="zh-CN" w:bidi="ar"/>
              </w:rPr>
              <w:t>日17</w:t>
            </w:r>
            <w:r>
              <w:rPr>
                <w:rStyle w:val="32"/>
                <w:rFonts w:hint="eastAsia" w:ascii="Times New Roman" w:hAnsi="Times New Roman" w:eastAsia="宋体" w:cs="Times New Roman"/>
                <w:color w:val="auto"/>
                <w:lang w:val="en-US" w:eastAsia="zh-CN" w:bidi="ar"/>
              </w:rPr>
              <w:t>：</w:t>
            </w:r>
            <w:r>
              <w:rPr>
                <w:rStyle w:val="32"/>
                <w:rFonts w:hint="default" w:ascii="Times New Roman" w:hAnsi="Times New Roman" w:eastAsia="宋体" w:cs="Times New Roman"/>
                <w:color w:val="auto"/>
                <w:lang w:val="en-US" w:eastAsia="zh-CN" w:bidi="ar"/>
              </w:rPr>
              <w:t>02</w:t>
            </w:r>
            <w:r>
              <w:rPr>
                <w:rStyle w:val="32"/>
                <w:rFonts w:hint="eastAsia" w:ascii="Times New Roman" w:hAnsi="Times New Roman" w:eastAsia="宋体" w:cs="Times New Roman"/>
                <w:color w:val="auto"/>
                <w:lang w:val="en-US" w:eastAsia="zh-CN" w:bidi="ar"/>
              </w:rPr>
              <w:t>：</w:t>
            </w:r>
            <w:r>
              <w:rPr>
                <w:rStyle w:val="32"/>
                <w:rFonts w:hint="default" w:ascii="Times New Roman" w:hAnsi="Times New Roman" w:eastAsia="宋体" w:cs="Times New Roman"/>
                <w:color w:val="auto"/>
                <w:lang w:val="en-US" w:eastAsia="zh-CN" w:bidi="ar"/>
              </w:rPr>
              <w:t>38                        202</w:t>
            </w:r>
            <w:r>
              <w:rPr>
                <w:rStyle w:val="32"/>
                <w:rFonts w:hint="default" w:ascii="Times New Roman" w:hAnsi="Times New Roman" w:cs="Times New Roman"/>
                <w:color w:val="auto"/>
                <w:lang w:val="en-US" w:eastAsia="zh-CN" w:bidi="ar"/>
              </w:rPr>
              <w:t>5</w:t>
            </w:r>
            <w:r>
              <w:rPr>
                <w:rStyle w:val="32"/>
                <w:rFonts w:hint="default" w:ascii="Times New Roman" w:hAnsi="Times New Roman" w:eastAsia="宋体" w:cs="Times New Roman"/>
                <w:color w:val="auto"/>
                <w:lang w:val="en-US" w:eastAsia="zh-CN" w:bidi="ar"/>
              </w:rPr>
              <w:t>年</w:t>
            </w:r>
            <w:r>
              <w:rPr>
                <w:rStyle w:val="32"/>
                <w:rFonts w:hint="default" w:ascii="Times New Roman" w:hAnsi="Times New Roman" w:cs="Times New Roman"/>
                <w:color w:val="auto"/>
                <w:lang w:val="en-US" w:eastAsia="zh-CN" w:bidi="ar"/>
              </w:rPr>
              <w:t>XX</w:t>
            </w:r>
            <w:r>
              <w:rPr>
                <w:rStyle w:val="32"/>
                <w:rFonts w:hint="default" w:ascii="Times New Roman" w:hAnsi="Times New Roman" w:eastAsia="宋体" w:cs="Times New Roman"/>
                <w:color w:val="auto"/>
                <w:lang w:val="en-US" w:eastAsia="zh-CN" w:bidi="ar"/>
              </w:rPr>
              <w:t>月</w:t>
            </w:r>
            <w:r>
              <w:rPr>
                <w:rStyle w:val="32"/>
                <w:rFonts w:hint="default" w:ascii="Times New Roman" w:hAnsi="Times New Roman" w:cs="Times New Roman"/>
                <w:color w:val="auto"/>
                <w:lang w:val="en-US" w:eastAsia="zh-CN" w:bidi="ar"/>
              </w:rPr>
              <w:t>XX</w:t>
            </w:r>
            <w:r>
              <w:rPr>
                <w:rStyle w:val="32"/>
                <w:rFonts w:hint="default" w:ascii="Times New Roman" w:hAnsi="Times New Roman" w:eastAsia="宋体" w:cs="Times New Roman"/>
                <w:color w:val="auto"/>
                <w:lang w:val="en-US" w:eastAsia="zh-CN" w:bidi="ar"/>
              </w:rPr>
              <w:t>日</w:t>
            </w:r>
          </w:p>
        </w:tc>
      </w:tr>
    </w:tbl>
    <w:tbl>
      <w:tblPr>
        <w:tblStyle w:val="25"/>
        <w:tblpPr w:leftFromText="180" w:rightFromText="180" w:vertAnchor="text" w:tblpX="10214" w:tblpY="-2612"/>
        <w:tblOverlap w:val="never"/>
        <w:tblW w:w="0" w:type="auto"/>
        <w:tblInd w:w="0" w:type="dxa"/>
        <w:tblBorders>
          <w:top w:val="dashSmallGap" w:color="CFCECE" w:sz="4" w:space="0"/>
          <w:left w:val="dashSmallGap" w:color="CFCECE" w:sz="4" w:space="0"/>
          <w:bottom w:val="dashSmallGap" w:color="CFCECE" w:sz="4" w:space="0"/>
          <w:right w:val="dashSmallGap" w:color="CFCECE" w:sz="4" w:space="0"/>
          <w:insideH w:val="dashSmallGap" w:color="CFCECE" w:sz="4" w:space="0"/>
          <w:insideV w:val="dashSmallGap" w:color="CFCECE" w:sz="4" w:space="0"/>
        </w:tblBorders>
        <w:tblLayout w:type="autofit"/>
        <w:tblCellMar>
          <w:top w:w="0" w:type="dxa"/>
          <w:left w:w="108" w:type="dxa"/>
          <w:bottom w:w="0" w:type="dxa"/>
          <w:right w:w="108" w:type="dxa"/>
        </w:tblCellMar>
      </w:tblPr>
      <w:tblGrid>
        <w:gridCol w:w="324"/>
      </w:tblGrid>
      <w:tr w14:paraId="318030B4">
        <w:tblPrEx>
          <w:tblBorders>
            <w:top w:val="dashSmallGap" w:color="CFCECE" w:sz="4" w:space="0"/>
            <w:left w:val="dashSmallGap" w:color="CFCECE" w:sz="4" w:space="0"/>
            <w:bottom w:val="dashSmallGap" w:color="CFCECE" w:sz="4" w:space="0"/>
            <w:right w:val="dashSmallGap" w:color="CFCECE" w:sz="4" w:space="0"/>
            <w:insideH w:val="dashSmallGap" w:color="CFCECE" w:sz="4" w:space="0"/>
            <w:insideV w:val="dashSmallGap" w:color="CFCECE" w:sz="4" w:space="0"/>
          </w:tblBorders>
          <w:tblCellMar>
            <w:top w:w="0" w:type="dxa"/>
            <w:left w:w="108" w:type="dxa"/>
            <w:bottom w:w="0" w:type="dxa"/>
            <w:right w:w="108" w:type="dxa"/>
          </w:tblCellMar>
        </w:tblPrEx>
        <w:trPr>
          <w:trHeight w:val="30" w:hRule="atLeast"/>
        </w:trPr>
        <w:tc>
          <w:tcPr>
            <w:tcW w:w="324" w:type="dxa"/>
          </w:tcPr>
          <w:p w14:paraId="485AE999">
            <w:pPr>
              <w:pStyle w:val="29"/>
              <w:keepNext w:val="0"/>
              <w:keepLines w:val="0"/>
              <w:pageBreakBefore w:val="0"/>
              <w:widowControl w:val="0"/>
              <w:suppressLineNumbers w:val="0"/>
              <w:topLinePunct w:val="0"/>
              <w:bidi w:val="0"/>
              <w:spacing w:before="0" w:beforeAutospacing="0" w:after="0" w:afterAutospacing="0" w:line="240" w:lineRule="auto"/>
              <w:ind w:left="0" w:right="0"/>
              <w:rPr>
                <w:rFonts w:hint="default" w:ascii="Times New Roman" w:hAnsi="Times New Roman" w:cs="Times New Roman"/>
                <w:color w:val="000000" w:themeColor="text1"/>
                <w:szCs w:val="18"/>
                <w:vertAlign w:val="baseline"/>
                <w14:textFill>
                  <w14:solidFill>
                    <w14:schemeClr w14:val="tx1"/>
                  </w14:solidFill>
                </w14:textFill>
              </w:rPr>
            </w:pPr>
          </w:p>
        </w:tc>
      </w:tr>
    </w:tbl>
    <w:p w14:paraId="7C466467">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center"/>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图1 可再生能源电力消费核算清单样例</w:t>
      </w:r>
    </w:p>
    <w:p w14:paraId="583C29CA">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bookmarkStart w:id="45" w:name="_Toc27449"/>
      <w:bookmarkStart w:id="46" w:name="_Toc14811"/>
      <w:r>
        <w:rPr>
          <w:rFonts w:hint="default" w:ascii="Times New Roman" w:hAnsi="Times New Roman" w:eastAsia="仿宋" w:cs="Times New Roman"/>
          <w:sz w:val="28"/>
          <w:szCs w:val="28"/>
          <w:highlight w:val="none"/>
          <w:lang w:val="en-US" w:eastAsia="zh-CN"/>
        </w:rPr>
        <w:t>2.可再生能源电力消费核算清单明细样例</w:t>
      </w:r>
      <w:bookmarkEnd w:id="45"/>
      <w:bookmarkEnd w:id="46"/>
    </w:p>
    <w:p w14:paraId="2175055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center"/>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表1 绿电交易明细样例</w:t>
      </w:r>
    </w:p>
    <w:tbl>
      <w:tblPr>
        <w:tblStyle w:val="24"/>
        <w:tblW w:w="5254"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4"/>
        <w:gridCol w:w="5"/>
        <w:gridCol w:w="544"/>
        <w:gridCol w:w="20"/>
        <w:gridCol w:w="39"/>
        <w:gridCol w:w="1020"/>
        <w:gridCol w:w="109"/>
        <w:gridCol w:w="7"/>
        <w:gridCol w:w="1278"/>
        <w:gridCol w:w="59"/>
        <w:gridCol w:w="598"/>
        <w:gridCol w:w="597"/>
        <w:gridCol w:w="609"/>
        <w:gridCol w:w="71"/>
        <w:gridCol w:w="433"/>
        <w:gridCol w:w="550"/>
        <w:gridCol w:w="177"/>
        <w:gridCol w:w="328"/>
        <w:gridCol w:w="645"/>
        <w:gridCol w:w="175"/>
        <w:gridCol w:w="223"/>
        <w:gridCol w:w="1033"/>
        <w:gridCol w:w="6"/>
        <w:gridCol w:w="2"/>
        <w:gridCol w:w="212"/>
        <w:gridCol w:w="1"/>
        <w:gridCol w:w="1"/>
      </w:tblGrid>
      <w:tr w14:paraId="17343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jc w:val="center"/>
        </w:trPr>
        <w:tc>
          <w:tcPr>
            <w:tcW w:w="5000" w:type="pct"/>
            <w:gridSpan w:val="27"/>
            <w:tcBorders>
              <w:bottom w:val="nil"/>
            </w:tcBorders>
            <w:shd w:val="clear" w:color="auto" w:fill="auto"/>
            <w:vAlign w:val="bottom"/>
          </w:tcPr>
          <w:p w14:paraId="250E01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both"/>
              <w:textAlignment w:val="top"/>
              <w:rPr>
                <w:rFonts w:hint="default" w:ascii="Times New Roman" w:hAnsi="Times New Roman"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绿电交易</w:t>
            </w:r>
            <w:r>
              <w:rPr>
                <w:rFonts w:hint="default" w:ascii="Times New Roman" w:hAnsi="Times New Roman" w:eastAsia="宋体" w:cs="Times New Roman"/>
                <w:i w:val="0"/>
                <w:iCs w:val="0"/>
                <w:color w:val="000000"/>
                <w:kern w:val="0"/>
                <w:sz w:val="18"/>
                <w:szCs w:val="18"/>
                <w:u w:val="none"/>
                <w:lang w:val="en-US" w:eastAsia="zh-CN" w:bidi="ar"/>
              </w:rPr>
              <w:t xml:space="preserve">明细                                </w:t>
            </w:r>
            <w:r>
              <w:rPr>
                <w:rFonts w:hint="default" w:ascii="Times New Roman" w:hAnsi="Times New Roman" w:cs="Times New Roman"/>
                <w:i w:val="0"/>
                <w:iCs w:val="0"/>
                <w:color w:val="000000"/>
                <w:kern w:val="0"/>
                <w:sz w:val="18"/>
                <w:szCs w:val="18"/>
                <w:u w:val="none"/>
                <w:lang w:val="en-US" w:eastAsia="zh-CN" w:bidi="ar"/>
              </w:rPr>
              <w:t xml:space="preserve">                    </w:t>
            </w:r>
            <w:r>
              <w:rPr>
                <w:rFonts w:hint="default" w:ascii="Times New Roman" w:hAnsi="Times New Roman" w:eastAsia="宋体" w:cs="Times New Roman"/>
                <w:i w:val="0"/>
                <w:iCs w:val="0"/>
                <w:color w:val="000000"/>
                <w:kern w:val="0"/>
                <w:sz w:val="18"/>
                <w:szCs w:val="18"/>
                <w:u w:val="none"/>
                <w:lang w:val="en-US" w:eastAsia="zh-CN" w:bidi="ar"/>
              </w:rPr>
              <w:t xml:space="preserve"> </w:t>
            </w:r>
            <w:r>
              <w:rPr>
                <w:rFonts w:hint="default" w:ascii="Times New Roman" w:hAnsi="Times New Roman" w:cs="Times New Roman"/>
                <w:i w:val="0"/>
                <w:iCs w:val="0"/>
                <w:color w:val="000000"/>
                <w:kern w:val="0"/>
                <w:sz w:val="18"/>
                <w:szCs w:val="18"/>
                <w:u w:val="none"/>
                <w:lang w:val="en-US" w:eastAsia="zh-CN" w:bidi="ar"/>
              </w:rPr>
              <w:t xml:space="preserve">              </w:t>
            </w:r>
            <w:r>
              <w:rPr>
                <w:rFonts w:hint="default" w:ascii="Times New Roman" w:hAnsi="Times New Roman" w:eastAsia="宋体" w:cs="Times New Roman"/>
                <w:i w:val="0"/>
                <w:iCs w:val="0"/>
                <w:color w:val="000000"/>
                <w:kern w:val="0"/>
                <w:sz w:val="18"/>
                <w:szCs w:val="18"/>
                <w:u w:val="none"/>
                <w:lang w:val="en-US" w:eastAsia="zh-CN" w:bidi="ar"/>
              </w:rPr>
              <w:t>单位：兆瓦时</w:t>
            </w:r>
          </w:p>
        </w:tc>
      </w:tr>
      <w:tr w14:paraId="6C80B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jc w:val="center"/>
        </w:trPr>
        <w:tc>
          <w:tcPr>
            <w:tcW w:w="119" w:type="pct"/>
            <w:vMerge w:val="restart"/>
            <w:tcBorders>
              <w:top w:val="nil"/>
              <w:right w:val="nil"/>
            </w:tcBorders>
            <w:shd w:val="clear" w:color="auto" w:fill="auto"/>
            <w:vAlign w:val="top"/>
          </w:tcPr>
          <w:p w14:paraId="3C6593F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317" w:type="pct"/>
            <w:gridSpan w:val="3"/>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60C769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序 号</w:t>
            </w:r>
          </w:p>
        </w:tc>
        <w:tc>
          <w:tcPr>
            <w:tcW w:w="652"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0E6E3E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结算月份</w:t>
            </w:r>
          </w:p>
        </w:tc>
        <w:tc>
          <w:tcPr>
            <w:tcW w:w="717" w:type="pct"/>
            <w:gridSpan w:val="2"/>
            <w:tcBorders>
              <w:top w:val="single" w:color="000000" w:sz="4" w:space="0"/>
              <w:left w:val="single" w:color="000000" w:sz="4" w:space="0"/>
              <w:bottom w:val="single" w:color="auto" w:sz="6" w:space="0"/>
              <w:right w:val="single" w:color="000000" w:sz="4" w:space="0"/>
            </w:tcBorders>
            <w:shd w:val="clear" w:color="auto" w:fill="auto"/>
            <w:vAlign w:val="center"/>
          </w:tcPr>
          <w:p w14:paraId="60D8B6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绿证编号</w:t>
            </w:r>
          </w:p>
        </w:tc>
        <w:tc>
          <w:tcPr>
            <w:tcW w:w="1079" w:type="pct"/>
            <w:gridSpan w:val="5"/>
            <w:tcBorders>
              <w:top w:val="single" w:color="000000" w:sz="4" w:space="0"/>
              <w:left w:val="single" w:color="000000" w:sz="4" w:space="0"/>
              <w:bottom w:val="single" w:color="auto" w:sz="6" w:space="0"/>
              <w:right w:val="single" w:color="000000" w:sz="4" w:space="0"/>
            </w:tcBorders>
            <w:shd w:val="clear" w:color="auto" w:fill="auto"/>
            <w:vAlign w:val="center"/>
          </w:tcPr>
          <w:p w14:paraId="3B90AC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合同名称</w:t>
            </w:r>
          </w:p>
        </w:tc>
        <w:tc>
          <w:tcPr>
            <w:tcW w:w="647"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03F984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供电方</w:t>
            </w:r>
          </w:p>
        </w:tc>
        <w:tc>
          <w:tcPr>
            <w:tcW w:w="640"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3B0FDE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电量类型</w:t>
            </w:r>
          </w:p>
        </w:tc>
        <w:tc>
          <w:tcPr>
            <w:tcW w:w="705" w:type="pct"/>
            <w:gridSpan w:val="4"/>
            <w:tcBorders>
              <w:top w:val="single" w:color="000000" w:sz="4" w:space="0"/>
              <w:left w:val="single" w:color="000000" w:sz="4" w:space="0"/>
              <w:bottom w:val="single" w:color="auto" w:sz="6" w:space="0"/>
              <w:right w:val="single" w:color="000000" w:sz="4" w:space="0"/>
            </w:tcBorders>
            <w:shd w:val="clear" w:color="auto" w:fill="auto"/>
            <w:vAlign w:val="center"/>
          </w:tcPr>
          <w:p w14:paraId="2BF471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i w:val="0"/>
                <w:iCs w:val="0"/>
                <w:color w:val="000000"/>
                <w:kern w:val="0"/>
                <w:sz w:val="18"/>
                <w:szCs w:val="18"/>
                <w:u w:val="none"/>
                <w:lang w:val="en-US" w:eastAsia="zh-CN" w:bidi="ar"/>
              </w:rPr>
              <w:t>环境价值结算电量</w:t>
            </w:r>
          </w:p>
        </w:tc>
        <w:tc>
          <w:tcPr>
            <w:tcW w:w="119" w:type="pct"/>
            <w:gridSpan w:val="3"/>
            <w:vMerge w:val="restart"/>
            <w:tcBorders>
              <w:top w:val="nil"/>
              <w:left w:val="nil"/>
            </w:tcBorders>
            <w:shd w:val="clear" w:color="auto" w:fill="auto"/>
            <w:vAlign w:val="top"/>
          </w:tcPr>
          <w:p w14:paraId="2CAA20D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276FB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119" w:type="pct"/>
            <w:vMerge w:val="continue"/>
            <w:tcBorders>
              <w:right w:val="nil"/>
            </w:tcBorders>
            <w:shd w:val="clear" w:color="auto" w:fill="auto"/>
            <w:vAlign w:val="top"/>
          </w:tcPr>
          <w:p w14:paraId="0E5997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317"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64601E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1</w:t>
            </w:r>
          </w:p>
        </w:tc>
        <w:tc>
          <w:tcPr>
            <w:tcW w:w="652"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1D985D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2024年6月</w:t>
            </w:r>
          </w:p>
        </w:tc>
        <w:tc>
          <w:tcPr>
            <w:tcW w:w="717" w:type="pct"/>
            <w:gridSpan w:val="2"/>
            <w:tcBorders>
              <w:top w:val="single" w:color="auto" w:sz="6" w:space="0"/>
              <w:left w:val="single" w:color="auto" w:sz="6" w:space="0"/>
              <w:bottom w:val="single" w:color="auto" w:sz="6" w:space="0"/>
              <w:right w:val="single" w:color="auto" w:sz="6" w:space="0"/>
            </w:tcBorders>
            <w:shd w:val="clear" w:color="auto" w:fill="auto"/>
            <w:vAlign w:val="center"/>
          </w:tcPr>
          <w:p w14:paraId="0FD79F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PFC22101234820015035010001000XX</w:t>
            </w:r>
          </w:p>
        </w:tc>
        <w:tc>
          <w:tcPr>
            <w:tcW w:w="1079" w:type="pct"/>
            <w:gridSpan w:val="5"/>
            <w:tcBorders>
              <w:top w:val="single" w:color="auto" w:sz="6" w:space="0"/>
              <w:left w:val="single" w:color="auto" w:sz="6" w:space="0"/>
              <w:bottom w:val="single" w:color="auto" w:sz="6" w:space="0"/>
              <w:right w:val="single" w:color="auto" w:sz="6" w:space="0"/>
            </w:tcBorders>
            <w:shd w:val="clear" w:color="auto" w:fill="auto"/>
            <w:vAlign w:val="center"/>
          </w:tcPr>
          <w:p w14:paraId="3F848E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新疆XX新能源项目与XX</w:t>
            </w:r>
            <w:r>
              <w:rPr>
                <w:rFonts w:hint="default" w:ascii="Times New Roman" w:hAnsi="Times New Roman" w:cs="Times New Roman"/>
                <w:i w:val="0"/>
                <w:iCs w:val="0"/>
                <w:color w:val="000000"/>
                <w:kern w:val="0"/>
                <w:sz w:val="18"/>
                <w:szCs w:val="18"/>
                <w:u w:val="none"/>
                <w:lang w:val="en-US" w:eastAsia="zh-CN" w:bidi="ar"/>
              </w:rPr>
              <w:t>XX</w:t>
            </w:r>
            <w:r>
              <w:rPr>
                <w:rFonts w:hint="default" w:ascii="Times New Roman" w:hAnsi="Times New Roman" w:eastAsia="宋体" w:cs="Times New Roman"/>
                <w:i w:val="0"/>
                <w:iCs w:val="0"/>
                <w:color w:val="000000"/>
                <w:kern w:val="0"/>
                <w:sz w:val="18"/>
                <w:szCs w:val="18"/>
                <w:u w:val="none"/>
                <w:lang w:val="en-US" w:eastAsia="zh-CN" w:bidi="ar"/>
              </w:rPr>
              <w:t>有限公司合同</w:t>
            </w:r>
          </w:p>
        </w:tc>
        <w:tc>
          <w:tcPr>
            <w:tcW w:w="647"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73D5611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新疆XX新能源</w:t>
            </w:r>
          </w:p>
        </w:tc>
        <w:tc>
          <w:tcPr>
            <w:tcW w:w="640"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75253A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kern w:val="2"/>
                <w:sz w:val="18"/>
                <w:szCs w:val="18"/>
                <w:u w:val="none"/>
                <w:lang w:val="en-US" w:eastAsia="zh-CN" w:bidi="ar-SA"/>
              </w:rPr>
            </w:pPr>
            <w:r>
              <w:rPr>
                <w:rFonts w:hint="default" w:ascii="Times New Roman" w:hAnsi="Times New Roman" w:eastAsia="宋体" w:cs="Times New Roman"/>
                <w:i w:val="0"/>
                <w:iCs w:val="0"/>
                <w:color w:val="000000"/>
                <w:kern w:val="0"/>
                <w:sz w:val="18"/>
                <w:szCs w:val="18"/>
                <w:u w:val="none"/>
                <w:lang w:val="en-US" w:eastAsia="zh-CN" w:bidi="ar"/>
              </w:rPr>
              <w:t>风电</w:t>
            </w:r>
          </w:p>
        </w:tc>
        <w:tc>
          <w:tcPr>
            <w:tcW w:w="705" w:type="pct"/>
            <w:gridSpan w:val="4"/>
            <w:tcBorders>
              <w:top w:val="single" w:color="auto" w:sz="6" w:space="0"/>
              <w:left w:val="single" w:color="auto" w:sz="6" w:space="0"/>
              <w:bottom w:val="single" w:color="auto" w:sz="6" w:space="0"/>
              <w:right w:val="single" w:color="auto" w:sz="6" w:space="0"/>
            </w:tcBorders>
            <w:shd w:val="clear" w:color="auto" w:fill="auto"/>
            <w:vAlign w:val="center"/>
          </w:tcPr>
          <w:p w14:paraId="0E54DAA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cs="Times New Roman"/>
                <w:i w:val="0"/>
                <w:iCs w:val="0"/>
                <w:color w:val="000000"/>
                <w:kern w:val="0"/>
                <w:sz w:val="18"/>
                <w:szCs w:val="18"/>
                <w:u w:val="none"/>
                <w:lang w:val="en-US" w:eastAsia="zh-CN" w:bidi="ar"/>
              </w:rPr>
            </w:pPr>
            <w:r>
              <w:rPr>
                <w:rFonts w:hint="default" w:ascii="Times New Roman" w:hAnsi="Times New Roman" w:cs="Times New Roman"/>
                <w:i w:val="0"/>
                <w:iCs w:val="0"/>
                <w:color w:val="000000"/>
                <w:kern w:val="0"/>
                <w:sz w:val="18"/>
                <w:szCs w:val="18"/>
                <w:u w:val="none"/>
                <w:lang w:val="en-US" w:eastAsia="zh-CN" w:bidi="ar"/>
              </w:rPr>
              <w:t>10000</w:t>
            </w:r>
          </w:p>
        </w:tc>
        <w:tc>
          <w:tcPr>
            <w:tcW w:w="119" w:type="pct"/>
            <w:gridSpan w:val="3"/>
            <w:vMerge w:val="continue"/>
            <w:tcBorders>
              <w:left w:val="nil"/>
            </w:tcBorders>
            <w:shd w:val="clear" w:color="auto" w:fill="auto"/>
            <w:vAlign w:val="top"/>
          </w:tcPr>
          <w:p w14:paraId="7CA89E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71CB6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7" w:hRule="atLeast"/>
          <w:jc w:val="center"/>
        </w:trPr>
        <w:tc>
          <w:tcPr>
            <w:tcW w:w="119" w:type="pct"/>
            <w:tcBorders>
              <w:bottom w:val="nil"/>
              <w:right w:val="single" w:color="auto" w:sz="6" w:space="0"/>
            </w:tcBorders>
            <w:shd w:val="clear" w:color="auto" w:fill="auto"/>
            <w:vAlign w:val="top"/>
          </w:tcPr>
          <w:p w14:paraId="7342BC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4055" w:type="pct"/>
            <w:gridSpan w:val="19"/>
            <w:tcBorders>
              <w:top w:val="single" w:color="auto" w:sz="6" w:space="0"/>
              <w:left w:val="single" w:color="auto" w:sz="6" w:space="0"/>
              <w:bottom w:val="single" w:color="auto" w:sz="6" w:space="0"/>
              <w:right w:val="single" w:color="auto" w:sz="6" w:space="0"/>
            </w:tcBorders>
            <w:shd w:val="clear" w:color="auto" w:fill="auto"/>
            <w:vAlign w:val="center"/>
          </w:tcPr>
          <w:p w14:paraId="312B7D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合计</w:t>
            </w:r>
          </w:p>
        </w:tc>
        <w:tc>
          <w:tcPr>
            <w:tcW w:w="705" w:type="pct"/>
            <w:gridSpan w:val="4"/>
            <w:tcBorders>
              <w:top w:val="single" w:color="auto" w:sz="6" w:space="0"/>
              <w:left w:val="single" w:color="auto" w:sz="6" w:space="0"/>
              <w:bottom w:val="single" w:color="auto" w:sz="6" w:space="0"/>
              <w:right w:val="single" w:color="auto" w:sz="6" w:space="0"/>
            </w:tcBorders>
            <w:shd w:val="clear" w:color="auto" w:fill="auto"/>
            <w:vAlign w:val="center"/>
          </w:tcPr>
          <w:p w14:paraId="5649F1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cs="Times New Roman"/>
                <w:b/>
                <w:bCs/>
                <w:i w:val="0"/>
                <w:iCs w:val="0"/>
                <w:color w:val="000000"/>
                <w:kern w:val="0"/>
                <w:sz w:val="18"/>
                <w:szCs w:val="18"/>
                <w:u w:val="none"/>
                <w:lang w:val="en-US" w:eastAsia="zh-CN" w:bidi="ar"/>
              </w:rPr>
            </w:pPr>
            <w:r>
              <w:rPr>
                <w:rFonts w:hint="default" w:ascii="Times New Roman" w:hAnsi="Times New Roman" w:cs="Times New Roman"/>
                <w:b/>
                <w:bCs/>
                <w:i w:val="0"/>
                <w:iCs w:val="0"/>
                <w:color w:val="000000"/>
                <w:kern w:val="0"/>
                <w:sz w:val="18"/>
                <w:szCs w:val="18"/>
                <w:u w:val="none"/>
                <w:lang w:val="en-US" w:eastAsia="zh-CN" w:bidi="ar"/>
              </w:rPr>
              <w:t>10000</w:t>
            </w:r>
          </w:p>
        </w:tc>
        <w:tc>
          <w:tcPr>
            <w:tcW w:w="119" w:type="pct"/>
            <w:gridSpan w:val="3"/>
            <w:tcBorders>
              <w:left w:val="single" w:color="auto" w:sz="6" w:space="0"/>
              <w:bottom w:val="nil"/>
            </w:tcBorders>
            <w:shd w:val="clear" w:color="auto" w:fill="auto"/>
            <w:vAlign w:val="top"/>
          </w:tcPr>
          <w:p w14:paraId="7598AD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43A8B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5" w:hRule="atLeast"/>
          <w:jc w:val="center"/>
        </w:trPr>
        <w:tc>
          <w:tcPr>
            <w:tcW w:w="5000" w:type="pct"/>
            <w:gridSpan w:val="27"/>
            <w:tcBorders>
              <w:top w:val="nil"/>
            </w:tcBorders>
            <w:shd w:val="clear" w:color="auto" w:fill="auto"/>
            <w:vAlign w:val="center"/>
          </w:tcPr>
          <w:p w14:paraId="712C2B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rPr>
                <w:rFonts w:hint="default" w:ascii="Times New Roman" w:hAnsi="Times New Roman" w:cs="Times New Roman"/>
                <w:lang w:eastAsia="zh-CN"/>
              </w:rPr>
            </w:pPr>
          </w:p>
          <w:p w14:paraId="470DBA9B">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center"/>
              <w:outlineLvl w:val="0"/>
              <w:rPr>
                <w:rFonts w:hint="default" w:ascii="Times New Roman" w:hAnsi="Times New Roman" w:eastAsia="仿宋" w:cs="Times New Roman"/>
                <w:sz w:val="28"/>
                <w:szCs w:val="28"/>
                <w:highlight w:val="none"/>
                <w:lang w:val="en-US" w:eastAsia="zh-CN"/>
              </w:rPr>
            </w:pPr>
          </w:p>
          <w:p w14:paraId="69692AC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center"/>
              <w:outlineLvl w:val="0"/>
              <w:rPr>
                <w:rFonts w:hint="default" w:ascii="Times New Roman" w:hAnsi="Times New Roman" w:eastAsia="仿宋" w:cs="Times New Roman"/>
                <w:sz w:val="28"/>
                <w:szCs w:val="28"/>
                <w:highlight w:val="none"/>
                <w:lang w:val="en-US" w:eastAsia="zh-CN"/>
              </w:rPr>
            </w:pPr>
          </w:p>
          <w:p w14:paraId="12B67EE2">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center"/>
              <w:outlineLvl w:val="0"/>
              <w:rPr>
                <w:rFonts w:hint="default" w:ascii="Times New Roman" w:hAnsi="Times New Roman" w:cs="Times New Roman"/>
                <w:i w:val="0"/>
                <w:iCs w:val="0"/>
                <w:color w:val="000000"/>
                <w:sz w:val="22"/>
                <w:szCs w:val="22"/>
                <w:u w:val="none"/>
              </w:rPr>
            </w:pPr>
            <w:r>
              <w:rPr>
                <w:rFonts w:hint="default" w:ascii="Times New Roman" w:hAnsi="Times New Roman" w:eastAsia="仿宋" w:cs="Times New Roman"/>
                <w:sz w:val="28"/>
                <w:szCs w:val="28"/>
                <w:highlight w:val="none"/>
                <w:lang w:val="en-US" w:eastAsia="zh-CN"/>
              </w:rPr>
              <w:t>表2 绿证交易明细样例</w:t>
            </w:r>
          </w:p>
        </w:tc>
      </w:tr>
      <w:tr w14:paraId="65891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382" w:hRule="atLeast"/>
          <w:jc w:val="center"/>
        </w:trPr>
        <w:tc>
          <w:tcPr>
            <w:tcW w:w="4999" w:type="pct"/>
            <w:gridSpan w:val="26"/>
            <w:tcBorders>
              <w:bottom w:val="nil"/>
            </w:tcBorders>
            <w:shd w:val="clear" w:color="auto" w:fill="auto"/>
            <w:vAlign w:val="bottom"/>
          </w:tcPr>
          <w:p w14:paraId="07D396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both"/>
              <w:textAlignment w:val="top"/>
              <w:rPr>
                <w:rFonts w:hint="default" w:ascii="Times New Roman" w:hAnsi="Times New Roman"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绿</w:t>
            </w:r>
            <w:r>
              <w:rPr>
                <w:rFonts w:hint="default" w:ascii="Times New Roman" w:hAnsi="Times New Roman" w:cs="Times New Roman"/>
                <w:i w:val="0"/>
                <w:iCs w:val="0"/>
                <w:color w:val="000000"/>
                <w:kern w:val="0"/>
                <w:sz w:val="18"/>
                <w:szCs w:val="18"/>
                <w:u w:val="none"/>
                <w:lang w:val="en-US" w:eastAsia="zh-CN" w:bidi="ar"/>
              </w:rPr>
              <w:t>证</w:t>
            </w:r>
            <w:r>
              <w:rPr>
                <w:rFonts w:hint="default" w:ascii="Times New Roman" w:hAnsi="Times New Roman" w:eastAsia="宋体" w:cs="Times New Roman"/>
                <w:i w:val="0"/>
                <w:iCs w:val="0"/>
                <w:color w:val="000000"/>
                <w:kern w:val="0"/>
                <w:sz w:val="18"/>
                <w:szCs w:val="18"/>
                <w:u w:val="none"/>
                <w:lang w:val="en-US" w:eastAsia="zh-CN" w:bidi="ar"/>
              </w:rPr>
              <w:t xml:space="preserve">交易明细                                                         </w:t>
            </w:r>
            <w:r>
              <w:rPr>
                <w:rFonts w:hint="default" w:ascii="Times New Roman" w:hAnsi="Times New Roman" w:cs="Times New Roman"/>
                <w:i w:val="0"/>
                <w:iCs w:val="0"/>
                <w:color w:val="000000"/>
                <w:kern w:val="0"/>
                <w:sz w:val="18"/>
                <w:szCs w:val="18"/>
                <w:u w:val="none"/>
                <w:lang w:val="en-US" w:eastAsia="zh-CN" w:bidi="ar"/>
              </w:rPr>
              <w:t xml:space="preserve">          </w:t>
            </w:r>
            <w:r>
              <w:rPr>
                <w:rFonts w:hint="default" w:ascii="Times New Roman" w:hAnsi="Times New Roman" w:eastAsia="宋体" w:cs="Times New Roman"/>
                <w:i w:val="0"/>
                <w:iCs w:val="0"/>
                <w:color w:val="000000"/>
                <w:kern w:val="0"/>
                <w:sz w:val="18"/>
                <w:szCs w:val="18"/>
                <w:u w:val="none"/>
                <w:lang w:val="en-US" w:eastAsia="zh-CN" w:bidi="ar"/>
              </w:rPr>
              <w:t>单位：兆瓦时</w:t>
            </w:r>
          </w:p>
        </w:tc>
      </w:tr>
      <w:tr w14:paraId="2DF9F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661" w:hRule="atLeast"/>
          <w:jc w:val="center"/>
        </w:trPr>
        <w:tc>
          <w:tcPr>
            <w:tcW w:w="122" w:type="pct"/>
            <w:gridSpan w:val="2"/>
            <w:vMerge w:val="restart"/>
            <w:tcBorders>
              <w:top w:val="nil"/>
              <w:right w:val="nil"/>
            </w:tcBorders>
            <w:shd w:val="clear" w:color="auto" w:fill="auto"/>
            <w:vAlign w:val="top"/>
          </w:tcPr>
          <w:p w14:paraId="7486AC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rPr>
                <w:rFonts w:hint="default" w:ascii="Times New Roman" w:hAnsi="Times New Roman" w:cs="Times New Roman"/>
                <w:i w:val="0"/>
                <w:iCs w:val="0"/>
                <w:color w:val="000000"/>
                <w:sz w:val="18"/>
                <w:szCs w:val="18"/>
                <w:u w:val="none"/>
              </w:rPr>
            </w:pPr>
          </w:p>
        </w:tc>
        <w:tc>
          <w:tcPr>
            <w:tcW w:w="336" w:type="pct"/>
            <w:gridSpan w:val="3"/>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71CFCA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序 号</w:t>
            </w:r>
          </w:p>
        </w:tc>
        <w:tc>
          <w:tcPr>
            <w:tcW w:w="569" w:type="pct"/>
            <w:tcBorders>
              <w:top w:val="single" w:color="000000" w:sz="4" w:space="0"/>
              <w:left w:val="single" w:color="000000" w:sz="4" w:space="0"/>
              <w:bottom w:val="single" w:color="auto" w:sz="6" w:space="0"/>
              <w:right w:val="single" w:color="000000" w:sz="4" w:space="0"/>
            </w:tcBorders>
            <w:shd w:val="clear" w:color="auto" w:fill="auto"/>
            <w:vAlign w:val="center"/>
          </w:tcPr>
          <w:p w14:paraId="0A07FE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交易日期</w:t>
            </w:r>
          </w:p>
        </w:tc>
        <w:tc>
          <w:tcPr>
            <w:tcW w:w="811" w:type="pct"/>
            <w:gridSpan w:val="4"/>
            <w:tcBorders>
              <w:top w:val="single" w:color="000000" w:sz="4" w:space="0"/>
              <w:left w:val="single" w:color="000000" w:sz="4" w:space="0"/>
              <w:bottom w:val="single" w:color="auto" w:sz="6" w:space="0"/>
              <w:right w:val="single" w:color="000000" w:sz="4" w:space="0"/>
            </w:tcBorders>
            <w:shd w:val="clear" w:color="auto" w:fill="auto"/>
            <w:vAlign w:val="center"/>
          </w:tcPr>
          <w:p w14:paraId="0840C1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绿证编号</w:t>
            </w:r>
          </w:p>
        </w:tc>
        <w:tc>
          <w:tcPr>
            <w:tcW w:w="667" w:type="pct"/>
            <w:gridSpan w:val="2"/>
            <w:tcBorders>
              <w:top w:val="single" w:color="000000" w:sz="4" w:space="0"/>
              <w:left w:val="single" w:color="000000" w:sz="4" w:space="0"/>
              <w:bottom w:val="single" w:color="auto" w:sz="6" w:space="0"/>
              <w:right w:val="single" w:color="000000" w:sz="4" w:space="0"/>
            </w:tcBorders>
            <w:shd w:val="clear" w:color="auto" w:fill="auto"/>
            <w:vAlign w:val="center"/>
          </w:tcPr>
          <w:p w14:paraId="6565F3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售方名称</w:t>
            </w:r>
          </w:p>
        </w:tc>
        <w:tc>
          <w:tcPr>
            <w:tcW w:w="621"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7D2ED9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项目名称</w:t>
            </w:r>
          </w:p>
        </w:tc>
        <w:tc>
          <w:tcPr>
            <w:tcW w:w="588"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10D592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项目</w:t>
            </w:r>
            <w:r>
              <w:rPr>
                <w:rFonts w:hint="default" w:ascii="Times New Roman" w:hAnsi="Times New Roman" w:eastAsia="宋体" w:cs="Times New Roman"/>
                <w:i w:val="0"/>
                <w:iCs w:val="0"/>
                <w:color w:val="000000"/>
                <w:kern w:val="0"/>
                <w:sz w:val="18"/>
                <w:szCs w:val="18"/>
                <w:u w:val="none"/>
                <w:lang w:val="en-US" w:eastAsia="zh-CN" w:bidi="ar"/>
              </w:rPr>
              <w:t>类型</w:t>
            </w:r>
          </w:p>
        </w:tc>
        <w:tc>
          <w:tcPr>
            <w:tcW w:w="582"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3036AD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绿证交易平台</w:t>
            </w:r>
          </w:p>
        </w:tc>
        <w:tc>
          <w:tcPr>
            <w:tcW w:w="576" w:type="pct"/>
            <w:tcBorders>
              <w:top w:val="single" w:color="000000" w:sz="4" w:space="0"/>
              <w:left w:val="single" w:color="000000" w:sz="4" w:space="0"/>
              <w:bottom w:val="single" w:color="auto" w:sz="6" w:space="0"/>
              <w:right w:val="single" w:color="000000" w:sz="4" w:space="0"/>
            </w:tcBorders>
            <w:shd w:val="clear" w:color="auto" w:fill="auto"/>
            <w:vAlign w:val="center"/>
          </w:tcPr>
          <w:p w14:paraId="558D5E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折算电量</w:t>
            </w:r>
          </w:p>
        </w:tc>
        <w:tc>
          <w:tcPr>
            <w:tcW w:w="123" w:type="pct"/>
            <w:gridSpan w:val="4"/>
            <w:vMerge w:val="restart"/>
            <w:tcBorders>
              <w:top w:val="nil"/>
              <w:left w:val="nil"/>
            </w:tcBorders>
            <w:shd w:val="clear" w:color="auto" w:fill="auto"/>
            <w:vAlign w:val="top"/>
          </w:tcPr>
          <w:p w14:paraId="554410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2151A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980" w:hRule="atLeast"/>
          <w:jc w:val="center"/>
        </w:trPr>
        <w:tc>
          <w:tcPr>
            <w:tcW w:w="122" w:type="pct"/>
            <w:gridSpan w:val="2"/>
            <w:vMerge w:val="continue"/>
            <w:tcBorders>
              <w:right w:val="nil"/>
            </w:tcBorders>
            <w:shd w:val="clear" w:color="auto" w:fill="auto"/>
            <w:vAlign w:val="top"/>
          </w:tcPr>
          <w:p w14:paraId="5819CF1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rPr>
                <w:rFonts w:hint="default" w:ascii="Times New Roman" w:hAnsi="Times New Roman" w:cs="Times New Roman"/>
                <w:i w:val="0"/>
                <w:iCs w:val="0"/>
                <w:color w:val="000000"/>
                <w:sz w:val="18"/>
                <w:szCs w:val="18"/>
                <w:u w:val="none"/>
              </w:rPr>
            </w:pPr>
          </w:p>
        </w:tc>
        <w:tc>
          <w:tcPr>
            <w:tcW w:w="336"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18EB5D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1</w:t>
            </w:r>
          </w:p>
        </w:tc>
        <w:tc>
          <w:tcPr>
            <w:tcW w:w="569" w:type="pct"/>
            <w:tcBorders>
              <w:top w:val="single" w:color="auto" w:sz="6" w:space="0"/>
              <w:left w:val="single" w:color="auto" w:sz="6" w:space="0"/>
              <w:bottom w:val="single" w:color="auto" w:sz="6" w:space="0"/>
              <w:right w:val="single" w:color="auto" w:sz="6" w:space="0"/>
            </w:tcBorders>
            <w:shd w:val="clear" w:color="auto" w:fill="auto"/>
            <w:vAlign w:val="center"/>
          </w:tcPr>
          <w:p w14:paraId="7FA061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2024年6月</w:t>
            </w:r>
            <w:r>
              <w:rPr>
                <w:rFonts w:hint="default" w:ascii="Times New Roman" w:hAnsi="Times New Roman" w:cs="Times New Roman"/>
                <w:i w:val="0"/>
                <w:iCs w:val="0"/>
                <w:color w:val="000000"/>
                <w:kern w:val="0"/>
                <w:sz w:val="18"/>
                <w:szCs w:val="18"/>
                <w:u w:val="none"/>
                <w:lang w:val="en-US" w:eastAsia="zh-CN" w:bidi="ar"/>
              </w:rPr>
              <w:t>13日</w:t>
            </w:r>
          </w:p>
        </w:tc>
        <w:tc>
          <w:tcPr>
            <w:tcW w:w="811" w:type="pct"/>
            <w:gridSpan w:val="4"/>
            <w:tcBorders>
              <w:top w:val="single" w:color="auto" w:sz="6" w:space="0"/>
              <w:left w:val="single" w:color="auto" w:sz="6" w:space="0"/>
              <w:bottom w:val="single" w:color="auto" w:sz="6" w:space="0"/>
              <w:right w:val="single" w:color="auto" w:sz="6" w:space="0"/>
            </w:tcBorders>
            <w:shd w:val="clear" w:color="auto" w:fill="auto"/>
            <w:vAlign w:val="center"/>
          </w:tcPr>
          <w:p w14:paraId="3C8F51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PFC22106529280017024030001000XX</w:t>
            </w:r>
          </w:p>
        </w:tc>
        <w:tc>
          <w:tcPr>
            <w:tcW w:w="667" w:type="pct"/>
            <w:gridSpan w:val="2"/>
            <w:tcBorders>
              <w:top w:val="single" w:color="auto" w:sz="6" w:space="0"/>
              <w:left w:val="single" w:color="auto" w:sz="6" w:space="0"/>
              <w:bottom w:val="single" w:color="auto" w:sz="6" w:space="0"/>
              <w:right w:val="single" w:color="auto" w:sz="6" w:space="0"/>
            </w:tcBorders>
            <w:shd w:val="clear" w:color="auto" w:fill="auto"/>
            <w:vAlign w:val="center"/>
          </w:tcPr>
          <w:p w14:paraId="242961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上海XXX电力有限公司</w:t>
            </w:r>
          </w:p>
        </w:tc>
        <w:tc>
          <w:tcPr>
            <w:tcW w:w="621"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026B49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宁夏XXX200MW光伏项目</w:t>
            </w:r>
          </w:p>
        </w:tc>
        <w:tc>
          <w:tcPr>
            <w:tcW w:w="588"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02F1F7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光伏</w:t>
            </w:r>
          </w:p>
        </w:tc>
        <w:tc>
          <w:tcPr>
            <w:tcW w:w="582"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1FE202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北京电力交易平台</w:t>
            </w:r>
          </w:p>
        </w:tc>
        <w:tc>
          <w:tcPr>
            <w:tcW w:w="576" w:type="pct"/>
            <w:tcBorders>
              <w:top w:val="single" w:color="auto" w:sz="6" w:space="0"/>
              <w:left w:val="single" w:color="auto" w:sz="6" w:space="0"/>
              <w:bottom w:val="single" w:color="auto" w:sz="6" w:space="0"/>
              <w:right w:val="single" w:color="auto" w:sz="6" w:space="0"/>
            </w:tcBorders>
            <w:shd w:val="clear" w:color="auto" w:fill="auto"/>
            <w:vAlign w:val="center"/>
          </w:tcPr>
          <w:p w14:paraId="35116A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lang w:val="en-US"/>
              </w:rPr>
            </w:pPr>
            <w:r>
              <w:rPr>
                <w:rFonts w:hint="default" w:ascii="Times New Roman" w:hAnsi="Times New Roman" w:cs="Times New Roman"/>
                <w:i w:val="0"/>
                <w:iCs w:val="0"/>
                <w:color w:val="000000"/>
                <w:kern w:val="0"/>
                <w:sz w:val="18"/>
                <w:szCs w:val="18"/>
                <w:u w:val="none"/>
                <w:lang w:val="en-US" w:eastAsia="zh-CN" w:bidi="ar"/>
              </w:rPr>
              <w:t>15000</w:t>
            </w:r>
          </w:p>
        </w:tc>
        <w:tc>
          <w:tcPr>
            <w:tcW w:w="123" w:type="pct"/>
            <w:gridSpan w:val="4"/>
            <w:vMerge w:val="continue"/>
            <w:tcBorders>
              <w:left w:val="nil"/>
            </w:tcBorders>
            <w:shd w:val="clear" w:color="auto" w:fill="auto"/>
            <w:vAlign w:val="top"/>
          </w:tcPr>
          <w:p w14:paraId="5CDEB7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6B524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298" w:hRule="atLeast"/>
          <w:jc w:val="center"/>
        </w:trPr>
        <w:tc>
          <w:tcPr>
            <w:tcW w:w="122" w:type="pct"/>
            <w:gridSpan w:val="2"/>
            <w:tcBorders>
              <w:bottom w:val="nil"/>
              <w:right w:val="single" w:color="auto" w:sz="6" w:space="0"/>
            </w:tcBorders>
            <w:shd w:val="clear" w:color="auto" w:fill="auto"/>
            <w:vAlign w:val="top"/>
          </w:tcPr>
          <w:p w14:paraId="7D45BF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rPr>
                <w:rFonts w:hint="default" w:ascii="Times New Roman" w:hAnsi="Times New Roman" w:cs="Times New Roman"/>
                <w:i w:val="0"/>
                <w:iCs w:val="0"/>
                <w:color w:val="000000"/>
                <w:sz w:val="18"/>
                <w:szCs w:val="18"/>
                <w:u w:val="none"/>
              </w:rPr>
            </w:pPr>
          </w:p>
        </w:tc>
        <w:tc>
          <w:tcPr>
            <w:tcW w:w="4177" w:type="pct"/>
            <w:gridSpan w:val="19"/>
            <w:tcBorders>
              <w:top w:val="single" w:color="auto" w:sz="6" w:space="0"/>
              <w:left w:val="single" w:color="auto" w:sz="6" w:space="0"/>
              <w:bottom w:val="single" w:color="auto" w:sz="6" w:space="0"/>
              <w:right w:val="single" w:color="auto" w:sz="6" w:space="0"/>
            </w:tcBorders>
            <w:shd w:val="clear" w:color="auto" w:fill="auto"/>
            <w:vAlign w:val="center"/>
          </w:tcPr>
          <w:p w14:paraId="19CDCB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合计</w:t>
            </w:r>
          </w:p>
        </w:tc>
        <w:tc>
          <w:tcPr>
            <w:tcW w:w="576" w:type="pct"/>
            <w:tcBorders>
              <w:top w:val="single" w:color="auto" w:sz="6" w:space="0"/>
              <w:left w:val="single" w:color="auto" w:sz="6" w:space="0"/>
              <w:bottom w:val="single" w:color="auto" w:sz="6" w:space="0"/>
              <w:right w:val="single" w:color="auto" w:sz="6" w:space="0"/>
            </w:tcBorders>
            <w:shd w:val="clear" w:color="auto" w:fill="auto"/>
            <w:vAlign w:val="center"/>
          </w:tcPr>
          <w:p w14:paraId="0707F5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b/>
                <w:bCs/>
                <w:i w:val="0"/>
                <w:iCs w:val="0"/>
                <w:color w:val="000000"/>
                <w:kern w:val="0"/>
                <w:sz w:val="18"/>
                <w:szCs w:val="18"/>
                <w:u w:val="none"/>
                <w:lang w:val="en-US" w:eastAsia="zh-CN" w:bidi="ar"/>
              </w:rPr>
              <w:t>15000</w:t>
            </w:r>
          </w:p>
        </w:tc>
        <w:tc>
          <w:tcPr>
            <w:tcW w:w="123" w:type="pct"/>
            <w:gridSpan w:val="4"/>
            <w:tcBorders>
              <w:left w:val="single" w:color="auto" w:sz="6" w:space="0"/>
              <w:bottom w:val="nil"/>
            </w:tcBorders>
            <w:shd w:val="clear" w:color="auto" w:fill="auto"/>
            <w:vAlign w:val="top"/>
          </w:tcPr>
          <w:p w14:paraId="2D52AD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52403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0" w:type="pct"/>
          <w:trHeight w:val="135" w:hRule="atLeast"/>
          <w:jc w:val="center"/>
        </w:trPr>
        <w:tc>
          <w:tcPr>
            <w:tcW w:w="4999" w:type="pct"/>
            <w:gridSpan w:val="26"/>
            <w:tcBorders>
              <w:top w:val="nil"/>
            </w:tcBorders>
            <w:shd w:val="clear" w:color="auto" w:fill="auto"/>
            <w:vAlign w:val="top"/>
          </w:tcPr>
          <w:p w14:paraId="5423BFDF">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ind w:leftChars="0" w:firstLine="560" w:firstLineChars="200"/>
              <w:outlineLvl w:val="0"/>
              <w:rPr>
                <w:rFonts w:hint="default" w:ascii="Times New Roman" w:hAnsi="Times New Roman" w:eastAsia="仿宋" w:cs="Times New Roman"/>
                <w:sz w:val="28"/>
                <w:szCs w:val="28"/>
                <w:highlight w:val="none"/>
                <w:lang w:val="en-US" w:eastAsia="zh-CN"/>
              </w:rPr>
            </w:pPr>
          </w:p>
          <w:p w14:paraId="00FF2B88">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center"/>
              <w:outlineLvl w:val="0"/>
              <w:rPr>
                <w:rFonts w:hint="default" w:ascii="Times New Roman" w:hAnsi="Times New Roman" w:cs="Times New Roman"/>
                <w:i w:val="0"/>
                <w:iCs w:val="0"/>
                <w:color w:val="000000"/>
                <w:sz w:val="22"/>
                <w:szCs w:val="22"/>
                <w:u w:val="none"/>
              </w:rPr>
            </w:pPr>
            <w:r>
              <w:rPr>
                <w:rFonts w:hint="default" w:ascii="Times New Roman" w:hAnsi="Times New Roman" w:eastAsia="仿宋" w:cs="Times New Roman"/>
                <w:sz w:val="28"/>
                <w:szCs w:val="28"/>
                <w:highlight w:val="none"/>
                <w:lang w:val="en-US" w:eastAsia="zh-CN"/>
              </w:rPr>
              <w:t>表3 自发自用明细样例</w:t>
            </w:r>
          </w:p>
        </w:tc>
      </w:tr>
      <w:tr w14:paraId="67E16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 w:type="pct"/>
          <w:trHeight w:val="275" w:hRule="atLeast"/>
          <w:jc w:val="center"/>
        </w:trPr>
        <w:tc>
          <w:tcPr>
            <w:tcW w:w="4998" w:type="pct"/>
            <w:gridSpan w:val="25"/>
            <w:tcBorders>
              <w:top w:val="single" w:color="000000" w:sz="4" w:space="0"/>
              <w:left w:val="single" w:color="000000" w:sz="4" w:space="0"/>
              <w:bottom w:val="nil"/>
              <w:right w:val="single" w:color="000000" w:sz="4" w:space="0"/>
            </w:tcBorders>
            <w:shd w:val="clear" w:color="auto" w:fill="auto"/>
            <w:vAlign w:val="bottom"/>
          </w:tcPr>
          <w:p w14:paraId="1987C8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360" w:firstLineChars="200"/>
              <w:jc w:val="both"/>
              <w:textAlignment w:val="top"/>
              <w:rPr>
                <w:rFonts w:hint="default" w:ascii="Times New Roman" w:hAnsi="Times New Roman"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自发自用</w:t>
            </w:r>
            <w:r>
              <w:rPr>
                <w:rFonts w:hint="default" w:ascii="Times New Roman" w:hAnsi="Times New Roman" w:eastAsia="宋体" w:cs="Times New Roman"/>
                <w:i w:val="0"/>
                <w:iCs w:val="0"/>
                <w:color w:val="000000"/>
                <w:kern w:val="0"/>
                <w:sz w:val="18"/>
                <w:szCs w:val="18"/>
                <w:u w:val="none"/>
                <w:lang w:val="en-US" w:eastAsia="zh-CN" w:bidi="ar"/>
              </w:rPr>
              <w:t xml:space="preserve">明细                                        </w:t>
            </w:r>
            <w:r>
              <w:rPr>
                <w:rFonts w:hint="default" w:ascii="Times New Roman" w:hAnsi="Times New Roman" w:cs="Times New Roman"/>
                <w:i w:val="0"/>
                <w:iCs w:val="0"/>
                <w:color w:val="000000"/>
                <w:kern w:val="0"/>
                <w:sz w:val="18"/>
                <w:szCs w:val="18"/>
                <w:u w:val="none"/>
                <w:lang w:val="en-US" w:eastAsia="zh-CN" w:bidi="ar"/>
              </w:rPr>
              <w:t xml:space="preserve">                           </w:t>
            </w:r>
            <w:r>
              <w:rPr>
                <w:rFonts w:hint="default" w:ascii="Times New Roman" w:hAnsi="Times New Roman" w:eastAsia="宋体" w:cs="Times New Roman"/>
                <w:i w:val="0"/>
                <w:iCs w:val="0"/>
                <w:color w:val="000000"/>
                <w:kern w:val="0"/>
                <w:sz w:val="18"/>
                <w:szCs w:val="18"/>
                <w:u w:val="none"/>
                <w:lang w:val="en-US" w:eastAsia="zh-CN" w:bidi="ar"/>
              </w:rPr>
              <w:t>单位：兆瓦时</w:t>
            </w:r>
          </w:p>
        </w:tc>
      </w:tr>
      <w:tr w14:paraId="0DD16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 w:type="pct"/>
          <w:trHeight w:val="466" w:hRule="atLeast"/>
          <w:jc w:val="center"/>
        </w:trPr>
        <w:tc>
          <w:tcPr>
            <w:tcW w:w="122" w:type="pct"/>
            <w:gridSpan w:val="2"/>
            <w:vMerge w:val="restart"/>
            <w:tcBorders>
              <w:top w:val="nil"/>
              <w:left w:val="single" w:color="000000" w:sz="4" w:space="0"/>
              <w:right w:val="nil"/>
            </w:tcBorders>
            <w:shd w:val="clear" w:color="auto" w:fill="auto"/>
            <w:vAlign w:val="top"/>
          </w:tcPr>
          <w:p w14:paraId="6281E0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303" w:type="pct"/>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384538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序 号</w:t>
            </w:r>
          </w:p>
        </w:tc>
        <w:tc>
          <w:tcPr>
            <w:tcW w:w="667" w:type="pct"/>
            <w:gridSpan w:val="5"/>
            <w:tcBorders>
              <w:top w:val="single" w:color="000000" w:sz="4" w:space="0"/>
              <w:left w:val="single" w:color="000000" w:sz="4" w:space="0"/>
              <w:bottom w:val="single" w:color="auto" w:sz="6" w:space="0"/>
              <w:right w:val="single" w:color="000000" w:sz="4" w:space="0"/>
            </w:tcBorders>
            <w:shd w:val="clear" w:color="auto" w:fill="auto"/>
            <w:vAlign w:val="center"/>
          </w:tcPr>
          <w:p w14:paraId="0EB355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用电月份</w:t>
            </w:r>
          </w:p>
        </w:tc>
        <w:tc>
          <w:tcPr>
            <w:tcW w:w="1080"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1E9817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项目名称</w:t>
            </w:r>
          </w:p>
        </w:tc>
        <w:tc>
          <w:tcPr>
            <w:tcW w:w="673" w:type="pct"/>
            <w:gridSpan w:val="2"/>
            <w:tcBorders>
              <w:top w:val="single" w:color="000000" w:sz="4" w:space="0"/>
              <w:left w:val="single" w:color="000000" w:sz="4" w:space="0"/>
              <w:bottom w:val="single" w:color="auto" w:sz="6" w:space="0"/>
              <w:right w:val="single" w:color="000000" w:sz="4" w:space="0"/>
            </w:tcBorders>
            <w:shd w:val="clear" w:color="auto" w:fill="auto"/>
            <w:vAlign w:val="center"/>
          </w:tcPr>
          <w:p w14:paraId="51C357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项目类型</w:t>
            </w:r>
          </w:p>
        </w:tc>
        <w:tc>
          <w:tcPr>
            <w:tcW w:w="588"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0C6B19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发电量</w:t>
            </w:r>
          </w:p>
        </w:tc>
        <w:tc>
          <w:tcPr>
            <w:tcW w:w="642" w:type="pct"/>
            <w:gridSpan w:val="3"/>
            <w:tcBorders>
              <w:top w:val="single" w:color="000000" w:sz="4" w:space="0"/>
              <w:left w:val="single" w:color="000000" w:sz="4" w:space="0"/>
              <w:bottom w:val="single" w:color="auto" w:sz="6" w:space="0"/>
              <w:right w:val="single" w:color="000000" w:sz="4" w:space="0"/>
            </w:tcBorders>
            <w:shd w:val="clear" w:color="auto" w:fill="auto"/>
            <w:vAlign w:val="center"/>
          </w:tcPr>
          <w:p w14:paraId="2F8B83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上网电量</w:t>
            </w:r>
          </w:p>
        </w:tc>
        <w:tc>
          <w:tcPr>
            <w:tcW w:w="802" w:type="pct"/>
            <w:gridSpan w:val="4"/>
            <w:tcBorders>
              <w:top w:val="single" w:color="000000" w:sz="4" w:space="0"/>
              <w:left w:val="single" w:color="000000" w:sz="4" w:space="0"/>
              <w:bottom w:val="single" w:color="auto" w:sz="6" w:space="0"/>
              <w:right w:val="single" w:color="000000" w:sz="4" w:space="0"/>
            </w:tcBorders>
            <w:shd w:val="clear" w:color="auto" w:fill="auto"/>
            <w:vAlign w:val="center"/>
          </w:tcPr>
          <w:p w14:paraId="7A5A96D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自发自用电量</w:t>
            </w:r>
          </w:p>
        </w:tc>
        <w:tc>
          <w:tcPr>
            <w:tcW w:w="119" w:type="pct"/>
            <w:gridSpan w:val="2"/>
            <w:vMerge w:val="restart"/>
            <w:tcBorders>
              <w:top w:val="nil"/>
              <w:left w:val="nil"/>
              <w:right w:val="single" w:color="000000" w:sz="4" w:space="0"/>
            </w:tcBorders>
            <w:shd w:val="clear" w:color="auto" w:fill="auto"/>
            <w:vAlign w:val="top"/>
          </w:tcPr>
          <w:p w14:paraId="7A3B80A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30787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 w:type="pct"/>
          <w:trHeight w:val="691" w:hRule="atLeast"/>
          <w:jc w:val="center"/>
        </w:trPr>
        <w:tc>
          <w:tcPr>
            <w:tcW w:w="122" w:type="pct"/>
            <w:gridSpan w:val="2"/>
            <w:vMerge w:val="continue"/>
            <w:tcBorders>
              <w:left w:val="single" w:color="000000" w:sz="4" w:space="0"/>
              <w:right w:val="nil"/>
            </w:tcBorders>
            <w:shd w:val="clear" w:color="auto" w:fill="auto"/>
            <w:vAlign w:val="top"/>
          </w:tcPr>
          <w:p w14:paraId="2CEC21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303" w:type="pct"/>
            <w:tcBorders>
              <w:top w:val="single" w:color="auto" w:sz="6" w:space="0"/>
              <w:left w:val="single" w:color="auto" w:sz="6" w:space="0"/>
              <w:bottom w:val="single" w:color="auto" w:sz="6" w:space="0"/>
              <w:right w:val="single" w:color="auto" w:sz="6" w:space="0"/>
            </w:tcBorders>
            <w:shd w:val="clear" w:color="auto" w:fill="auto"/>
            <w:vAlign w:val="center"/>
          </w:tcPr>
          <w:p w14:paraId="0835E6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1</w:t>
            </w:r>
          </w:p>
        </w:tc>
        <w:tc>
          <w:tcPr>
            <w:tcW w:w="667" w:type="pct"/>
            <w:gridSpan w:val="5"/>
            <w:tcBorders>
              <w:top w:val="single" w:color="auto" w:sz="6" w:space="0"/>
              <w:left w:val="single" w:color="auto" w:sz="6" w:space="0"/>
              <w:bottom w:val="single" w:color="auto" w:sz="6" w:space="0"/>
              <w:right w:val="single" w:color="auto" w:sz="6" w:space="0"/>
            </w:tcBorders>
            <w:shd w:val="clear" w:color="auto" w:fill="auto"/>
            <w:vAlign w:val="center"/>
          </w:tcPr>
          <w:p w14:paraId="16FC7B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2024年6月</w:t>
            </w:r>
            <w:r>
              <w:rPr>
                <w:rFonts w:hint="default" w:ascii="Times New Roman" w:hAnsi="Times New Roman" w:cs="Times New Roman"/>
                <w:i w:val="0"/>
                <w:iCs w:val="0"/>
                <w:color w:val="000000"/>
                <w:kern w:val="0"/>
                <w:sz w:val="18"/>
                <w:szCs w:val="18"/>
                <w:u w:val="none"/>
                <w:lang w:val="en-US" w:eastAsia="zh-CN" w:bidi="ar"/>
              </w:rPr>
              <w:t>13日</w:t>
            </w:r>
          </w:p>
        </w:tc>
        <w:tc>
          <w:tcPr>
            <w:tcW w:w="1080"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5B860A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上海XXX有限公司发电项目</w:t>
            </w:r>
          </w:p>
        </w:tc>
        <w:tc>
          <w:tcPr>
            <w:tcW w:w="673" w:type="pct"/>
            <w:gridSpan w:val="2"/>
            <w:tcBorders>
              <w:top w:val="single" w:color="auto" w:sz="6" w:space="0"/>
              <w:left w:val="single" w:color="auto" w:sz="6" w:space="0"/>
              <w:bottom w:val="single" w:color="auto" w:sz="6" w:space="0"/>
              <w:right w:val="single" w:color="auto" w:sz="6" w:space="0"/>
            </w:tcBorders>
            <w:shd w:val="clear" w:color="auto" w:fill="auto"/>
            <w:vAlign w:val="center"/>
          </w:tcPr>
          <w:p w14:paraId="469C40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光伏</w:t>
            </w:r>
          </w:p>
        </w:tc>
        <w:tc>
          <w:tcPr>
            <w:tcW w:w="588" w:type="pct"/>
            <w:gridSpan w:val="3"/>
            <w:tcBorders>
              <w:top w:val="single" w:color="auto" w:sz="6" w:space="0"/>
              <w:left w:val="single" w:color="auto" w:sz="6" w:space="0"/>
              <w:bottom w:val="single" w:color="auto" w:sz="4" w:space="0"/>
              <w:right w:val="single" w:color="auto" w:sz="6" w:space="0"/>
            </w:tcBorders>
            <w:shd w:val="clear" w:color="auto" w:fill="auto"/>
            <w:vAlign w:val="center"/>
          </w:tcPr>
          <w:p w14:paraId="446F1F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3000</w:t>
            </w:r>
          </w:p>
        </w:tc>
        <w:tc>
          <w:tcPr>
            <w:tcW w:w="642" w:type="pct"/>
            <w:gridSpan w:val="3"/>
            <w:tcBorders>
              <w:top w:val="single" w:color="auto" w:sz="6" w:space="0"/>
              <w:left w:val="single" w:color="auto" w:sz="6" w:space="0"/>
              <w:bottom w:val="single" w:color="auto" w:sz="6" w:space="0"/>
              <w:right w:val="single" w:color="auto" w:sz="6" w:space="0"/>
            </w:tcBorders>
            <w:shd w:val="clear" w:color="auto" w:fill="auto"/>
            <w:vAlign w:val="center"/>
          </w:tcPr>
          <w:p w14:paraId="5CE936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1000</w:t>
            </w:r>
          </w:p>
        </w:tc>
        <w:tc>
          <w:tcPr>
            <w:tcW w:w="802" w:type="pct"/>
            <w:gridSpan w:val="4"/>
            <w:tcBorders>
              <w:top w:val="single" w:color="auto" w:sz="6" w:space="0"/>
              <w:left w:val="single" w:color="auto" w:sz="6" w:space="0"/>
              <w:bottom w:val="single" w:color="auto" w:sz="6" w:space="0"/>
              <w:right w:val="single" w:color="auto" w:sz="6" w:space="0"/>
            </w:tcBorders>
            <w:shd w:val="clear" w:color="auto" w:fill="auto"/>
            <w:vAlign w:val="center"/>
          </w:tcPr>
          <w:p w14:paraId="1A175E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2000</w:t>
            </w:r>
          </w:p>
        </w:tc>
        <w:tc>
          <w:tcPr>
            <w:tcW w:w="119" w:type="pct"/>
            <w:gridSpan w:val="2"/>
            <w:vMerge w:val="continue"/>
            <w:tcBorders>
              <w:left w:val="nil"/>
              <w:right w:val="single" w:color="000000" w:sz="4" w:space="0"/>
            </w:tcBorders>
            <w:shd w:val="clear" w:color="auto" w:fill="auto"/>
            <w:vAlign w:val="top"/>
          </w:tcPr>
          <w:p w14:paraId="43A61B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32517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 w:type="pct"/>
          <w:trHeight w:val="347" w:hRule="atLeast"/>
          <w:jc w:val="center"/>
        </w:trPr>
        <w:tc>
          <w:tcPr>
            <w:tcW w:w="122" w:type="pct"/>
            <w:gridSpan w:val="2"/>
            <w:tcBorders>
              <w:left w:val="single" w:color="000000" w:sz="4" w:space="0"/>
              <w:bottom w:val="nil"/>
              <w:right w:val="single" w:color="auto" w:sz="6" w:space="0"/>
            </w:tcBorders>
            <w:shd w:val="clear" w:color="auto" w:fill="auto"/>
            <w:vAlign w:val="top"/>
          </w:tcPr>
          <w:p w14:paraId="02D6B0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2724" w:type="pct"/>
            <w:gridSpan w:val="11"/>
            <w:tcBorders>
              <w:top w:val="single" w:color="auto" w:sz="6" w:space="0"/>
              <w:left w:val="single" w:color="auto" w:sz="6" w:space="0"/>
              <w:bottom w:val="single" w:color="auto" w:sz="6" w:space="0"/>
              <w:right w:val="single" w:color="auto" w:sz="4" w:space="0"/>
            </w:tcBorders>
            <w:shd w:val="clear" w:color="auto" w:fill="auto"/>
            <w:vAlign w:val="center"/>
          </w:tcPr>
          <w:p w14:paraId="3232B7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合计</w:t>
            </w:r>
          </w:p>
        </w:tc>
        <w:tc>
          <w:tcPr>
            <w:tcW w:w="58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346D8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i w:val="0"/>
                <w:iCs w:val="0"/>
                <w:color w:val="000000"/>
                <w:kern w:val="0"/>
                <w:sz w:val="18"/>
                <w:szCs w:val="18"/>
                <w:u w:val="none"/>
                <w:lang w:val="en-US" w:eastAsia="zh-CN" w:bidi="ar"/>
              </w:rPr>
              <w:t>3000</w:t>
            </w:r>
          </w:p>
        </w:tc>
        <w:tc>
          <w:tcPr>
            <w:tcW w:w="642" w:type="pct"/>
            <w:gridSpan w:val="3"/>
            <w:tcBorders>
              <w:top w:val="single" w:color="auto" w:sz="6" w:space="0"/>
              <w:left w:val="single" w:color="auto" w:sz="4" w:space="0"/>
              <w:bottom w:val="single" w:color="auto" w:sz="6" w:space="0"/>
              <w:right w:val="single" w:color="auto" w:sz="6" w:space="0"/>
            </w:tcBorders>
            <w:shd w:val="clear" w:color="auto" w:fill="auto"/>
            <w:vAlign w:val="center"/>
          </w:tcPr>
          <w:p w14:paraId="78CEB2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i w:val="0"/>
                <w:iCs w:val="0"/>
                <w:color w:val="000000"/>
                <w:kern w:val="0"/>
                <w:sz w:val="18"/>
                <w:szCs w:val="18"/>
                <w:u w:val="none"/>
                <w:lang w:val="en-US" w:eastAsia="zh-CN" w:bidi="ar"/>
              </w:rPr>
              <w:t>1000</w:t>
            </w:r>
          </w:p>
        </w:tc>
        <w:tc>
          <w:tcPr>
            <w:tcW w:w="802" w:type="pct"/>
            <w:gridSpan w:val="4"/>
            <w:tcBorders>
              <w:top w:val="single" w:color="auto" w:sz="6" w:space="0"/>
              <w:left w:val="single" w:color="auto" w:sz="6" w:space="0"/>
              <w:bottom w:val="single" w:color="auto" w:sz="6" w:space="0"/>
              <w:right w:val="single" w:color="auto" w:sz="6" w:space="0"/>
            </w:tcBorders>
            <w:shd w:val="clear" w:color="auto" w:fill="auto"/>
            <w:vAlign w:val="center"/>
          </w:tcPr>
          <w:p w14:paraId="6AAFE7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b/>
                <w:bCs/>
                <w:i w:val="0"/>
                <w:iCs w:val="0"/>
                <w:color w:val="000000"/>
                <w:kern w:val="0"/>
                <w:sz w:val="18"/>
                <w:szCs w:val="18"/>
                <w:u w:val="none"/>
                <w:lang w:val="en-US" w:eastAsia="zh-CN" w:bidi="ar"/>
              </w:rPr>
              <w:t>2000</w:t>
            </w:r>
          </w:p>
        </w:tc>
        <w:tc>
          <w:tcPr>
            <w:tcW w:w="119" w:type="pct"/>
            <w:gridSpan w:val="2"/>
            <w:tcBorders>
              <w:left w:val="single" w:color="auto" w:sz="6" w:space="0"/>
              <w:bottom w:val="nil"/>
              <w:right w:val="single" w:color="000000" w:sz="4" w:space="0"/>
            </w:tcBorders>
            <w:shd w:val="clear" w:color="auto" w:fill="auto"/>
            <w:vAlign w:val="top"/>
          </w:tcPr>
          <w:p w14:paraId="7C83E8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0D293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1" w:type="pct"/>
          <w:trHeight w:val="135" w:hRule="atLeast"/>
          <w:jc w:val="center"/>
        </w:trPr>
        <w:tc>
          <w:tcPr>
            <w:tcW w:w="4998" w:type="pct"/>
            <w:gridSpan w:val="25"/>
            <w:tcBorders>
              <w:top w:val="nil"/>
              <w:left w:val="single" w:color="000000" w:sz="4" w:space="0"/>
              <w:bottom w:val="single" w:color="000000" w:sz="4" w:space="0"/>
              <w:right w:val="single" w:color="000000" w:sz="4" w:space="0"/>
            </w:tcBorders>
            <w:shd w:val="clear" w:color="auto" w:fill="auto"/>
            <w:vAlign w:val="top"/>
          </w:tcPr>
          <w:p w14:paraId="106C65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rPr>
                <w:rFonts w:hint="default" w:ascii="Times New Roman" w:hAnsi="Times New Roman" w:cs="Times New Roman"/>
                <w:i w:val="0"/>
                <w:iCs w:val="0"/>
                <w:color w:val="000000"/>
                <w:sz w:val="22"/>
                <w:szCs w:val="22"/>
                <w:u w:val="none"/>
              </w:rPr>
            </w:pPr>
          </w:p>
        </w:tc>
      </w:tr>
    </w:tbl>
    <w:p w14:paraId="33994338">
      <w:pPr>
        <w:pStyle w:val="35"/>
        <w:keepNext w:val="0"/>
        <w:keepLines w:val="0"/>
        <w:pageBreakBefore w:val="0"/>
        <w:widowControl w:val="0"/>
        <w:numPr>
          <w:ilvl w:val="1"/>
          <w:numId w:val="0"/>
        </w:numPr>
        <w:topLinePunct w:val="0"/>
        <w:bidi w:val="0"/>
        <w:spacing w:before="0" w:beforeLines="0" w:after="0" w:afterLines="0" w:line="240" w:lineRule="auto"/>
        <w:rPr>
          <w:rFonts w:hint="default" w:ascii="Times New Roman" w:hAnsi="Times New Roman" w:eastAsia="宋体" w:cs="Times New Roman"/>
          <w:szCs w:val="24"/>
          <w:lang w:eastAsia="zh-CN"/>
        </w:rPr>
      </w:pPr>
    </w:p>
    <w:p w14:paraId="0E89BF9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center"/>
        <w:outlineLvl w:val="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表4专线直供明细样例</w:t>
      </w:r>
    </w:p>
    <w:tbl>
      <w:tblPr>
        <w:tblStyle w:val="24"/>
        <w:tblW w:w="5249"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9"/>
        <w:gridCol w:w="544"/>
        <w:gridCol w:w="989"/>
        <w:gridCol w:w="1296"/>
        <w:gridCol w:w="1475"/>
        <w:gridCol w:w="936"/>
        <w:gridCol w:w="884"/>
        <w:gridCol w:w="1007"/>
        <w:gridCol w:w="1384"/>
        <w:gridCol w:w="214"/>
      </w:tblGrid>
      <w:tr w14:paraId="575B4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6" w:hRule="atLeast"/>
          <w:jc w:val="center"/>
        </w:trPr>
        <w:tc>
          <w:tcPr>
            <w:tcW w:w="5000" w:type="pct"/>
            <w:gridSpan w:val="10"/>
            <w:tcBorders>
              <w:bottom w:val="nil"/>
            </w:tcBorders>
            <w:shd w:val="clear" w:color="auto" w:fill="auto"/>
            <w:vAlign w:val="bottom"/>
          </w:tcPr>
          <w:p w14:paraId="3A5586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right="0" w:firstLine="180" w:firstLineChars="100"/>
              <w:jc w:val="left"/>
              <w:textAlignment w:val="top"/>
              <w:rPr>
                <w:rFonts w:hint="default" w:ascii="Times New Roman" w:hAnsi="Times New Roman"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专线直供</w:t>
            </w:r>
            <w:r>
              <w:rPr>
                <w:rFonts w:hint="default" w:ascii="Times New Roman" w:hAnsi="Times New Roman" w:eastAsia="宋体" w:cs="Times New Roman"/>
                <w:i w:val="0"/>
                <w:iCs w:val="0"/>
                <w:color w:val="000000"/>
                <w:kern w:val="0"/>
                <w:sz w:val="18"/>
                <w:szCs w:val="18"/>
                <w:u w:val="none"/>
                <w:lang w:val="en-US" w:eastAsia="zh-CN" w:bidi="ar"/>
              </w:rPr>
              <w:t xml:space="preserve">明细   </w:t>
            </w:r>
            <w:r>
              <w:rPr>
                <w:rFonts w:hint="default" w:ascii="Times New Roman" w:hAnsi="Times New Roman" w:cs="Times New Roman"/>
                <w:i w:val="0"/>
                <w:iCs w:val="0"/>
                <w:color w:val="000000"/>
                <w:kern w:val="0"/>
                <w:sz w:val="18"/>
                <w:szCs w:val="18"/>
                <w:u w:val="none"/>
                <w:lang w:val="en-US" w:eastAsia="zh-CN" w:bidi="ar"/>
              </w:rPr>
              <w:t xml:space="preserve">                                         </w:t>
            </w:r>
            <w:r>
              <w:rPr>
                <w:rFonts w:hint="default" w:ascii="Times New Roman" w:hAnsi="Times New Roman" w:eastAsia="宋体" w:cs="Times New Roman"/>
                <w:i w:val="0"/>
                <w:iCs w:val="0"/>
                <w:color w:val="000000"/>
                <w:kern w:val="0"/>
                <w:sz w:val="18"/>
                <w:szCs w:val="18"/>
                <w:u w:val="none"/>
                <w:lang w:val="en-US" w:eastAsia="zh-CN" w:bidi="ar"/>
              </w:rPr>
              <w:t xml:space="preserve"> </w:t>
            </w:r>
            <w:r>
              <w:rPr>
                <w:rFonts w:hint="default" w:ascii="Times New Roman" w:hAnsi="Times New Roman" w:cs="Times New Roman"/>
                <w:i w:val="0"/>
                <w:iCs w:val="0"/>
                <w:color w:val="000000"/>
                <w:kern w:val="0"/>
                <w:sz w:val="18"/>
                <w:szCs w:val="18"/>
                <w:u w:val="none"/>
                <w:lang w:val="en-US" w:eastAsia="zh-CN" w:bidi="ar"/>
              </w:rPr>
              <w:t xml:space="preserve">                       </w:t>
            </w:r>
            <w:r>
              <w:rPr>
                <w:rFonts w:hint="default" w:ascii="Times New Roman" w:hAnsi="Times New Roman" w:eastAsia="宋体" w:cs="Times New Roman"/>
                <w:i w:val="0"/>
                <w:iCs w:val="0"/>
                <w:color w:val="000000"/>
                <w:kern w:val="0"/>
                <w:sz w:val="18"/>
                <w:szCs w:val="18"/>
                <w:u w:val="none"/>
                <w:lang w:val="en-US" w:eastAsia="zh-CN" w:bidi="ar"/>
              </w:rPr>
              <w:t xml:space="preserve">单位：兆瓦时 </w:t>
            </w:r>
          </w:p>
        </w:tc>
      </w:tr>
      <w:tr w14:paraId="49AD4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6" w:hRule="atLeast"/>
          <w:jc w:val="center"/>
        </w:trPr>
        <w:tc>
          <w:tcPr>
            <w:tcW w:w="122" w:type="pct"/>
            <w:vMerge w:val="restart"/>
            <w:tcBorders>
              <w:top w:val="nil"/>
              <w:right w:val="nil"/>
            </w:tcBorders>
            <w:shd w:val="clear" w:color="auto" w:fill="auto"/>
            <w:vAlign w:val="top"/>
          </w:tcPr>
          <w:p w14:paraId="035C454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303" w:type="pct"/>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2DF1C2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序 号</w:t>
            </w:r>
          </w:p>
        </w:tc>
        <w:tc>
          <w:tcPr>
            <w:tcW w:w="552" w:type="pct"/>
            <w:tcBorders>
              <w:top w:val="single" w:color="000000" w:sz="4" w:space="0"/>
              <w:left w:val="single" w:color="000000" w:sz="4" w:space="0"/>
              <w:bottom w:val="single" w:color="auto" w:sz="6" w:space="0"/>
              <w:right w:val="single" w:color="000000" w:sz="4" w:space="0"/>
            </w:tcBorders>
            <w:shd w:val="clear" w:color="auto" w:fill="auto"/>
            <w:vAlign w:val="center"/>
          </w:tcPr>
          <w:p w14:paraId="1757A5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用电月份</w:t>
            </w:r>
          </w:p>
        </w:tc>
        <w:tc>
          <w:tcPr>
            <w:tcW w:w="724" w:type="pct"/>
            <w:tcBorders>
              <w:top w:val="single" w:color="000000" w:sz="4" w:space="0"/>
              <w:left w:val="single" w:color="000000" w:sz="4" w:space="0"/>
              <w:bottom w:val="single" w:color="auto" w:sz="6" w:space="0"/>
              <w:right w:val="single" w:color="000000" w:sz="4" w:space="0"/>
            </w:tcBorders>
            <w:shd w:val="clear" w:color="auto" w:fill="auto"/>
            <w:vAlign w:val="center"/>
          </w:tcPr>
          <w:p w14:paraId="78E9021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项目名称</w:t>
            </w:r>
          </w:p>
        </w:tc>
        <w:tc>
          <w:tcPr>
            <w:tcW w:w="824" w:type="pct"/>
            <w:tcBorders>
              <w:top w:val="single" w:color="000000" w:sz="4" w:space="0"/>
              <w:left w:val="single" w:color="000000" w:sz="4" w:space="0"/>
              <w:bottom w:val="single" w:color="auto" w:sz="6" w:space="0"/>
              <w:right w:val="single" w:color="000000" w:sz="4" w:space="0"/>
            </w:tcBorders>
            <w:shd w:val="clear" w:color="auto" w:fill="auto"/>
            <w:vAlign w:val="center"/>
          </w:tcPr>
          <w:p w14:paraId="33CBEC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合同名称</w:t>
            </w:r>
          </w:p>
        </w:tc>
        <w:tc>
          <w:tcPr>
            <w:tcW w:w="523" w:type="pct"/>
            <w:tcBorders>
              <w:top w:val="single" w:color="000000" w:sz="4" w:space="0"/>
              <w:left w:val="single" w:color="000000" w:sz="4" w:space="0"/>
              <w:bottom w:val="single" w:color="auto" w:sz="6" w:space="0"/>
              <w:right w:val="single" w:color="000000" w:sz="4" w:space="0"/>
            </w:tcBorders>
            <w:shd w:val="clear" w:color="auto" w:fill="auto"/>
            <w:vAlign w:val="center"/>
          </w:tcPr>
          <w:p w14:paraId="1877CC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项目类型</w:t>
            </w:r>
          </w:p>
        </w:tc>
        <w:tc>
          <w:tcPr>
            <w:tcW w:w="493" w:type="pct"/>
            <w:tcBorders>
              <w:top w:val="single" w:color="000000" w:sz="4" w:space="0"/>
              <w:left w:val="single" w:color="000000" w:sz="4" w:space="0"/>
              <w:bottom w:val="single" w:color="auto" w:sz="6" w:space="0"/>
              <w:right w:val="single" w:color="000000" w:sz="4" w:space="0"/>
            </w:tcBorders>
            <w:shd w:val="clear" w:color="auto" w:fill="auto"/>
            <w:vAlign w:val="center"/>
          </w:tcPr>
          <w:p w14:paraId="49E73E4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发电量</w:t>
            </w:r>
          </w:p>
        </w:tc>
        <w:tc>
          <w:tcPr>
            <w:tcW w:w="562" w:type="pct"/>
            <w:tcBorders>
              <w:top w:val="single" w:color="000000" w:sz="4" w:space="0"/>
              <w:left w:val="single" w:color="000000" w:sz="4" w:space="0"/>
              <w:bottom w:val="single" w:color="auto" w:sz="6" w:space="0"/>
              <w:right w:val="single" w:color="000000" w:sz="4" w:space="0"/>
            </w:tcBorders>
            <w:shd w:val="clear" w:color="auto" w:fill="auto"/>
            <w:vAlign w:val="center"/>
          </w:tcPr>
          <w:p w14:paraId="4CE3A0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上网电量</w:t>
            </w:r>
          </w:p>
        </w:tc>
        <w:tc>
          <w:tcPr>
            <w:tcW w:w="773" w:type="pct"/>
            <w:tcBorders>
              <w:top w:val="single" w:color="000000" w:sz="4" w:space="0"/>
              <w:left w:val="single" w:color="000000" w:sz="4" w:space="0"/>
              <w:bottom w:val="single" w:color="auto" w:sz="6" w:space="0"/>
              <w:right w:val="single" w:color="000000" w:sz="4" w:space="0"/>
            </w:tcBorders>
            <w:shd w:val="clear" w:color="auto" w:fill="auto"/>
            <w:vAlign w:val="center"/>
          </w:tcPr>
          <w:p w14:paraId="4FC35E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交易结算电量</w:t>
            </w:r>
          </w:p>
        </w:tc>
        <w:tc>
          <w:tcPr>
            <w:tcW w:w="119" w:type="pct"/>
            <w:vMerge w:val="restart"/>
            <w:tcBorders>
              <w:top w:val="nil"/>
              <w:left w:val="nil"/>
            </w:tcBorders>
            <w:shd w:val="clear" w:color="auto" w:fill="auto"/>
            <w:vAlign w:val="top"/>
          </w:tcPr>
          <w:p w14:paraId="4DCE59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72581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6" w:hRule="atLeast"/>
          <w:jc w:val="center"/>
        </w:trPr>
        <w:tc>
          <w:tcPr>
            <w:tcW w:w="122" w:type="pct"/>
            <w:vMerge w:val="continue"/>
            <w:tcBorders>
              <w:right w:val="nil"/>
            </w:tcBorders>
            <w:shd w:val="clear" w:color="auto" w:fill="auto"/>
            <w:vAlign w:val="top"/>
          </w:tcPr>
          <w:p w14:paraId="067E794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303" w:type="pct"/>
            <w:tcBorders>
              <w:top w:val="single" w:color="auto" w:sz="6" w:space="0"/>
              <w:left w:val="single" w:color="auto" w:sz="6" w:space="0"/>
              <w:bottom w:val="single" w:color="auto" w:sz="6" w:space="0"/>
              <w:right w:val="single" w:color="auto" w:sz="6" w:space="0"/>
            </w:tcBorders>
            <w:shd w:val="clear" w:color="auto" w:fill="auto"/>
            <w:vAlign w:val="center"/>
          </w:tcPr>
          <w:p w14:paraId="58B223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1</w:t>
            </w:r>
          </w:p>
        </w:tc>
        <w:tc>
          <w:tcPr>
            <w:tcW w:w="552" w:type="pct"/>
            <w:tcBorders>
              <w:top w:val="single" w:color="auto" w:sz="6" w:space="0"/>
              <w:left w:val="single" w:color="auto" w:sz="6" w:space="0"/>
              <w:bottom w:val="single" w:color="auto" w:sz="6" w:space="0"/>
              <w:right w:val="single" w:color="auto" w:sz="6" w:space="0"/>
            </w:tcBorders>
            <w:shd w:val="clear" w:color="auto" w:fill="auto"/>
            <w:vAlign w:val="center"/>
          </w:tcPr>
          <w:p w14:paraId="712796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2024年6月</w:t>
            </w:r>
            <w:r>
              <w:rPr>
                <w:rFonts w:hint="default" w:ascii="Times New Roman" w:hAnsi="Times New Roman" w:cs="Times New Roman"/>
                <w:i w:val="0"/>
                <w:iCs w:val="0"/>
                <w:color w:val="000000"/>
                <w:kern w:val="0"/>
                <w:sz w:val="18"/>
                <w:szCs w:val="18"/>
                <w:u w:val="none"/>
                <w:lang w:val="en-US" w:eastAsia="zh-CN" w:bidi="ar"/>
              </w:rPr>
              <w:t>13日</w:t>
            </w:r>
          </w:p>
        </w:tc>
        <w:tc>
          <w:tcPr>
            <w:tcW w:w="724" w:type="pct"/>
            <w:tcBorders>
              <w:top w:val="single" w:color="auto" w:sz="6" w:space="0"/>
              <w:left w:val="single" w:color="auto" w:sz="6" w:space="0"/>
              <w:bottom w:val="single" w:color="auto" w:sz="6" w:space="0"/>
              <w:right w:val="single" w:color="auto" w:sz="6" w:space="0"/>
            </w:tcBorders>
            <w:shd w:val="clear" w:color="auto" w:fill="auto"/>
            <w:vAlign w:val="center"/>
          </w:tcPr>
          <w:p w14:paraId="1357DC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上海XXX有限公司发电项目</w:t>
            </w:r>
          </w:p>
        </w:tc>
        <w:tc>
          <w:tcPr>
            <w:tcW w:w="824" w:type="pct"/>
            <w:tcBorders>
              <w:top w:val="single" w:color="auto" w:sz="6" w:space="0"/>
              <w:left w:val="single" w:color="auto" w:sz="6" w:space="0"/>
              <w:bottom w:val="single" w:color="auto" w:sz="6" w:space="0"/>
              <w:right w:val="single" w:color="auto" w:sz="6" w:space="0"/>
            </w:tcBorders>
            <w:shd w:val="clear" w:color="auto" w:fill="auto"/>
            <w:vAlign w:val="center"/>
          </w:tcPr>
          <w:p w14:paraId="5916D3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新疆XX新能源项目与XX有限公司合同</w:t>
            </w:r>
          </w:p>
        </w:tc>
        <w:tc>
          <w:tcPr>
            <w:tcW w:w="523" w:type="pct"/>
            <w:tcBorders>
              <w:top w:val="single" w:color="auto" w:sz="6" w:space="0"/>
              <w:left w:val="single" w:color="auto" w:sz="6" w:space="0"/>
              <w:bottom w:val="single" w:color="auto" w:sz="6" w:space="0"/>
              <w:right w:val="single" w:color="auto" w:sz="6" w:space="0"/>
            </w:tcBorders>
            <w:shd w:val="clear" w:color="auto" w:fill="auto"/>
            <w:vAlign w:val="center"/>
          </w:tcPr>
          <w:p w14:paraId="42C27C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光伏</w:t>
            </w:r>
          </w:p>
        </w:tc>
        <w:tc>
          <w:tcPr>
            <w:tcW w:w="493" w:type="pct"/>
            <w:tcBorders>
              <w:top w:val="single" w:color="auto" w:sz="6" w:space="0"/>
              <w:left w:val="single" w:color="auto" w:sz="6" w:space="0"/>
              <w:bottom w:val="single" w:color="auto" w:sz="4" w:space="0"/>
              <w:right w:val="single" w:color="auto" w:sz="6" w:space="0"/>
            </w:tcBorders>
            <w:shd w:val="clear" w:color="auto" w:fill="auto"/>
            <w:vAlign w:val="center"/>
          </w:tcPr>
          <w:p w14:paraId="0F7A36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800</w:t>
            </w:r>
          </w:p>
        </w:tc>
        <w:tc>
          <w:tcPr>
            <w:tcW w:w="562" w:type="pct"/>
            <w:tcBorders>
              <w:top w:val="single" w:color="auto" w:sz="6" w:space="0"/>
              <w:left w:val="single" w:color="auto" w:sz="6" w:space="0"/>
              <w:bottom w:val="single" w:color="auto" w:sz="6" w:space="0"/>
              <w:right w:val="single" w:color="auto" w:sz="6" w:space="0"/>
            </w:tcBorders>
            <w:shd w:val="clear" w:color="auto" w:fill="auto"/>
            <w:vAlign w:val="center"/>
          </w:tcPr>
          <w:p w14:paraId="51894B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100</w:t>
            </w:r>
          </w:p>
        </w:tc>
        <w:tc>
          <w:tcPr>
            <w:tcW w:w="773" w:type="pct"/>
            <w:tcBorders>
              <w:top w:val="single" w:color="auto" w:sz="6" w:space="0"/>
              <w:left w:val="single" w:color="auto" w:sz="6" w:space="0"/>
              <w:bottom w:val="single" w:color="auto" w:sz="6" w:space="0"/>
              <w:right w:val="single" w:color="auto" w:sz="6" w:space="0"/>
            </w:tcBorders>
            <w:shd w:val="clear" w:color="auto" w:fill="auto"/>
            <w:vAlign w:val="center"/>
          </w:tcPr>
          <w:p w14:paraId="69B4B1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700</w:t>
            </w:r>
          </w:p>
        </w:tc>
        <w:tc>
          <w:tcPr>
            <w:tcW w:w="119" w:type="pct"/>
            <w:vMerge w:val="continue"/>
            <w:tcBorders>
              <w:left w:val="nil"/>
            </w:tcBorders>
            <w:shd w:val="clear" w:color="auto" w:fill="auto"/>
            <w:vAlign w:val="top"/>
          </w:tcPr>
          <w:p w14:paraId="54A3E7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0B21B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 w:hRule="atLeast"/>
          <w:jc w:val="center"/>
        </w:trPr>
        <w:tc>
          <w:tcPr>
            <w:tcW w:w="122" w:type="pct"/>
            <w:tcBorders>
              <w:bottom w:val="nil"/>
              <w:right w:val="single" w:color="auto" w:sz="6" w:space="0"/>
            </w:tcBorders>
            <w:shd w:val="clear" w:color="auto" w:fill="auto"/>
            <w:vAlign w:val="top"/>
          </w:tcPr>
          <w:p w14:paraId="07F421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right"/>
              <w:rPr>
                <w:rFonts w:hint="default" w:ascii="Times New Roman" w:hAnsi="Times New Roman" w:cs="Times New Roman"/>
                <w:i w:val="0"/>
                <w:iCs w:val="0"/>
                <w:color w:val="000000"/>
                <w:sz w:val="18"/>
                <w:szCs w:val="18"/>
                <w:u w:val="none"/>
              </w:rPr>
            </w:pPr>
          </w:p>
        </w:tc>
        <w:tc>
          <w:tcPr>
            <w:tcW w:w="2928" w:type="pct"/>
            <w:gridSpan w:val="5"/>
            <w:tcBorders>
              <w:top w:val="single" w:color="auto" w:sz="6" w:space="0"/>
              <w:left w:val="single" w:color="auto" w:sz="6" w:space="0"/>
              <w:bottom w:val="single" w:color="auto" w:sz="6" w:space="0"/>
              <w:right w:val="single" w:color="auto" w:sz="4" w:space="0"/>
            </w:tcBorders>
            <w:shd w:val="clear" w:color="auto" w:fill="auto"/>
            <w:vAlign w:val="center"/>
          </w:tcPr>
          <w:p w14:paraId="64794A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合计</w:t>
            </w:r>
          </w:p>
        </w:tc>
        <w:tc>
          <w:tcPr>
            <w:tcW w:w="493" w:type="pct"/>
            <w:tcBorders>
              <w:top w:val="single" w:color="auto" w:sz="4" w:space="0"/>
              <w:left w:val="single" w:color="auto" w:sz="4" w:space="0"/>
              <w:bottom w:val="single" w:color="auto" w:sz="4" w:space="0"/>
              <w:right w:val="single" w:color="auto" w:sz="4" w:space="0"/>
            </w:tcBorders>
            <w:shd w:val="clear" w:color="auto" w:fill="auto"/>
            <w:vAlign w:val="center"/>
          </w:tcPr>
          <w:p w14:paraId="7D6D894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i w:val="0"/>
                <w:iCs w:val="0"/>
                <w:color w:val="000000"/>
                <w:kern w:val="0"/>
                <w:sz w:val="18"/>
                <w:szCs w:val="18"/>
                <w:u w:val="none"/>
                <w:lang w:val="en-US" w:eastAsia="zh-CN" w:bidi="ar"/>
              </w:rPr>
              <w:t>800</w:t>
            </w:r>
          </w:p>
        </w:tc>
        <w:tc>
          <w:tcPr>
            <w:tcW w:w="562" w:type="pct"/>
            <w:tcBorders>
              <w:top w:val="single" w:color="auto" w:sz="6" w:space="0"/>
              <w:left w:val="single" w:color="auto" w:sz="4" w:space="0"/>
              <w:bottom w:val="single" w:color="auto" w:sz="6" w:space="0"/>
              <w:right w:val="single" w:color="auto" w:sz="6" w:space="0"/>
            </w:tcBorders>
            <w:shd w:val="clear" w:color="auto" w:fill="auto"/>
            <w:vAlign w:val="center"/>
          </w:tcPr>
          <w:p w14:paraId="2AC3BF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i w:val="0"/>
                <w:iCs w:val="0"/>
                <w:color w:val="000000"/>
                <w:kern w:val="0"/>
                <w:sz w:val="18"/>
                <w:szCs w:val="18"/>
                <w:u w:val="none"/>
                <w:lang w:val="en-US" w:eastAsia="zh-CN" w:bidi="ar"/>
              </w:rPr>
              <w:t>100</w:t>
            </w:r>
          </w:p>
        </w:tc>
        <w:tc>
          <w:tcPr>
            <w:tcW w:w="773" w:type="pct"/>
            <w:tcBorders>
              <w:top w:val="single" w:color="auto" w:sz="6" w:space="0"/>
              <w:left w:val="single" w:color="auto" w:sz="6" w:space="0"/>
              <w:bottom w:val="single" w:color="auto" w:sz="6" w:space="0"/>
              <w:right w:val="single" w:color="auto" w:sz="6" w:space="0"/>
            </w:tcBorders>
            <w:shd w:val="clear" w:color="auto" w:fill="auto"/>
            <w:vAlign w:val="center"/>
          </w:tcPr>
          <w:p w14:paraId="14AD52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cs="Times New Roman"/>
                <w:b/>
                <w:bCs/>
                <w:i w:val="0"/>
                <w:iCs w:val="0"/>
                <w:color w:val="000000"/>
                <w:kern w:val="0"/>
                <w:sz w:val="18"/>
                <w:szCs w:val="18"/>
                <w:u w:val="none"/>
                <w:lang w:val="en-US" w:eastAsia="zh-CN" w:bidi="ar"/>
              </w:rPr>
              <w:t>700</w:t>
            </w:r>
          </w:p>
        </w:tc>
        <w:tc>
          <w:tcPr>
            <w:tcW w:w="119" w:type="pct"/>
            <w:tcBorders>
              <w:left w:val="single" w:color="auto" w:sz="6" w:space="0"/>
              <w:bottom w:val="nil"/>
            </w:tcBorders>
            <w:shd w:val="clear" w:color="auto" w:fill="auto"/>
            <w:vAlign w:val="top"/>
          </w:tcPr>
          <w:p w14:paraId="581B0F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left"/>
              <w:rPr>
                <w:rFonts w:hint="default" w:ascii="Times New Roman" w:hAnsi="Times New Roman" w:cs="Times New Roman"/>
                <w:i w:val="0"/>
                <w:iCs w:val="0"/>
                <w:color w:val="000000"/>
                <w:sz w:val="18"/>
                <w:szCs w:val="18"/>
                <w:u w:val="none"/>
              </w:rPr>
            </w:pPr>
          </w:p>
        </w:tc>
      </w:tr>
      <w:tr w14:paraId="1674F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1" w:hRule="atLeast"/>
          <w:jc w:val="center"/>
        </w:trPr>
        <w:tc>
          <w:tcPr>
            <w:tcW w:w="5000" w:type="pct"/>
            <w:gridSpan w:val="10"/>
            <w:tcBorders>
              <w:top w:val="nil"/>
            </w:tcBorders>
            <w:shd w:val="clear" w:color="auto" w:fill="auto"/>
            <w:vAlign w:val="top"/>
          </w:tcPr>
          <w:p w14:paraId="1973F8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rPr>
                <w:rFonts w:hint="default" w:ascii="Times New Roman" w:hAnsi="Times New Roman" w:cs="Times New Roman"/>
                <w:i w:val="0"/>
                <w:iCs w:val="0"/>
                <w:color w:val="000000"/>
                <w:sz w:val="22"/>
                <w:szCs w:val="22"/>
                <w:u w:val="none"/>
              </w:rPr>
            </w:pPr>
          </w:p>
        </w:tc>
      </w:tr>
    </w:tbl>
    <w:p w14:paraId="295B6C30">
      <w:pPr>
        <w:keepNext w:val="0"/>
        <w:keepLines w:val="0"/>
        <w:pageBreakBefore w:val="0"/>
        <w:widowControl w:val="0"/>
        <w:tabs>
          <w:tab w:val="left" w:pos="363"/>
        </w:tabs>
        <w:topLinePunct w:val="0"/>
        <w:bidi w:val="0"/>
        <w:spacing w:before="0" w:after="0"/>
        <w:rPr>
          <w:rFonts w:hint="default" w:ascii="Times New Roman" w:hAnsi="Times New Roman" w:cs="Times New Roman"/>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p>
    <w:tbl>
      <w:tblPr>
        <w:tblStyle w:val="24"/>
        <w:tblW w:w="916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163"/>
      </w:tblGrid>
      <w:tr w14:paraId="14B26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96" w:hRule="atLeast"/>
          <w:jc w:val="center"/>
        </w:trPr>
        <w:tc>
          <w:tcPr>
            <w:tcW w:w="9163" w:type="dxa"/>
            <w:tcBorders>
              <w:bottom w:val="nil"/>
            </w:tcBorders>
            <w:shd w:val="clear" w:color="auto" w:fill="auto"/>
            <w:vAlign w:val="center"/>
          </w:tcPr>
          <w:p w14:paraId="6BB45F75">
            <w:pPr>
              <w:keepNext w:val="0"/>
              <w:keepLines w:val="0"/>
              <w:pageBreakBefore w:val="0"/>
              <w:widowControl w:val="0"/>
              <w:suppressLineNumbers w:val="0"/>
              <w:topLinePunct w:val="0"/>
              <w:bidi w:val="0"/>
              <w:spacing w:before="0" w:beforeAutospacing="0" w:afterAutospacing="0"/>
              <w:ind w:left="0" w:right="0" w:firstLine="0" w:firstLineChars="0"/>
              <w:jc w:val="center"/>
              <w:textAlignment w:val="center"/>
              <w:rPr>
                <w:rStyle w:val="30"/>
                <w:rFonts w:hint="default" w:ascii="Times New Roman" w:hAnsi="Times New Roman" w:eastAsia="宋体" w:cs="Times New Roman"/>
                <w:color w:val="auto"/>
                <w:sz w:val="36"/>
                <w:szCs w:val="36"/>
                <w:lang w:val="en-US" w:eastAsia="zh-CN" w:bidi="ar"/>
              </w:rPr>
            </w:pPr>
            <w:r>
              <w:rPr>
                <w:rStyle w:val="30"/>
                <w:rFonts w:hint="default" w:ascii="Times New Roman" w:hAnsi="Times New Roman" w:eastAsia="宋体" w:cs="Times New Roman"/>
                <w:color w:val="auto"/>
                <w:sz w:val="36"/>
                <w:szCs w:val="36"/>
                <w:lang w:val="en-US" w:eastAsia="zh-CN" w:bidi="ar"/>
              </w:rPr>
              <w:t>可再生能源电力消费核算清单</w:t>
            </w:r>
          </w:p>
          <w:p w14:paraId="53BCF0A3">
            <w:pPr>
              <w:keepNext w:val="0"/>
              <w:keepLines w:val="0"/>
              <w:pageBreakBefore w:val="0"/>
              <w:widowControl w:val="0"/>
              <w:suppressLineNumbers w:val="0"/>
              <w:topLinePunct w:val="0"/>
              <w:bidi w:val="0"/>
              <w:spacing w:before="0" w:beforeAutospacing="0" w:afterAutospacing="0" w:line="360" w:lineRule="auto"/>
              <w:ind w:left="0" w:right="0" w:firstLine="442" w:firstLineChars="200"/>
              <w:jc w:val="left"/>
              <w:textAlignment w:val="center"/>
              <w:rPr>
                <w:rStyle w:val="31"/>
                <w:rFonts w:hint="default" w:ascii="Times New Roman" w:hAnsi="Times New Roman" w:cs="Times New Roman"/>
                <w:b/>
                <w:bCs/>
                <w:color w:val="auto"/>
                <w:lang w:val="en-US" w:eastAsia="zh-CN" w:bidi="ar"/>
              </w:rPr>
            </w:pPr>
          </w:p>
          <w:p w14:paraId="175483B7">
            <w:pPr>
              <w:pStyle w:val="23"/>
              <w:keepNext w:val="0"/>
              <w:keepLines w:val="0"/>
              <w:pageBreakBefore w:val="0"/>
              <w:widowControl w:val="0"/>
              <w:topLinePunct w:val="0"/>
              <w:bidi w:val="0"/>
              <w:rPr>
                <w:rFonts w:hint="default" w:ascii="Times New Roman" w:hAnsi="Times New Roman" w:cs="Times New Roman"/>
                <w:lang w:val="en-US" w:eastAsia="zh-CN"/>
              </w:rPr>
            </w:pPr>
          </w:p>
          <w:p w14:paraId="308B6F7B">
            <w:pPr>
              <w:keepNext w:val="0"/>
              <w:keepLines w:val="0"/>
              <w:pageBreakBefore w:val="0"/>
              <w:widowControl w:val="0"/>
              <w:suppressLineNumbers w:val="0"/>
              <w:topLinePunct w:val="0"/>
              <w:bidi w:val="0"/>
              <w:spacing w:before="0" w:beforeAutospacing="0" w:afterAutospacing="0" w:line="360" w:lineRule="auto"/>
              <w:ind w:left="0" w:right="0" w:firstLine="442" w:firstLineChars="200"/>
              <w:jc w:val="left"/>
              <w:textAlignment w:val="center"/>
              <w:rPr>
                <w:rStyle w:val="32"/>
                <w:rFonts w:hint="default" w:ascii="Times New Roman" w:hAnsi="Times New Roman" w:eastAsia="宋体" w:cs="Times New Roman"/>
                <w:b/>
                <w:bCs/>
                <w:color w:val="auto"/>
                <w:lang w:val="en-US" w:eastAsia="zh-CN" w:bidi="ar"/>
              </w:rPr>
            </w:pPr>
            <w:r>
              <w:rPr>
                <w:rStyle w:val="31"/>
                <w:rFonts w:hint="default" w:ascii="Times New Roman" w:hAnsi="Times New Roman" w:cs="Times New Roman"/>
                <w:b/>
                <w:bCs/>
                <w:color w:val="auto"/>
                <w:lang w:val="en-US" w:eastAsia="zh-CN" w:bidi="ar"/>
              </w:rPr>
              <w:t>XX</w:t>
            </w:r>
            <w:r>
              <w:rPr>
                <w:rStyle w:val="32"/>
                <w:rFonts w:hint="default" w:ascii="Times New Roman" w:hAnsi="Times New Roman" w:eastAsia="宋体" w:cs="Times New Roman"/>
                <w:b/>
                <w:bCs/>
                <w:color w:val="auto"/>
                <w:lang w:val="en-US" w:eastAsia="zh-CN" w:bidi="ar"/>
              </w:rPr>
              <w:t>有限公司</w:t>
            </w:r>
          </w:p>
          <w:p w14:paraId="382CC90F">
            <w:pPr>
              <w:keepNext w:val="0"/>
              <w:keepLines w:val="0"/>
              <w:pageBreakBefore w:val="0"/>
              <w:widowControl w:val="0"/>
              <w:suppressLineNumbers w:val="0"/>
              <w:topLinePunct w:val="0"/>
              <w:bidi w:val="0"/>
              <w:spacing w:before="0" w:beforeAutospacing="0" w:afterAutospacing="0" w:line="360" w:lineRule="auto"/>
              <w:ind w:left="0" w:right="0" w:firstLine="440" w:firstLineChars="200"/>
              <w:jc w:val="left"/>
              <w:textAlignment w:val="center"/>
              <w:rPr>
                <w:rStyle w:val="32"/>
                <w:rFonts w:hint="default" w:ascii="Times New Roman" w:hAnsi="Times New Roman" w:eastAsia="宋体" w:cs="Times New Roman"/>
                <w:color w:val="auto"/>
                <w:lang w:val="en-US" w:eastAsia="zh-CN" w:bidi="ar"/>
              </w:rPr>
            </w:pPr>
            <w:r>
              <w:rPr>
                <w:rStyle w:val="32"/>
                <w:rFonts w:hint="default" w:ascii="Times New Roman" w:hAnsi="Times New Roman" w:eastAsia="宋体" w:cs="Times New Roman"/>
                <w:color w:val="auto"/>
                <w:lang w:val="en-US" w:eastAsia="zh-CN" w:bidi="ar"/>
              </w:rPr>
              <w:t>核算周期：</w:t>
            </w:r>
            <w:r>
              <w:rPr>
                <w:rStyle w:val="32"/>
                <w:rFonts w:hint="default" w:ascii="Times New Roman" w:hAnsi="Times New Roman" w:eastAsia="宋体" w:cs="Times New Roman"/>
                <w:color w:val="auto"/>
                <w:highlight w:val="none"/>
                <w:lang w:val="en-US" w:eastAsia="zh-CN" w:bidi="ar"/>
              </w:rPr>
              <w:t>2024年</w:t>
            </w:r>
          </w:p>
          <w:p w14:paraId="4F3CEE37">
            <w:pPr>
              <w:keepNext w:val="0"/>
              <w:keepLines w:val="0"/>
              <w:pageBreakBefore w:val="0"/>
              <w:widowControl w:val="0"/>
              <w:suppressLineNumbers w:val="0"/>
              <w:topLinePunct w:val="0"/>
              <w:bidi w:val="0"/>
              <w:spacing w:before="0" w:beforeAutospacing="0" w:afterAutospacing="0" w:line="360" w:lineRule="auto"/>
              <w:ind w:left="0" w:right="0" w:firstLine="440" w:firstLineChars="200"/>
              <w:jc w:val="left"/>
              <w:textAlignment w:val="center"/>
              <w:rPr>
                <w:rStyle w:val="32"/>
                <w:rFonts w:hint="default" w:ascii="Times New Roman" w:hAnsi="Times New Roman" w:eastAsia="宋体" w:cs="Times New Roman"/>
                <w:color w:val="auto"/>
                <w:lang w:val="en-US" w:eastAsia="zh-CN" w:bidi="ar"/>
              </w:rPr>
            </w:pPr>
            <w:r>
              <w:rPr>
                <w:rStyle w:val="32"/>
                <w:rFonts w:hint="default" w:ascii="Times New Roman" w:hAnsi="Times New Roman" w:eastAsia="宋体" w:cs="Times New Roman"/>
                <w:color w:val="auto"/>
                <w:lang w:val="en-US" w:eastAsia="zh-CN" w:bidi="ar"/>
              </w:rPr>
              <w:t>所在地：</w:t>
            </w:r>
            <w:r>
              <w:rPr>
                <w:rStyle w:val="32"/>
                <w:rFonts w:hint="default" w:ascii="Times New Roman" w:hAnsi="Times New Roman" w:cs="Times New Roman"/>
                <w:color w:val="auto"/>
                <w:lang w:val="en-US" w:eastAsia="zh-CN" w:bidi="ar"/>
              </w:rPr>
              <w:t>XX</w:t>
            </w:r>
            <w:r>
              <w:rPr>
                <w:rStyle w:val="32"/>
                <w:rFonts w:hint="default" w:ascii="Times New Roman" w:hAnsi="Times New Roman" w:eastAsia="宋体" w:cs="Times New Roman"/>
                <w:color w:val="auto"/>
                <w:lang w:val="en-US" w:eastAsia="zh-CN" w:bidi="ar"/>
              </w:rPr>
              <w:t>市                   详细地址：XX省XX市XX区XX路</w:t>
            </w:r>
          </w:p>
        </w:tc>
      </w:tr>
      <w:tr w14:paraId="3DA56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7" w:hRule="atLeast"/>
          <w:jc w:val="center"/>
        </w:trPr>
        <w:tc>
          <w:tcPr>
            <w:tcW w:w="9163" w:type="dxa"/>
            <w:tcBorders>
              <w:top w:val="nil"/>
              <w:bottom w:val="nil"/>
            </w:tcBorders>
            <w:shd w:val="clear" w:color="auto" w:fill="auto"/>
            <w:vAlign w:val="top"/>
          </w:tcPr>
          <w:tbl>
            <w:tblPr>
              <w:tblStyle w:val="25"/>
              <w:tblpPr w:leftFromText="180" w:rightFromText="180" w:vertAnchor="text" w:tblpX="411" w:tblpY="47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28"/>
              <w:gridCol w:w="4128"/>
            </w:tblGrid>
            <w:tr w14:paraId="04FC6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528FAE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rPr>
                  </w:pPr>
                </w:p>
              </w:tc>
              <w:tc>
                <w:tcPr>
                  <w:tcW w:w="4128" w:type="dxa"/>
                  <w:vAlign w:val="center"/>
                </w:tcPr>
                <w:p w14:paraId="548E65C1">
                  <w:pPr>
                    <w:keepNext w:val="0"/>
                    <w:keepLines w:val="0"/>
                    <w:pageBreakBefore w:val="0"/>
                    <w:widowControl w:val="0"/>
                    <w:suppressLineNumbers w:val="0"/>
                    <w:tabs>
                      <w:tab w:val="center" w:pos="1956"/>
                      <w:tab w:val="right" w:pos="4032"/>
                    </w:tabs>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u w:val="none"/>
                      <w:vertAlign w:val="baseline"/>
                      <w:lang w:val="en-US" w:eastAsia="zh-CN"/>
                    </w:rPr>
                    <w:t>单位：兆瓦时</w:t>
                  </w:r>
                </w:p>
              </w:tc>
            </w:tr>
            <w:tr w14:paraId="03AB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06FC64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cs="Times New Roman"/>
                      <w:i w:val="0"/>
                      <w:iCs w:val="0"/>
                      <w:color w:val="auto"/>
                      <w:sz w:val="22"/>
                      <w:szCs w:val="22"/>
                      <w:u w:val="none"/>
                      <w:vertAlign w:val="baseline"/>
                      <w:lang w:val="en-US" w:eastAsia="zh-CN"/>
                    </w:rPr>
                    <w:t>绿电交易</w:t>
                  </w:r>
                </w:p>
              </w:tc>
              <w:tc>
                <w:tcPr>
                  <w:tcW w:w="4128" w:type="dxa"/>
                  <w:vAlign w:val="center"/>
                </w:tcPr>
                <w:p w14:paraId="23B2B5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p>
              </w:tc>
            </w:tr>
            <w:tr w14:paraId="137A8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53ECDC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u w:val="none"/>
                      <w:vertAlign w:val="baseline"/>
                      <w:lang w:val="en-US" w:eastAsia="zh-CN"/>
                    </w:rPr>
                    <w:t>绿证交易</w:t>
                  </w:r>
                </w:p>
              </w:tc>
              <w:tc>
                <w:tcPr>
                  <w:tcW w:w="4128" w:type="dxa"/>
                  <w:vAlign w:val="center"/>
                </w:tcPr>
                <w:p w14:paraId="173DA93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p>
              </w:tc>
            </w:tr>
            <w:tr w14:paraId="40488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316753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u w:val="none"/>
                      <w:vertAlign w:val="baseline"/>
                      <w:lang w:val="en-US" w:eastAsia="zh-CN"/>
                    </w:rPr>
                    <w:t>自发自用</w:t>
                  </w:r>
                </w:p>
              </w:tc>
              <w:tc>
                <w:tcPr>
                  <w:tcW w:w="4128" w:type="dxa"/>
                  <w:vAlign w:val="center"/>
                </w:tcPr>
                <w:p w14:paraId="7DE6CA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p>
              </w:tc>
            </w:tr>
            <w:tr w14:paraId="24CBB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7B2658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lang w:val="en-US" w:eastAsia="zh-CN"/>
                    </w:rPr>
                  </w:pPr>
                  <w:r>
                    <w:rPr>
                      <w:rFonts w:hint="default" w:ascii="Times New Roman" w:hAnsi="Times New Roman" w:eastAsia="宋体" w:cs="Times New Roman"/>
                      <w:i w:val="0"/>
                      <w:iCs w:val="0"/>
                      <w:color w:val="auto"/>
                      <w:sz w:val="22"/>
                      <w:szCs w:val="22"/>
                      <w:highlight w:val="none"/>
                      <w:u w:val="none"/>
                      <w:vertAlign w:val="baseline"/>
                      <w:lang w:val="en-US" w:eastAsia="zh-CN"/>
                    </w:rPr>
                    <w:t>专线直供</w:t>
                  </w:r>
                </w:p>
              </w:tc>
              <w:tc>
                <w:tcPr>
                  <w:tcW w:w="4128" w:type="dxa"/>
                  <w:vAlign w:val="center"/>
                </w:tcPr>
                <w:p w14:paraId="178A58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000000"/>
                      <w:kern w:val="0"/>
                      <w:sz w:val="22"/>
                      <w:szCs w:val="22"/>
                      <w:u w:val="none"/>
                      <w:lang w:val="en-US" w:eastAsia="zh-CN" w:bidi="ar"/>
                    </w:rPr>
                  </w:pPr>
                </w:p>
              </w:tc>
            </w:tr>
            <w:tr w14:paraId="0FA15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1F54B1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Times New Roman" w:hAnsi="Times New Roman" w:eastAsia="宋体" w:cs="Times New Roman"/>
                      <w:i w:val="0"/>
                      <w:iCs w:val="0"/>
                      <w:color w:val="auto"/>
                      <w:sz w:val="22"/>
                      <w:szCs w:val="22"/>
                      <w:u w:val="none"/>
                      <w:vertAlign w:val="baseline"/>
                    </w:rPr>
                  </w:pPr>
                  <w:r>
                    <w:rPr>
                      <w:rStyle w:val="34"/>
                      <w:rFonts w:hint="default" w:ascii="Times New Roman" w:hAnsi="Times New Roman" w:cs="Times New Roman"/>
                      <w:lang w:val="en-US" w:eastAsia="zh-CN" w:bidi="ar"/>
                    </w:rPr>
                    <w:t>可再生能源电力消费总量</w:t>
                  </w:r>
                </w:p>
              </w:tc>
              <w:tc>
                <w:tcPr>
                  <w:tcW w:w="4128" w:type="dxa"/>
                  <w:vAlign w:val="center"/>
                </w:tcPr>
                <w:p w14:paraId="1A2398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p>
              </w:tc>
            </w:tr>
            <w:tr w14:paraId="5674F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1CC1A7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Style w:val="34"/>
                      <w:rFonts w:hint="default" w:ascii="Times New Roman" w:hAnsi="Times New Roman" w:cs="Times New Roman"/>
                      <w:lang w:val="en-US" w:eastAsia="zh-CN" w:bidi="ar"/>
                    </w:rPr>
                  </w:pPr>
                  <w:r>
                    <w:rPr>
                      <w:rStyle w:val="34"/>
                      <w:rFonts w:hint="default" w:ascii="Times New Roman" w:hAnsi="Times New Roman" w:cs="Times New Roman"/>
                      <w:lang w:val="en-US" w:eastAsia="zh-CN" w:bidi="ar"/>
                    </w:rPr>
                    <w:t>总用电量</w:t>
                  </w:r>
                </w:p>
              </w:tc>
              <w:tc>
                <w:tcPr>
                  <w:tcW w:w="4128" w:type="dxa"/>
                  <w:vAlign w:val="center"/>
                </w:tcPr>
                <w:p w14:paraId="0727A8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000000"/>
                      <w:kern w:val="0"/>
                      <w:sz w:val="22"/>
                      <w:szCs w:val="22"/>
                      <w:u w:val="none"/>
                      <w:lang w:val="en-US" w:eastAsia="zh-CN" w:bidi="ar"/>
                    </w:rPr>
                  </w:pPr>
                </w:p>
              </w:tc>
            </w:tr>
            <w:tr w14:paraId="615D6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5EAA92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textAlignment w:val="center"/>
                    <w:rPr>
                      <w:rStyle w:val="34"/>
                      <w:rFonts w:hint="default" w:ascii="Times New Roman" w:hAnsi="Times New Roman" w:cs="Times New Roman"/>
                      <w:lang w:val="en-US" w:eastAsia="zh-CN" w:bidi="ar"/>
                    </w:rPr>
                  </w:pPr>
                  <w:r>
                    <w:rPr>
                      <w:rStyle w:val="34"/>
                      <w:rFonts w:hint="default" w:ascii="Times New Roman" w:hAnsi="Times New Roman" w:cs="Times New Roman"/>
                      <w:lang w:val="en-US" w:eastAsia="zh-CN" w:bidi="ar"/>
                    </w:rPr>
                    <w:t>可再生能源电力消费占比</w:t>
                  </w:r>
                </w:p>
              </w:tc>
              <w:tc>
                <w:tcPr>
                  <w:tcW w:w="4128" w:type="dxa"/>
                  <w:vAlign w:val="center"/>
                </w:tcPr>
                <w:p w14:paraId="0917B80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000000"/>
                      <w:kern w:val="0"/>
                      <w:sz w:val="22"/>
                      <w:szCs w:val="22"/>
                      <w:u w:val="none"/>
                      <w:lang w:val="en-US" w:eastAsia="zh-CN" w:bidi="ar"/>
                    </w:rPr>
                  </w:pPr>
                </w:p>
              </w:tc>
            </w:tr>
            <w:tr w14:paraId="21864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4128" w:type="dxa"/>
                  <w:vAlign w:val="center"/>
                </w:tcPr>
                <w:p w14:paraId="20DFC7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left"/>
                    <w:rPr>
                      <w:rFonts w:hint="default" w:ascii="Times New Roman" w:hAnsi="Times New Roman" w:eastAsia="宋体" w:cs="Times New Roman"/>
                      <w:i w:val="0"/>
                      <w:iCs w:val="0"/>
                      <w:color w:val="auto"/>
                      <w:sz w:val="22"/>
                      <w:szCs w:val="22"/>
                      <w:u w:val="none"/>
                      <w:vertAlign w:val="baseline"/>
                    </w:rPr>
                  </w:pPr>
                </w:p>
              </w:tc>
              <w:tc>
                <w:tcPr>
                  <w:tcW w:w="4128" w:type="dxa"/>
                  <w:vAlign w:val="center"/>
                </w:tcPr>
                <w:p w14:paraId="525F17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right"/>
                    <w:textAlignment w:val="center"/>
                    <w:rPr>
                      <w:rFonts w:hint="default" w:ascii="Times New Roman" w:hAnsi="Times New Roman" w:eastAsia="宋体" w:cs="Times New Roman"/>
                      <w:i w:val="0"/>
                      <w:iCs w:val="0"/>
                      <w:color w:val="auto"/>
                      <w:sz w:val="22"/>
                      <w:szCs w:val="22"/>
                      <w:u w:val="none"/>
                      <w:vertAlign w:val="baseline"/>
                    </w:rPr>
                  </w:pPr>
                  <w:r>
                    <w:rPr>
                      <w:rFonts w:hint="default" w:ascii="Times New Roman" w:hAnsi="Times New Roman" w:eastAsia="宋体" w:cs="Times New Roman"/>
                      <w:i w:val="0"/>
                      <w:iCs w:val="0"/>
                      <w:color w:val="000000"/>
                      <w:kern w:val="0"/>
                      <w:sz w:val="22"/>
                      <w:szCs w:val="22"/>
                      <w:u w:val="none"/>
                      <w:lang w:val="en-US" w:eastAsia="zh-CN" w:bidi="ar"/>
                    </w:rPr>
                    <w:t>明细见附件</w:t>
                  </w:r>
                </w:p>
              </w:tc>
            </w:tr>
          </w:tbl>
          <w:p w14:paraId="50083DAE">
            <w:pPr>
              <w:keepNext w:val="0"/>
              <w:keepLines w:val="0"/>
              <w:pageBreakBefore w:val="0"/>
              <w:widowControl w:val="0"/>
              <w:suppressLineNumbers w:val="0"/>
              <w:topLinePunct w:val="0"/>
              <w:bidi w:val="0"/>
              <w:spacing w:before="0" w:beforeAutospacing="0" w:afterAutospacing="0"/>
              <w:ind w:left="0" w:right="0"/>
              <w:jc w:val="both"/>
              <w:textAlignment w:val="center"/>
              <w:rPr>
                <w:rFonts w:hint="default" w:ascii="Times New Roman" w:hAnsi="Times New Roman" w:eastAsia="宋体" w:cs="Times New Roman"/>
                <w:i w:val="0"/>
                <w:iCs w:val="0"/>
                <w:color w:val="auto"/>
                <w:sz w:val="22"/>
                <w:szCs w:val="22"/>
                <w:u w:val="none"/>
                <w:lang w:val="en-US" w:eastAsia="zh-CN"/>
              </w:rPr>
            </w:pPr>
          </w:p>
        </w:tc>
      </w:tr>
      <w:tr w14:paraId="3799C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5" w:hRule="atLeast"/>
          <w:jc w:val="center"/>
        </w:trPr>
        <w:tc>
          <w:tcPr>
            <w:tcW w:w="9163" w:type="dxa"/>
            <w:tcBorders>
              <w:top w:val="nil"/>
            </w:tcBorders>
            <w:shd w:val="clear" w:color="auto" w:fill="auto"/>
            <w:vAlign w:val="center"/>
          </w:tcPr>
          <w:p w14:paraId="071D42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40" w:firstLineChars="200"/>
              <w:jc w:val="left"/>
              <w:textAlignment w:val="top"/>
              <w:rPr>
                <w:rStyle w:val="32"/>
                <w:rFonts w:hint="default" w:ascii="Times New Roman" w:hAnsi="Times New Roman" w:cs="Times New Roman"/>
                <w:color w:val="auto"/>
                <w:lang w:val="en-US" w:eastAsia="zh-CN" w:bidi="ar"/>
              </w:rPr>
            </w:pPr>
            <w:r>
              <w:rPr>
                <w:rStyle w:val="32"/>
                <w:rFonts w:hint="default" w:ascii="Times New Roman" w:hAnsi="Times New Roman" w:cs="Times New Roman"/>
                <w:color w:val="auto"/>
                <w:lang w:val="en-US" w:eastAsia="zh-CN" w:bidi="ar"/>
              </w:rPr>
              <w:t xml:space="preserve">清单编号：XXX                      </w:t>
            </w:r>
            <w:r>
              <w:rPr>
                <w:rStyle w:val="32"/>
                <w:rFonts w:hint="eastAsia" w:ascii="Times New Roman" w:hAnsi="Times New Roman" w:cs="Times New Roman"/>
                <w:color w:val="auto"/>
                <w:lang w:val="en-US" w:eastAsia="zh-CN" w:bidi="ar"/>
              </w:rPr>
              <w:t xml:space="preserve">                       </w:t>
            </w:r>
            <w:r>
              <w:rPr>
                <w:rStyle w:val="32"/>
                <w:rFonts w:hint="default" w:ascii="Times New Roman" w:hAnsi="Times New Roman" w:cs="Times New Roman"/>
                <w:color w:val="auto"/>
                <w:lang w:val="en-US" w:eastAsia="zh-CN" w:bidi="ar"/>
              </w:rPr>
              <w:t xml:space="preserve">  XX电力交易中心</w:t>
            </w:r>
          </w:p>
          <w:p w14:paraId="15D074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40" w:firstLineChars="200"/>
              <w:jc w:val="left"/>
              <w:textAlignment w:val="top"/>
              <w:rPr>
                <w:rFonts w:hint="default" w:ascii="Times New Roman" w:hAnsi="Times New Roman" w:eastAsia="宋体" w:cs="Times New Roman"/>
                <w:i w:val="0"/>
                <w:iCs w:val="0"/>
                <w:color w:val="auto"/>
                <w:sz w:val="22"/>
                <w:szCs w:val="22"/>
                <w:u w:val="none"/>
                <w:lang w:val="en-US"/>
              </w:rPr>
            </w:pPr>
            <w:r>
              <w:rPr>
                <w:rStyle w:val="32"/>
                <w:rFonts w:hint="default" w:ascii="Times New Roman" w:hAnsi="Times New Roman" w:cs="Times New Roman"/>
                <w:color w:val="auto"/>
                <w:lang w:val="en-US" w:eastAsia="zh-CN" w:bidi="ar"/>
              </w:rPr>
              <w:t xml:space="preserve">生成时间：2025年XX月XX日                      </w:t>
            </w:r>
            <w:r>
              <w:rPr>
                <w:rStyle w:val="32"/>
                <w:rFonts w:hint="eastAsia" w:ascii="Times New Roman" w:hAnsi="Times New Roman" w:cs="Times New Roman"/>
                <w:color w:val="auto"/>
                <w:lang w:val="en-US" w:eastAsia="zh-CN" w:bidi="ar"/>
              </w:rPr>
              <w:t xml:space="preserve">       </w:t>
            </w:r>
            <w:r>
              <w:rPr>
                <w:rStyle w:val="32"/>
                <w:rFonts w:hint="default" w:ascii="Times New Roman" w:hAnsi="Times New Roman" w:cs="Times New Roman"/>
                <w:color w:val="auto"/>
                <w:lang w:val="en-US" w:eastAsia="zh-CN" w:bidi="ar"/>
              </w:rPr>
              <w:t xml:space="preserve">  2025年XX月XX日                         </w:t>
            </w:r>
          </w:p>
        </w:tc>
      </w:tr>
    </w:tbl>
    <w:p w14:paraId="7A01A722">
      <w:pPr>
        <w:pStyle w:val="29"/>
        <w:keepNext w:val="0"/>
        <w:keepLines w:val="0"/>
        <w:pageBreakBefore w:val="0"/>
        <w:widowControl w:val="0"/>
        <w:topLinePunct w:val="0"/>
        <w:bidi w:val="0"/>
        <w:ind w:left="0" w:leftChars="0" w:firstLine="0" w:firstLineChars="0"/>
        <w:rPr>
          <w:rFonts w:hint="default" w:ascii="Times New Roman" w:hAnsi="Times New Roman" w:cs="Times New Roman"/>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22882A4E">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right"/>
        <w:outlineLvl w:val="0"/>
        <w:rPr>
          <w:rFonts w:hint="default" w:ascii="Times New Roman" w:hAnsi="Times New Roman" w:cs="Times New Roman"/>
          <w:lang w:val="en-US" w:eastAsia="zh-CN"/>
        </w:rPr>
      </w:pPr>
      <w:r>
        <w:rPr>
          <w:rFonts w:hint="default" w:ascii="Times New Roman" w:hAnsi="Times New Roman" w:eastAsia="仿宋" w:cs="Times New Roman"/>
          <w:kern w:val="21"/>
          <w:sz w:val="28"/>
          <w:szCs w:val="28"/>
          <w:highlight w:val="none"/>
          <w:lang w:val="en-US" w:eastAsia="zh-CN" w:bidi="ar-SA"/>
        </w:rPr>
        <w:t>附件1 绿电交易</w:t>
      </w:r>
      <w:r>
        <w:rPr>
          <w:rFonts w:hint="default" w:ascii="Times New Roman" w:hAnsi="Times New Roman" w:eastAsia="仿宋" w:cs="Times New Roman"/>
          <w:sz w:val="28"/>
          <w:szCs w:val="28"/>
          <w:highlight w:val="none"/>
          <w:lang w:val="en-US" w:eastAsia="zh-CN"/>
        </w:rPr>
        <w:t xml:space="preserve">明细                                               </w:t>
      </w:r>
      <w:r>
        <w:rPr>
          <w:rFonts w:hint="default" w:ascii="Times New Roman" w:hAnsi="Times New Roman" w:eastAsia="仿宋" w:cs="Times New Roman"/>
          <w:sz w:val="24"/>
          <w:szCs w:val="24"/>
          <w:highlight w:val="none"/>
          <w:lang w:val="en-US" w:eastAsia="zh-CN"/>
        </w:rPr>
        <w:t>单位</w:t>
      </w:r>
      <w:r>
        <w:rPr>
          <w:rFonts w:hint="default" w:ascii="Times New Roman" w:hAnsi="Times New Roman" w:eastAsia="仿宋" w:cs="Times New Roman"/>
          <w:kern w:val="21"/>
          <w:sz w:val="24"/>
          <w:szCs w:val="24"/>
          <w:highlight w:val="none"/>
          <w:lang w:val="en-US" w:eastAsia="zh-CN" w:bidi="ar-SA"/>
        </w:rPr>
        <w:t>：兆瓦时</w:t>
      </w:r>
    </w:p>
    <w:tbl>
      <w:tblPr>
        <w:tblStyle w:val="24"/>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6"/>
        <w:gridCol w:w="1167"/>
        <w:gridCol w:w="1498"/>
        <w:gridCol w:w="1031"/>
        <w:gridCol w:w="1222"/>
        <w:gridCol w:w="1235"/>
        <w:gridCol w:w="1808"/>
      </w:tblGrid>
      <w:tr w14:paraId="08C1F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jc w:val="center"/>
        </w:trPr>
        <w:tc>
          <w:tcPr>
            <w:tcW w:w="327" w:type="pct"/>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69D80E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序 号</w:t>
            </w:r>
          </w:p>
        </w:tc>
        <w:tc>
          <w:tcPr>
            <w:tcW w:w="685" w:type="pct"/>
            <w:tcBorders>
              <w:top w:val="single" w:color="000000" w:sz="4" w:space="0"/>
              <w:left w:val="single" w:color="000000" w:sz="4" w:space="0"/>
              <w:bottom w:val="single" w:color="auto" w:sz="6" w:space="0"/>
              <w:right w:val="single" w:color="000000" w:sz="4" w:space="0"/>
            </w:tcBorders>
            <w:shd w:val="clear" w:color="auto" w:fill="auto"/>
            <w:vAlign w:val="center"/>
          </w:tcPr>
          <w:p w14:paraId="18AED0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结算月份</w:t>
            </w:r>
          </w:p>
        </w:tc>
        <w:tc>
          <w:tcPr>
            <w:tcW w:w="879" w:type="pct"/>
            <w:tcBorders>
              <w:top w:val="single" w:color="000000" w:sz="4" w:space="0"/>
              <w:left w:val="single" w:color="000000" w:sz="4" w:space="0"/>
              <w:bottom w:val="single" w:color="auto" w:sz="6" w:space="0"/>
              <w:right w:val="single" w:color="000000" w:sz="4" w:space="0"/>
            </w:tcBorders>
            <w:shd w:val="clear" w:color="auto" w:fill="auto"/>
            <w:vAlign w:val="center"/>
          </w:tcPr>
          <w:p w14:paraId="454E47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cs="Times New Roman"/>
                <w:i w:val="0"/>
                <w:iCs w:val="0"/>
                <w:color w:val="000000"/>
                <w:kern w:val="0"/>
                <w:sz w:val="21"/>
                <w:szCs w:val="21"/>
                <w:u w:val="none"/>
                <w:lang w:val="en-US" w:eastAsia="zh-CN" w:bidi="ar"/>
              </w:rPr>
              <w:t>绿证编号</w:t>
            </w:r>
          </w:p>
        </w:tc>
        <w:tc>
          <w:tcPr>
            <w:tcW w:w="605" w:type="pct"/>
            <w:tcBorders>
              <w:top w:val="single" w:color="000000" w:sz="4" w:space="0"/>
              <w:left w:val="single" w:color="000000" w:sz="4" w:space="0"/>
              <w:bottom w:val="single" w:color="auto" w:sz="6" w:space="0"/>
              <w:right w:val="single" w:color="000000" w:sz="4" w:space="0"/>
            </w:tcBorders>
            <w:shd w:val="clear" w:color="auto" w:fill="auto"/>
            <w:vAlign w:val="center"/>
          </w:tcPr>
          <w:p w14:paraId="796DDF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合同名称</w:t>
            </w:r>
          </w:p>
        </w:tc>
        <w:tc>
          <w:tcPr>
            <w:tcW w:w="717" w:type="pct"/>
            <w:tcBorders>
              <w:top w:val="single" w:color="000000" w:sz="4" w:space="0"/>
              <w:left w:val="single" w:color="000000" w:sz="4" w:space="0"/>
              <w:bottom w:val="single" w:color="auto" w:sz="6" w:space="0"/>
              <w:right w:val="single" w:color="000000" w:sz="4" w:space="0"/>
            </w:tcBorders>
            <w:shd w:val="clear" w:color="auto" w:fill="auto"/>
            <w:vAlign w:val="center"/>
          </w:tcPr>
          <w:p w14:paraId="13169B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供电方</w:t>
            </w:r>
          </w:p>
        </w:tc>
        <w:tc>
          <w:tcPr>
            <w:tcW w:w="723" w:type="pct"/>
            <w:tcBorders>
              <w:top w:val="single" w:color="000000" w:sz="4" w:space="0"/>
              <w:left w:val="single" w:color="000000" w:sz="4" w:space="0"/>
              <w:bottom w:val="single" w:color="auto" w:sz="6" w:space="0"/>
              <w:right w:val="single" w:color="000000" w:sz="4" w:space="0"/>
            </w:tcBorders>
            <w:shd w:val="clear" w:color="auto" w:fill="auto"/>
            <w:vAlign w:val="center"/>
          </w:tcPr>
          <w:p w14:paraId="3C7362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电量类型</w:t>
            </w:r>
          </w:p>
        </w:tc>
        <w:tc>
          <w:tcPr>
            <w:tcW w:w="1061" w:type="pct"/>
            <w:tcBorders>
              <w:top w:val="single" w:color="000000" w:sz="4" w:space="0"/>
              <w:left w:val="single" w:color="000000" w:sz="4" w:space="0"/>
              <w:bottom w:val="single" w:color="auto" w:sz="6" w:space="0"/>
              <w:right w:val="single" w:color="000000" w:sz="4" w:space="0"/>
            </w:tcBorders>
            <w:shd w:val="clear" w:color="auto" w:fill="auto"/>
            <w:vAlign w:val="center"/>
          </w:tcPr>
          <w:p w14:paraId="4AAA69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cs="Times New Roman"/>
                <w:i w:val="0"/>
                <w:iCs w:val="0"/>
                <w:color w:val="000000"/>
                <w:kern w:val="0"/>
                <w:sz w:val="21"/>
                <w:szCs w:val="21"/>
                <w:u w:val="none"/>
                <w:lang w:val="en-US" w:eastAsia="zh-CN" w:bidi="ar"/>
              </w:rPr>
              <w:t>环境价值结算电量</w:t>
            </w:r>
          </w:p>
        </w:tc>
      </w:tr>
      <w:tr w14:paraId="0C2DA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327" w:type="pct"/>
            <w:tcBorders>
              <w:top w:val="single" w:color="auto" w:sz="6" w:space="0"/>
              <w:left w:val="single" w:color="auto" w:sz="6" w:space="0"/>
              <w:bottom w:val="single" w:color="auto" w:sz="6" w:space="0"/>
              <w:right w:val="single" w:color="auto" w:sz="6" w:space="0"/>
            </w:tcBorders>
            <w:shd w:val="clear" w:color="auto" w:fill="auto"/>
            <w:vAlign w:val="center"/>
          </w:tcPr>
          <w:p w14:paraId="75DD31EB">
            <w:pPr>
              <w:keepNext w:val="0"/>
              <w:keepLines w:val="0"/>
              <w:pageBreakBefore w:val="0"/>
              <w:widowControl w:val="0"/>
              <w:numPr>
                <w:ilvl w:val="0"/>
                <w:numId w:val="4"/>
              </w:numPr>
              <w:suppressLineNumbers w:val="0"/>
              <w:kinsoku/>
              <w:wordWrap/>
              <w:overflowPunct/>
              <w:topLinePunct w:val="0"/>
              <w:autoSpaceDE/>
              <w:autoSpaceDN/>
              <w:bidi w:val="0"/>
              <w:adjustRightInd/>
              <w:snapToGrid/>
              <w:spacing w:before="0" w:beforeAutospacing="0" w:after="0" w:afterAutospacing="0" w:line="240" w:lineRule="auto"/>
              <w:ind w:left="454" w:right="0" w:hanging="454"/>
              <w:jc w:val="center"/>
              <w:textAlignment w:val="center"/>
              <w:rPr>
                <w:rFonts w:hint="default" w:ascii="Times New Roman" w:hAnsi="Times New Roman" w:eastAsia="宋体" w:cs="Times New Roman"/>
                <w:i w:val="0"/>
                <w:iCs w:val="0"/>
                <w:color w:val="000000"/>
                <w:sz w:val="21"/>
                <w:szCs w:val="21"/>
                <w:u w:val="none"/>
              </w:rPr>
            </w:pPr>
          </w:p>
        </w:tc>
        <w:tc>
          <w:tcPr>
            <w:tcW w:w="685" w:type="pct"/>
            <w:tcBorders>
              <w:top w:val="single" w:color="auto" w:sz="6" w:space="0"/>
              <w:left w:val="single" w:color="auto" w:sz="6" w:space="0"/>
              <w:bottom w:val="single" w:color="auto" w:sz="6" w:space="0"/>
              <w:right w:val="single" w:color="auto" w:sz="6" w:space="0"/>
            </w:tcBorders>
            <w:shd w:val="clear" w:color="auto" w:fill="auto"/>
            <w:vAlign w:val="center"/>
          </w:tcPr>
          <w:p w14:paraId="6FC1174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879" w:type="pct"/>
            <w:tcBorders>
              <w:top w:val="single" w:color="auto" w:sz="6" w:space="0"/>
              <w:left w:val="single" w:color="auto" w:sz="6" w:space="0"/>
              <w:bottom w:val="single" w:color="auto" w:sz="6" w:space="0"/>
              <w:right w:val="single" w:color="auto" w:sz="6" w:space="0"/>
            </w:tcBorders>
            <w:shd w:val="clear" w:color="auto" w:fill="auto"/>
            <w:vAlign w:val="center"/>
          </w:tcPr>
          <w:p w14:paraId="036ED8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605" w:type="pct"/>
            <w:tcBorders>
              <w:top w:val="single" w:color="auto" w:sz="6" w:space="0"/>
              <w:left w:val="single" w:color="auto" w:sz="6" w:space="0"/>
              <w:bottom w:val="single" w:color="auto" w:sz="6" w:space="0"/>
              <w:right w:val="single" w:color="auto" w:sz="6" w:space="0"/>
            </w:tcBorders>
            <w:shd w:val="clear" w:color="auto" w:fill="auto"/>
            <w:vAlign w:val="center"/>
          </w:tcPr>
          <w:p w14:paraId="549C61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717" w:type="pct"/>
            <w:tcBorders>
              <w:top w:val="single" w:color="auto" w:sz="6" w:space="0"/>
              <w:left w:val="single" w:color="auto" w:sz="6" w:space="0"/>
              <w:bottom w:val="single" w:color="auto" w:sz="6" w:space="0"/>
              <w:right w:val="single" w:color="auto" w:sz="6" w:space="0"/>
            </w:tcBorders>
            <w:shd w:val="clear" w:color="auto" w:fill="auto"/>
            <w:vAlign w:val="center"/>
          </w:tcPr>
          <w:p w14:paraId="59ADFF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723" w:type="pct"/>
            <w:tcBorders>
              <w:top w:val="single" w:color="auto" w:sz="6" w:space="0"/>
              <w:left w:val="single" w:color="auto" w:sz="6" w:space="0"/>
              <w:bottom w:val="single" w:color="auto" w:sz="6" w:space="0"/>
              <w:right w:val="single" w:color="auto" w:sz="6" w:space="0"/>
            </w:tcBorders>
            <w:shd w:val="clear" w:color="auto" w:fill="auto"/>
            <w:vAlign w:val="center"/>
          </w:tcPr>
          <w:p w14:paraId="63A436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1061" w:type="pct"/>
            <w:tcBorders>
              <w:top w:val="single" w:color="auto" w:sz="6" w:space="0"/>
              <w:left w:val="single" w:color="auto" w:sz="6" w:space="0"/>
              <w:bottom w:val="single" w:color="auto" w:sz="6" w:space="0"/>
              <w:right w:val="single" w:color="auto" w:sz="6" w:space="0"/>
            </w:tcBorders>
            <w:shd w:val="clear" w:color="auto" w:fill="auto"/>
            <w:vAlign w:val="center"/>
          </w:tcPr>
          <w:p w14:paraId="79087B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cs="Times New Roman"/>
                <w:i w:val="0"/>
                <w:iCs w:val="0"/>
                <w:color w:val="000000"/>
                <w:kern w:val="0"/>
                <w:sz w:val="21"/>
                <w:szCs w:val="21"/>
                <w:u w:val="none"/>
                <w:lang w:val="en-US" w:eastAsia="zh-CN" w:bidi="ar"/>
              </w:rPr>
            </w:pPr>
          </w:p>
        </w:tc>
      </w:tr>
      <w:tr w14:paraId="42F56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327" w:type="pct"/>
            <w:tcBorders>
              <w:top w:val="single" w:color="auto" w:sz="6" w:space="0"/>
              <w:left w:val="single" w:color="auto" w:sz="6" w:space="0"/>
              <w:bottom w:val="single" w:color="auto" w:sz="6" w:space="0"/>
              <w:right w:val="single" w:color="auto" w:sz="6" w:space="0"/>
            </w:tcBorders>
            <w:shd w:val="clear" w:color="auto" w:fill="auto"/>
            <w:vAlign w:val="center"/>
          </w:tcPr>
          <w:p w14:paraId="4A796377">
            <w:pPr>
              <w:keepNext w:val="0"/>
              <w:keepLines w:val="0"/>
              <w:pageBreakBefore w:val="0"/>
              <w:widowControl w:val="0"/>
              <w:numPr>
                <w:ilvl w:val="0"/>
                <w:numId w:val="4"/>
              </w:numPr>
              <w:suppressLineNumbers w:val="0"/>
              <w:kinsoku/>
              <w:wordWrap/>
              <w:overflowPunct/>
              <w:topLinePunct w:val="0"/>
              <w:autoSpaceDE/>
              <w:autoSpaceDN/>
              <w:bidi w:val="0"/>
              <w:adjustRightInd/>
              <w:snapToGrid/>
              <w:spacing w:before="0" w:beforeAutospacing="0" w:after="0" w:afterAutospacing="0" w:line="240" w:lineRule="auto"/>
              <w:ind w:left="454" w:right="0" w:hanging="454"/>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685" w:type="pct"/>
            <w:tcBorders>
              <w:top w:val="single" w:color="auto" w:sz="6" w:space="0"/>
              <w:left w:val="single" w:color="auto" w:sz="6" w:space="0"/>
              <w:bottom w:val="single" w:color="auto" w:sz="6" w:space="0"/>
              <w:right w:val="single" w:color="auto" w:sz="6" w:space="0"/>
            </w:tcBorders>
            <w:shd w:val="clear" w:color="auto" w:fill="auto"/>
            <w:vAlign w:val="center"/>
          </w:tcPr>
          <w:p w14:paraId="69D7C8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879" w:type="pct"/>
            <w:tcBorders>
              <w:top w:val="single" w:color="auto" w:sz="6" w:space="0"/>
              <w:left w:val="single" w:color="auto" w:sz="6" w:space="0"/>
              <w:bottom w:val="single" w:color="auto" w:sz="6" w:space="0"/>
              <w:right w:val="single" w:color="auto" w:sz="6" w:space="0"/>
            </w:tcBorders>
            <w:shd w:val="clear" w:color="auto" w:fill="auto"/>
            <w:vAlign w:val="center"/>
          </w:tcPr>
          <w:p w14:paraId="41AAE5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605" w:type="pct"/>
            <w:tcBorders>
              <w:top w:val="single" w:color="auto" w:sz="6" w:space="0"/>
              <w:left w:val="single" w:color="auto" w:sz="6" w:space="0"/>
              <w:bottom w:val="single" w:color="auto" w:sz="6" w:space="0"/>
              <w:right w:val="single" w:color="auto" w:sz="6" w:space="0"/>
            </w:tcBorders>
            <w:shd w:val="clear" w:color="auto" w:fill="auto"/>
            <w:vAlign w:val="center"/>
          </w:tcPr>
          <w:p w14:paraId="2E207D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717" w:type="pct"/>
            <w:tcBorders>
              <w:top w:val="single" w:color="auto" w:sz="6" w:space="0"/>
              <w:left w:val="single" w:color="auto" w:sz="6" w:space="0"/>
              <w:bottom w:val="single" w:color="auto" w:sz="6" w:space="0"/>
              <w:right w:val="single" w:color="auto" w:sz="6" w:space="0"/>
            </w:tcBorders>
            <w:shd w:val="clear" w:color="auto" w:fill="auto"/>
            <w:vAlign w:val="center"/>
          </w:tcPr>
          <w:p w14:paraId="6DD2E4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723" w:type="pct"/>
            <w:tcBorders>
              <w:top w:val="single" w:color="auto" w:sz="6" w:space="0"/>
              <w:left w:val="single" w:color="auto" w:sz="6" w:space="0"/>
              <w:bottom w:val="single" w:color="auto" w:sz="6" w:space="0"/>
              <w:right w:val="single" w:color="auto" w:sz="6" w:space="0"/>
            </w:tcBorders>
            <w:shd w:val="clear" w:color="auto" w:fill="auto"/>
            <w:vAlign w:val="center"/>
          </w:tcPr>
          <w:p w14:paraId="68B7D1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1061" w:type="pct"/>
            <w:tcBorders>
              <w:top w:val="single" w:color="auto" w:sz="6" w:space="0"/>
              <w:left w:val="single" w:color="auto" w:sz="6" w:space="0"/>
              <w:bottom w:val="single" w:color="auto" w:sz="6" w:space="0"/>
              <w:right w:val="single" w:color="auto" w:sz="6" w:space="0"/>
            </w:tcBorders>
            <w:shd w:val="clear" w:color="auto" w:fill="auto"/>
            <w:vAlign w:val="center"/>
          </w:tcPr>
          <w:p w14:paraId="7A190C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cs="Times New Roman"/>
                <w:i w:val="0"/>
                <w:iCs w:val="0"/>
                <w:color w:val="000000"/>
                <w:kern w:val="0"/>
                <w:sz w:val="21"/>
                <w:szCs w:val="21"/>
                <w:u w:val="none"/>
                <w:lang w:val="en-US" w:eastAsia="zh-CN" w:bidi="ar"/>
              </w:rPr>
            </w:pPr>
          </w:p>
        </w:tc>
      </w:tr>
      <w:tr w14:paraId="1A474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327" w:type="pct"/>
            <w:tcBorders>
              <w:top w:val="single" w:color="auto" w:sz="6" w:space="0"/>
              <w:left w:val="single" w:color="auto" w:sz="6" w:space="0"/>
              <w:bottom w:val="single" w:color="auto" w:sz="6" w:space="0"/>
              <w:right w:val="single" w:color="auto" w:sz="6" w:space="0"/>
            </w:tcBorders>
            <w:shd w:val="clear" w:color="auto" w:fill="auto"/>
            <w:vAlign w:val="center"/>
          </w:tcPr>
          <w:p w14:paraId="4CEB5B26">
            <w:pPr>
              <w:keepNext w:val="0"/>
              <w:keepLines w:val="0"/>
              <w:pageBreakBefore w:val="0"/>
              <w:widowControl w:val="0"/>
              <w:numPr>
                <w:ilvl w:val="0"/>
                <w:numId w:val="4"/>
              </w:numPr>
              <w:suppressLineNumbers w:val="0"/>
              <w:kinsoku/>
              <w:wordWrap/>
              <w:overflowPunct/>
              <w:topLinePunct w:val="0"/>
              <w:autoSpaceDE/>
              <w:autoSpaceDN/>
              <w:bidi w:val="0"/>
              <w:adjustRightInd/>
              <w:snapToGrid/>
              <w:spacing w:before="0" w:beforeAutospacing="0" w:after="0" w:afterAutospacing="0" w:line="240" w:lineRule="auto"/>
              <w:ind w:left="454" w:right="0" w:hanging="454"/>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685" w:type="pct"/>
            <w:tcBorders>
              <w:top w:val="single" w:color="auto" w:sz="6" w:space="0"/>
              <w:left w:val="single" w:color="auto" w:sz="6" w:space="0"/>
              <w:bottom w:val="single" w:color="auto" w:sz="6" w:space="0"/>
              <w:right w:val="single" w:color="auto" w:sz="6" w:space="0"/>
            </w:tcBorders>
            <w:shd w:val="clear" w:color="auto" w:fill="auto"/>
            <w:vAlign w:val="center"/>
          </w:tcPr>
          <w:p w14:paraId="457705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879" w:type="pct"/>
            <w:tcBorders>
              <w:top w:val="single" w:color="auto" w:sz="6" w:space="0"/>
              <w:left w:val="single" w:color="auto" w:sz="6" w:space="0"/>
              <w:bottom w:val="single" w:color="auto" w:sz="6" w:space="0"/>
              <w:right w:val="single" w:color="auto" w:sz="6" w:space="0"/>
            </w:tcBorders>
            <w:shd w:val="clear" w:color="auto" w:fill="auto"/>
            <w:vAlign w:val="center"/>
          </w:tcPr>
          <w:p w14:paraId="3DAC05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605" w:type="pct"/>
            <w:tcBorders>
              <w:top w:val="single" w:color="auto" w:sz="6" w:space="0"/>
              <w:left w:val="single" w:color="auto" w:sz="6" w:space="0"/>
              <w:bottom w:val="single" w:color="auto" w:sz="6" w:space="0"/>
              <w:right w:val="single" w:color="auto" w:sz="6" w:space="0"/>
            </w:tcBorders>
            <w:shd w:val="clear" w:color="auto" w:fill="auto"/>
            <w:vAlign w:val="center"/>
          </w:tcPr>
          <w:p w14:paraId="303397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p>
        </w:tc>
        <w:tc>
          <w:tcPr>
            <w:tcW w:w="717" w:type="pct"/>
            <w:tcBorders>
              <w:top w:val="single" w:color="auto" w:sz="6" w:space="0"/>
              <w:left w:val="single" w:color="auto" w:sz="6" w:space="0"/>
              <w:bottom w:val="single" w:color="auto" w:sz="6" w:space="0"/>
              <w:right w:val="single" w:color="auto" w:sz="6" w:space="0"/>
            </w:tcBorders>
            <w:shd w:val="clear" w:color="auto" w:fill="auto"/>
            <w:vAlign w:val="center"/>
          </w:tcPr>
          <w:p w14:paraId="48257B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723" w:type="pct"/>
            <w:tcBorders>
              <w:top w:val="single" w:color="auto" w:sz="6" w:space="0"/>
              <w:left w:val="single" w:color="auto" w:sz="6" w:space="0"/>
              <w:bottom w:val="single" w:color="auto" w:sz="6" w:space="0"/>
              <w:right w:val="single" w:color="auto" w:sz="6" w:space="0"/>
            </w:tcBorders>
            <w:shd w:val="clear" w:color="auto" w:fill="auto"/>
            <w:vAlign w:val="center"/>
          </w:tcPr>
          <w:p w14:paraId="316A753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21"/>
                <w:szCs w:val="21"/>
                <w:u w:val="none"/>
              </w:rPr>
            </w:pPr>
          </w:p>
        </w:tc>
        <w:tc>
          <w:tcPr>
            <w:tcW w:w="1061" w:type="pct"/>
            <w:tcBorders>
              <w:top w:val="single" w:color="auto" w:sz="6" w:space="0"/>
              <w:left w:val="single" w:color="auto" w:sz="6" w:space="0"/>
              <w:bottom w:val="single" w:color="auto" w:sz="6" w:space="0"/>
              <w:right w:val="single" w:color="auto" w:sz="6" w:space="0"/>
            </w:tcBorders>
            <w:shd w:val="clear" w:color="auto" w:fill="auto"/>
            <w:vAlign w:val="center"/>
          </w:tcPr>
          <w:p w14:paraId="7091BA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cs="Times New Roman"/>
                <w:i w:val="0"/>
                <w:iCs w:val="0"/>
                <w:color w:val="000000"/>
                <w:kern w:val="0"/>
                <w:sz w:val="21"/>
                <w:szCs w:val="21"/>
                <w:u w:val="none"/>
                <w:lang w:val="en-US" w:eastAsia="zh-CN" w:bidi="ar"/>
              </w:rPr>
            </w:pPr>
          </w:p>
        </w:tc>
      </w:tr>
      <w:tr w14:paraId="414C4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3938" w:type="pct"/>
            <w:gridSpan w:val="6"/>
            <w:tcBorders>
              <w:top w:val="single" w:color="auto" w:sz="6" w:space="0"/>
              <w:left w:val="single" w:color="auto" w:sz="6" w:space="0"/>
              <w:bottom w:val="single" w:color="auto" w:sz="6" w:space="0"/>
              <w:right w:val="single" w:color="auto" w:sz="6" w:space="0"/>
            </w:tcBorders>
            <w:shd w:val="clear" w:color="auto" w:fill="auto"/>
            <w:vAlign w:val="center"/>
          </w:tcPr>
          <w:p w14:paraId="403158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合计</w:t>
            </w:r>
          </w:p>
        </w:tc>
        <w:tc>
          <w:tcPr>
            <w:tcW w:w="1061" w:type="pct"/>
            <w:tcBorders>
              <w:top w:val="single" w:color="auto" w:sz="6" w:space="0"/>
              <w:left w:val="single" w:color="auto" w:sz="6" w:space="0"/>
              <w:bottom w:val="single" w:color="auto" w:sz="6" w:space="0"/>
              <w:right w:val="single" w:color="auto" w:sz="6" w:space="0"/>
            </w:tcBorders>
            <w:shd w:val="clear" w:color="auto" w:fill="auto"/>
            <w:vAlign w:val="center"/>
          </w:tcPr>
          <w:p w14:paraId="1F6670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cs="Times New Roman"/>
                <w:b/>
                <w:bCs/>
                <w:i w:val="0"/>
                <w:iCs w:val="0"/>
                <w:color w:val="000000"/>
                <w:kern w:val="0"/>
                <w:sz w:val="21"/>
                <w:szCs w:val="21"/>
                <w:u w:val="none"/>
                <w:lang w:val="en-US" w:eastAsia="zh-CN" w:bidi="ar"/>
              </w:rPr>
            </w:pPr>
          </w:p>
        </w:tc>
      </w:tr>
    </w:tbl>
    <w:p w14:paraId="0499DE04">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right"/>
        <w:outlineLvl w:val="0"/>
        <w:rPr>
          <w:rFonts w:hint="default" w:ascii="Times New Roman" w:hAnsi="Times New Roman" w:eastAsia="仿宋" w:cs="Times New Roman"/>
          <w:kern w:val="21"/>
          <w:sz w:val="28"/>
          <w:szCs w:val="28"/>
          <w:highlight w:val="none"/>
          <w:lang w:val="en-US" w:eastAsia="zh-CN" w:bidi="ar-SA"/>
        </w:rPr>
      </w:pPr>
      <w:r>
        <w:rPr>
          <w:rFonts w:hint="default" w:ascii="Times New Roman" w:hAnsi="Times New Roman" w:eastAsia="仿宋" w:cs="Times New Roman"/>
          <w:kern w:val="21"/>
          <w:sz w:val="28"/>
          <w:szCs w:val="28"/>
          <w:highlight w:val="none"/>
          <w:lang w:val="en-US" w:eastAsia="zh-CN" w:bidi="ar-SA"/>
        </w:rPr>
        <w:t xml:space="preserve">附件2 绿证交易明细                                               </w:t>
      </w:r>
      <w:r>
        <w:rPr>
          <w:rFonts w:hint="default" w:ascii="Times New Roman" w:hAnsi="Times New Roman" w:eastAsia="仿宋" w:cs="Times New Roman"/>
          <w:sz w:val="24"/>
          <w:szCs w:val="24"/>
          <w:highlight w:val="none"/>
          <w:lang w:val="en-US" w:eastAsia="zh-CN"/>
        </w:rPr>
        <w:t>单位：兆瓦时</w:t>
      </w:r>
    </w:p>
    <w:tbl>
      <w:tblPr>
        <w:tblStyle w:val="24"/>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0"/>
        <w:gridCol w:w="1049"/>
        <w:gridCol w:w="1219"/>
        <w:gridCol w:w="1183"/>
        <w:gridCol w:w="1125"/>
        <w:gridCol w:w="997"/>
        <w:gridCol w:w="1343"/>
        <w:gridCol w:w="1033"/>
      </w:tblGrid>
      <w:tr w14:paraId="589D3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jc w:val="center"/>
        </w:trPr>
        <w:tc>
          <w:tcPr>
            <w:tcW w:w="335" w:type="pct"/>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5565CC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序 号</w:t>
            </w:r>
          </w:p>
        </w:tc>
        <w:tc>
          <w:tcPr>
            <w:tcW w:w="616" w:type="pct"/>
            <w:tcBorders>
              <w:top w:val="single" w:color="000000" w:sz="4" w:space="0"/>
              <w:left w:val="single" w:color="000000" w:sz="4" w:space="0"/>
              <w:bottom w:val="single" w:color="auto" w:sz="6" w:space="0"/>
              <w:right w:val="single" w:color="000000" w:sz="4" w:space="0"/>
            </w:tcBorders>
            <w:shd w:val="clear" w:color="auto" w:fill="auto"/>
            <w:vAlign w:val="center"/>
          </w:tcPr>
          <w:p w14:paraId="629EDB1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交易日期</w:t>
            </w:r>
          </w:p>
        </w:tc>
        <w:tc>
          <w:tcPr>
            <w:tcW w:w="715" w:type="pct"/>
            <w:tcBorders>
              <w:top w:val="single" w:color="000000" w:sz="4" w:space="0"/>
              <w:left w:val="single" w:color="000000" w:sz="4" w:space="0"/>
              <w:bottom w:val="single" w:color="auto" w:sz="6" w:space="0"/>
              <w:right w:val="single" w:color="000000" w:sz="4" w:space="0"/>
            </w:tcBorders>
            <w:shd w:val="clear" w:color="auto" w:fill="auto"/>
            <w:vAlign w:val="center"/>
          </w:tcPr>
          <w:p w14:paraId="6B538F7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绿证编号</w:t>
            </w:r>
          </w:p>
        </w:tc>
        <w:tc>
          <w:tcPr>
            <w:tcW w:w="694" w:type="pct"/>
            <w:tcBorders>
              <w:top w:val="single" w:color="000000" w:sz="4" w:space="0"/>
              <w:left w:val="single" w:color="000000" w:sz="4" w:space="0"/>
              <w:bottom w:val="single" w:color="auto" w:sz="6" w:space="0"/>
              <w:right w:val="single" w:color="000000" w:sz="4" w:space="0"/>
            </w:tcBorders>
            <w:shd w:val="clear" w:color="auto" w:fill="auto"/>
            <w:vAlign w:val="center"/>
          </w:tcPr>
          <w:p w14:paraId="7962077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售方名称</w:t>
            </w:r>
          </w:p>
        </w:tc>
        <w:tc>
          <w:tcPr>
            <w:tcW w:w="660" w:type="pct"/>
            <w:tcBorders>
              <w:top w:val="single" w:color="000000" w:sz="4" w:space="0"/>
              <w:left w:val="single" w:color="000000" w:sz="4" w:space="0"/>
              <w:bottom w:val="single" w:color="auto" w:sz="6" w:space="0"/>
              <w:right w:val="single" w:color="000000" w:sz="4" w:space="0"/>
            </w:tcBorders>
            <w:shd w:val="clear" w:color="auto" w:fill="auto"/>
            <w:vAlign w:val="center"/>
          </w:tcPr>
          <w:p w14:paraId="0E829B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项目名称</w:t>
            </w:r>
          </w:p>
        </w:tc>
        <w:tc>
          <w:tcPr>
            <w:tcW w:w="585" w:type="pct"/>
            <w:tcBorders>
              <w:top w:val="single" w:color="000000" w:sz="4" w:space="0"/>
              <w:left w:val="single" w:color="000000" w:sz="4" w:space="0"/>
              <w:bottom w:val="single" w:color="auto" w:sz="6" w:space="0"/>
              <w:right w:val="single" w:color="000000" w:sz="4" w:space="0"/>
            </w:tcBorders>
            <w:shd w:val="clear" w:color="auto" w:fill="auto"/>
            <w:vAlign w:val="center"/>
          </w:tcPr>
          <w:p w14:paraId="236032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项目</w:t>
            </w:r>
            <w:r>
              <w:rPr>
                <w:rFonts w:hint="default" w:ascii="Times New Roman" w:hAnsi="Times New Roman" w:eastAsia="宋体" w:cs="Times New Roman"/>
                <w:i w:val="0"/>
                <w:iCs w:val="0"/>
                <w:color w:val="000000"/>
                <w:kern w:val="0"/>
                <w:sz w:val="18"/>
                <w:szCs w:val="18"/>
                <w:u w:val="none"/>
                <w:lang w:val="en-US" w:eastAsia="zh-CN" w:bidi="ar"/>
              </w:rPr>
              <w:t>类型</w:t>
            </w:r>
          </w:p>
        </w:tc>
        <w:tc>
          <w:tcPr>
            <w:tcW w:w="786" w:type="pct"/>
            <w:tcBorders>
              <w:top w:val="single" w:color="000000" w:sz="4" w:space="0"/>
              <w:left w:val="single" w:color="000000" w:sz="4" w:space="0"/>
              <w:bottom w:val="single" w:color="auto" w:sz="6" w:space="0"/>
              <w:right w:val="single" w:color="000000" w:sz="4" w:space="0"/>
            </w:tcBorders>
            <w:shd w:val="clear" w:color="auto" w:fill="auto"/>
            <w:vAlign w:val="center"/>
          </w:tcPr>
          <w:p w14:paraId="1C7A5A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绿证交易平台</w:t>
            </w:r>
          </w:p>
        </w:tc>
        <w:tc>
          <w:tcPr>
            <w:tcW w:w="606" w:type="pct"/>
            <w:tcBorders>
              <w:top w:val="single" w:color="000000" w:sz="4" w:space="0"/>
              <w:left w:val="single" w:color="000000" w:sz="4" w:space="0"/>
              <w:bottom w:val="single" w:color="auto" w:sz="6" w:space="0"/>
              <w:right w:val="single" w:color="000000" w:sz="4" w:space="0"/>
            </w:tcBorders>
            <w:shd w:val="clear" w:color="auto" w:fill="auto"/>
            <w:vAlign w:val="center"/>
          </w:tcPr>
          <w:p w14:paraId="5B5B34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折算电量</w:t>
            </w:r>
          </w:p>
        </w:tc>
      </w:tr>
      <w:tr w14:paraId="33881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35" w:type="pct"/>
            <w:tcBorders>
              <w:top w:val="single" w:color="auto" w:sz="6" w:space="0"/>
              <w:left w:val="single" w:color="auto" w:sz="6" w:space="0"/>
              <w:bottom w:val="single" w:color="auto" w:sz="6" w:space="0"/>
              <w:right w:val="single" w:color="auto" w:sz="6" w:space="0"/>
            </w:tcBorders>
            <w:shd w:val="clear" w:color="auto" w:fill="auto"/>
            <w:vAlign w:val="center"/>
          </w:tcPr>
          <w:p w14:paraId="149608EF">
            <w:pPr>
              <w:keepNext w:val="0"/>
              <w:keepLines w:val="0"/>
              <w:pageBreakBefore w:val="0"/>
              <w:widowControl w:val="0"/>
              <w:numPr>
                <w:ilvl w:val="0"/>
                <w:numId w:val="5"/>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sz w:val="18"/>
                <w:szCs w:val="18"/>
                <w:u w:val="none"/>
              </w:rPr>
            </w:pPr>
          </w:p>
        </w:tc>
        <w:tc>
          <w:tcPr>
            <w:tcW w:w="616" w:type="pct"/>
            <w:tcBorders>
              <w:top w:val="single" w:color="auto" w:sz="6" w:space="0"/>
              <w:left w:val="single" w:color="auto" w:sz="6" w:space="0"/>
              <w:bottom w:val="single" w:color="auto" w:sz="6" w:space="0"/>
              <w:right w:val="single" w:color="auto" w:sz="6" w:space="0"/>
            </w:tcBorders>
            <w:shd w:val="clear" w:color="auto" w:fill="auto"/>
            <w:vAlign w:val="center"/>
          </w:tcPr>
          <w:p w14:paraId="5694BA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15" w:type="pct"/>
            <w:tcBorders>
              <w:top w:val="single" w:color="auto" w:sz="6" w:space="0"/>
              <w:left w:val="single" w:color="auto" w:sz="6" w:space="0"/>
              <w:bottom w:val="single" w:color="auto" w:sz="6" w:space="0"/>
              <w:right w:val="single" w:color="auto" w:sz="6" w:space="0"/>
            </w:tcBorders>
            <w:shd w:val="clear" w:color="auto" w:fill="auto"/>
            <w:vAlign w:val="center"/>
          </w:tcPr>
          <w:p w14:paraId="510E95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94" w:type="pct"/>
            <w:tcBorders>
              <w:top w:val="single" w:color="auto" w:sz="6" w:space="0"/>
              <w:left w:val="single" w:color="auto" w:sz="6" w:space="0"/>
              <w:bottom w:val="single" w:color="auto" w:sz="6" w:space="0"/>
              <w:right w:val="single" w:color="auto" w:sz="6" w:space="0"/>
            </w:tcBorders>
            <w:shd w:val="clear" w:color="auto" w:fill="auto"/>
            <w:vAlign w:val="center"/>
          </w:tcPr>
          <w:p w14:paraId="1B69B4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60" w:type="pct"/>
            <w:tcBorders>
              <w:top w:val="single" w:color="auto" w:sz="6" w:space="0"/>
              <w:left w:val="single" w:color="auto" w:sz="6" w:space="0"/>
              <w:bottom w:val="single" w:color="auto" w:sz="6" w:space="0"/>
              <w:right w:val="single" w:color="auto" w:sz="6" w:space="0"/>
            </w:tcBorders>
            <w:shd w:val="clear" w:color="auto" w:fill="auto"/>
            <w:vAlign w:val="center"/>
          </w:tcPr>
          <w:p w14:paraId="5BD07D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85" w:type="pct"/>
            <w:tcBorders>
              <w:top w:val="single" w:color="auto" w:sz="6" w:space="0"/>
              <w:left w:val="single" w:color="auto" w:sz="6" w:space="0"/>
              <w:bottom w:val="single" w:color="auto" w:sz="6" w:space="0"/>
              <w:right w:val="single" w:color="auto" w:sz="6" w:space="0"/>
            </w:tcBorders>
            <w:shd w:val="clear" w:color="auto" w:fill="auto"/>
            <w:vAlign w:val="center"/>
          </w:tcPr>
          <w:p w14:paraId="12511C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86" w:type="pct"/>
            <w:tcBorders>
              <w:top w:val="single" w:color="auto" w:sz="6" w:space="0"/>
              <w:left w:val="single" w:color="auto" w:sz="6" w:space="0"/>
              <w:bottom w:val="single" w:color="auto" w:sz="6" w:space="0"/>
              <w:right w:val="single" w:color="auto" w:sz="6" w:space="0"/>
            </w:tcBorders>
            <w:shd w:val="clear" w:color="auto" w:fill="auto"/>
            <w:vAlign w:val="center"/>
          </w:tcPr>
          <w:p w14:paraId="73D343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06" w:type="pct"/>
            <w:tcBorders>
              <w:top w:val="single" w:color="auto" w:sz="6" w:space="0"/>
              <w:left w:val="single" w:color="auto" w:sz="6" w:space="0"/>
              <w:bottom w:val="single" w:color="auto" w:sz="6" w:space="0"/>
              <w:right w:val="single" w:color="auto" w:sz="6" w:space="0"/>
            </w:tcBorders>
            <w:shd w:val="clear" w:color="auto" w:fill="auto"/>
            <w:vAlign w:val="center"/>
          </w:tcPr>
          <w:p w14:paraId="30CE16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lang w:val="en-US"/>
              </w:rPr>
            </w:pPr>
          </w:p>
        </w:tc>
      </w:tr>
      <w:tr w14:paraId="135FE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335" w:type="pct"/>
            <w:tcBorders>
              <w:top w:val="single" w:color="auto" w:sz="6" w:space="0"/>
              <w:left w:val="single" w:color="auto" w:sz="6" w:space="0"/>
              <w:bottom w:val="single" w:color="auto" w:sz="6" w:space="0"/>
              <w:right w:val="single" w:color="auto" w:sz="6" w:space="0"/>
            </w:tcBorders>
            <w:shd w:val="clear" w:color="auto" w:fill="auto"/>
            <w:vAlign w:val="center"/>
          </w:tcPr>
          <w:p w14:paraId="43B7ACFC">
            <w:pPr>
              <w:keepNext w:val="0"/>
              <w:keepLines w:val="0"/>
              <w:pageBreakBefore w:val="0"/>
              <w:widowControl w:val="0"/>
              <w:numPr>
                <w:ilvl w:val="0"/>
                <w:numId w:val="5"/>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616" w:type="pct"/>
            <w:tcBorders>
              <w:top w:val="single" w:color="auto" w:sz="6" w:space="0"/>
              <w:left w:val="single" w:color="auto" w:sz="6" w:space="0"/>
              <w:bottom w:val="single" w:color="auto" w:sz="6" w:space="0"/>
              <w:right w:val="single" w:color="auto" w:sz="6" w:space="0"/>
            </w:tcBorders>
            <w:shd w:val="clear" w:color="auto" w:fill="auto"/>
            <w:vAlign w:val="center"/>
          </w:tcPr>
          <w:p w14:paraId="3840A4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15" w:type="pct"/>
            <w:tcBorders>
              <w:top w:val="single" w:color="auto" w:sz="6" w:space="0"/>
              <w:left w:val="single" w:color="auto" w:sz="6" w:space="0"/>
              <w:bottom w:val="single" w:color="auto" w:sz="6" w:space="0"/>
              <w:right w:val="single" w:color="auto" w:sz="6" w:space="0"/>
            </w:tcBorders>
            <w:shd w:val="clear" w:color="auto" w:fill="auto"/>
            <w:vAlign w:val="center"/>
          </w:tcPr>
          <w:p w14:paraId="54A7BAF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94" w:type="pct"/>
            <w:tcBorders>
              <w:top w:val="single" w:color="auto" w:sz="6" w:space="0"/>
              <w:left w:val="single" w:color="auto" w:sz="6" w:space="0"/>
              <w:bottom w:val="single" w:color="auto" w:sz="6" w:space="0"/>
              <w:right w:val="single" w:color="auto" w:sz="6" w:space="0"/>
            </w:tcBorders>
            <w:shd w:val="clear" w:color="auto" w:fill="auto"/>
            <w:vAlign w:val="center"/>
          </w:tcPr>
          <w:p w14:paraId="1AF4B1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60" w:type="pct"/>
            <w:tcBorders>
              <w:top w:val="single" w:color="auto" w:sz="6" w:space="0"/>
              <w:left w:val="single" w:color="auto" w:sz="6" w:space="0"/>
              <w:bottom w:val="single" w:color="auto" w:sz="6" w:space="0"/>
              <w:right w:val="single" w:color="auto" w:sz="6" w:space="0"/>
            </w:tcBorders>
            <w:shd w:val="clear" w:color="auto" w:fill="auto"/>
            <w:vAlign w:val="center"/>
          </w:tcPr>
          <w:p w14:paraId="625B460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85" w:type="pct"/>
            <w:tcBorders>
              <w:top w:val="single" w:color="auto" w:sz="6" w:space="0"/>
              <w:left w:val="single" w:color="auto" w:sz="6" w:space="0"/>
              <w:bottom w:val="single" w:color="auto" w:sz="6" w:space="0"/>
              <w:right w:val="single" w:color="auto" w:sz="6" w:space="0"/>
            </w:tcBorders>
            <w:shd w:val="clear" w:color="auto" w:fill="auto"/>
            <w:vAlign w:val="center"/>
          </w:tcPr>
          <w:p w14:paraId="276D41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86" w:type="pct"/>
            <w:tcBorders>
              <w:top w:val="single" w:color="auto" w:sz="6" w:space="0"/>
              <w:left w:val="single" w:color="auto" w:sz="6" w:space="0"/>
              <w:bottom w:val="single" w:color="auto" w:sz="6" w:space="0"/>
              <w:right w:val="single" w:color="auto" w:sz="6" w:space="0"/>
            </w:tcBorders>
            <w:shd w:val="clear" w:color="auto" w:fill="auto"/>
            <w:vAlign w:val="center"/>
          </w:tcPr>
          <w:p w14:paraId="62C561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06" w:type="pct"/>
            <w:tcBorders>
              <w:top w:val="single" w:color="auto" w:sz="6" w:space="0"/>
              <w:left w:val="single" w:color="auto" w:sz="6" w:space="0"/>
              <w:bottom w:val="single" w:color="auto" w:sz="6" w:space="0"/>
              <w:right w:val="single" w:color="auto" w:sz="6" w:space="0"/>
            </w:tcBorders>
            <w:shd w:val="clear" w:color="auto" w:fill="auto"/>
            <w:vAlign w:val="center"/>
          </w:tcPr>
          <w:p w14:paraId="2A610E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lang w:val="en-US"/>
              </w:rPr>
            </w:pPr>
          </w:p>
        </w:tc>
      </w:tr>
      <w:tr w14:paraId="22AFA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35" w:type="pct"/>
            <w:tcBorders>
              <w:top w:val="single" w:color="auto" w:sz="6" w:space="0"/>
              <w:left w:val="single" w:color="auto" w:sz="6" w:space="0"/>
              <w:bottom w:val="single" w:color="auto" w:sz="6" w:space="0"/>
              <w:right w:val="single" w:color="auto" w:sz="6" w:space="0"/>
            </w:tcBorders>
            <w:shd w:val="clear" w:color="auto" w:fill="auto"/>
            <w:vAlign w:val="center"/>
          </w:tcPr>
          <w:p w14:paraId="4E7D6BF1">
            <w:pPr>
              <w:keepNext w:val="0"/>
              <w:keepLines w:val="0"/>
              <w:pageBreakBefore w:val="0"/>
              <w:widowControl w:val="0"/>
              <w:numPr>
                <w:ilvl w:val="0"/>
                <w:numId w:val="5"/>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616" w:type="pct"/>
            <w:tcBorders>
              <w:top w:val="single" w:color="auto" w:sz="6" w:space="0"/>
              <w:left w:val="single" w:color="auto" w:sz="6" w:space="0"/>
              <w:bottom w:val="single" w:color="auto" w:sz="6" w:space="0"/>
              <w:right w:val="single" w:color="auto" w:sz="6" w:space="0"/>
            </w:tcBorders>
            <w:shd w:val="clear" w:color="auto" w:fill="auto"/>
            <w:vAlign w:val="center"/>
          </w:tcPr>
          <w:p w14:paraId="5059AB3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15" w:type="pct"/>
            <w:tcBorders>
              <w:top w:val="single" w:color="auto" w:sz="6" w:space="0"/>
              <w:left w:val="single" w:color="auto" w:sz="6" w:space="0"/>
              <w:bottom w:val="single" w:color="auto" w:sz="6" w:space="0"/>
              <w:right w:val="single" w:color="auto" w:sz="6" w:space="0"/>
            </w:tcBorders>
            <w:shd w:val="clear" w:color="auto" w:fill="auto"/>
            <w:vAlign w:val="center"/>
          </w:tcPr>
          <w:p w14:paraId="3D626D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94" w:type="pct"/>
            <w:tcBorders>
              <w:top w:val="single" w:color="auto" w:sz="6" w:space="0"/>
              <w:left w:val="single" w:color="auto" w:sz="6" w:space="0"/>
              <w:bottom w:val="single" w:color="auto" w:sz="6" w:space="0"/>
              <w:right w:val="single" w:color="auto" w:sz="6" w:space="0"/>
            </w:tcBorders>
            <w:shd w:val="clear" w:color="auto" w:fill="auto"/>
            <w:vAlign w:val="center"/>
          </w:tcPr>
          <w:p w14:paraId="77F128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60" w:type="pct"/>
            <w:tcBorders>
              <w:top w:val="single" w:color="auto" w:sz="6" w:space="0"/>
              <w:left w:val="single" w:color="auto" w:sz="6" w:space="0"/>
              <w:bottom w:val="single" w:color="auto" w:sz="6" w:space="0"/>
              <w:right w:val="single" w:color="auto" w:sz="6" w:space="0"/>
            </w:tcBorders>
            <w:shd w:val="clear" w:color="auto" w:fill="auto"/>
            <w:vAlign w:val="center"/>
          </w:tcPr>
          <w:p w14:paraId="4A465A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85" w:type="pct"/>
            <w:tcBorders>
              <w:top w:val="single" w:color="auto" w:sz="6" w:space="0"/>
              <w:left w:val="single" w:color="auto" w:sz="6" w:space="0"/>
              <w:bottom w:val="single" w:color="auto" w:sz="6" w:space="0"/>
              <w:right w:val="single" w:color="auto" w:sz="6" w:space="0"/>
            </w:tcBorders>
            <w:shd w:val="clear" w:color="auto" w:fill="auto"/>
            <w:vAlign w:val="center"/>
          </w:tcPr>
          <w:p w14:paraId="0F2739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86" w:type="pct"/>
            <w:tcBorders>
              <w:top w:val="single" w:color="auto" w:sz="6" w:space="0"/>
              <w:left w:val="single" w:color="auto" w:sz="6" w:space="0"/>
              <w:bottom w:val="single" w:color="auto" w:sz="6" w:space="0"/>
              <w:right w:val="single" w:color="auto" w:sz="6" w:space="0"/>
            </w:tcBorders>
            <w:shd w:val="clear" w:color="auto" w:fill="auto"/>
            <w:vAlign w:val="center"/>
          </w:tcPr>
          <w:p w14:paraId="302EA3C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06" w:type="pct"/>
            <w:tcBorders>
              <w:top w:val="single" w:color="auto" w:sz="6" w:space="0"/>
              <w:left w:val="single" w:color="auto" w:sz="6" w:space="0"/>
              <w:bottom w:val="single" w:color="auto" w:sz="6" w:space="0"/>
              <w:right w:val="single" w:color="auto" w:sz="6" w:space="0"/>
            </w:tcBorders>
            <w:shd w:val="clear" w:color="auto" w:fill="auto"/>
            <w:vAlign w:val="center"/>
          </w:tcPr>
          <w:p w14:paraId="7B36A1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lang w:val="en-US"/>
              </w:rPr>
            </w:pPr>
          </w:p>
        </w:tc>
      </w:tr>
      <w:tr w14:paraId="59226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4393" w:type="pct"/>
            <w:gridSpan w:val="7"/>
            <w:tcBorders>
              <w:top w:val="single" w:color="auto" w:sz="6" w:space="0"/>
              <w:left w:val="single" w:color="auto" w:sz="6" w:space="0"/>
              <w:bottom w:val="single" w:color="auto" w:sz="6" w:space="0"/>
              <w:right w:val="single" w:color="auto" w:sz="6" w:space="0"/>
            </w:tcBorders>
            <w:shd w:val="clear" w:color="auto" w:fill="auto"/>
            <w:vAlign w:val="center"/>
          </w:tcPr>
          <w:p w14:paraId="65D69A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合计</w:t>
            </w:r>
          </w:p>
        </w:tc>
        <w:tc>
          <w:tcPr>
            <w:tcW w:w="606" w:type="pct"/>
            <w:tcBorders>
              <w:top w:val="single" w:color="auto" w:sz="6" w:space="0"/>
              <w:left w:val="single" w:color="auto" w:sz="6" w:space="0"/>
              <w:bottom w:val="single" w:color="auto" w:sz="6" w:space="0"/>
              <w:right w:val="single" w:color="auto" w:sz="6" w:space="0"/>
            </w:tcBorders>
            <w:shd w:val="clear" w:color="auto" w:fill="auto"/>
            <w:vAlign w:val="center"/>
          </w:tcPr>
          <w:p w14:paraId="2159E4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r>
    </w:tbl>
    <w:p w14:paraId="1208C1D3">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right"/>
        <w:outlineLvl w:val="0"/>
        <w:rPr>
          <w:rFonts w:hint="default" w:ascii="Times New Roman" w:hAnsi="Times New Roman" w:eastAsia="仿宋" w:cs="Times New Roman"/>
          <w:kern w:val="21"/>
          <w:sz w:val="28"/>
          <w:szCs w:val="28"/>
          <w:highlight w:val="none"/>
          <w:lang w:val="en-US" w:eastAsia="zh-CN" w:bidi="ar-SA"/>
        </w:rPr>
      </w:pPr>
      <w:r>
        <w:rPr>
          <w:rFonts w:hint="default" w:ascii="Times New Roman" w:hAnsi="Times New Roman" w:eastAsia="仿宋" w:cs="Times New Roman"/>
          <w:kern w:val="21"/>
          <w:sz w:val="28"/>
          <w:szCs w:val="28"/>
          <w:highlight w:val="none"/>
          <w:lang w:val="en-US" w:eastAsia="zh-CN" w:bidi="ar-SA"/>
        </w:rPr>
        <w:t xml:space="preserve">附件3 自发自用明细                                               </w:t>
      </w:r>
      <w:r>
        <w:rPr>
          <w:rFonts w:hint="default" w:ascii="Times New Roman" w:hAnsi="Times New Roman" w:eastAsia="仿宋" w:cs="Times New Roman"/>
          <w:sz w:val="24"/>
          <w:szCs w:val="24"/>
          <w:highlight w:val="none"/>
          <w:lang w:val="en-US" w:eastAsia="zh-CN"/>
        </w:rPr>
        <w:t>单位：兆瓦时</w:t>
      </w:r>
    </w:p>
    <w:tbl>
      <w:tblPr>
        <w:tblStyle w:val="24"/>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28"/>
        <w:gridCol w:w="1017"/>
        <w:gridCol w:w="2304"/>
        <w:gridCol w:w="1209"/>
        <w:gridCol w:w="1205"/>
        <w:gridCol w:w="943"/>
        <w:gridCol w:w="1313"/>
      </w:tblGrid>
      <w:tr w14:paraId="79935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jc w:val="center"/>
        </w:trPr>
        <w:tc>
          <w:tcPr>
            <w:tcW w:w="309" w:type="pct"/>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6F91B4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序 号</w:t>
            </w:r>
          </w:p>
        </w:tc>
        <w:tc>
          <w:tcPr>
            <w:tcW w:w="596" w:type="pct"/>
            <w:tcBorders>
              <w:top w:val="single" w:color="000000" w:sz="4" w:space="0"/>
              <w:left w:val="single" w:color="000000" w:sz="4" w:space="0"/>
              <w:bottom w:val="single" w:color="auto" w:sz="6" w:space="0"/>
              <w:right w:val="single" w:color="000000" w:sz="4" w:space="0"/>
            </w:tcBorders>
            <w:shd w:val="clear" w:color="auto" w:fill="auto"/>
            <w:vAlign w:val="center"/>
          </w:tcPr>
          <w:p w14:paraId="577D0D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用电月份</w:t>
            </w:r>
          </w:p>
        </w:tc>
        <w:tc>
          <w:tcPr>
            <w:tcW w:w="1352" w:type="pct"/>
            <w:tcBorders>
              <w:top w:val="single" w:color="000000" w:sz="4" w:space="0"/>
              <w:left w:val="single" w:color="000000" w:sz="4" w:space="0"/>
              <w:bottom w:val="single" w:color="auto" w:sz="6" w:space="0"/>
              <w:right w:val="single" w:color="000000" w:sz="4" w:space="0"/>
            </w:tcBorders>
            <w:shd w:val="clear" w:color="auto" w:fill="auto"/>
            <w:vAlign w:val="center"/>
          </w:tcPr>
          <w:p w14:paraId="22EB06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项目名称</w:t>
            </w:r>
          </w:p>
        </w:tc>
        <w:tc>
          <w:tcPr>
            <w:tcW w:w="709" w:type="pct"/>
            <w:tcBorders>
              <w:top w:val="single" w:color="000000" w:sz="4" w:space="0"/>
              <w:left w:val="single" w:color="000000" w:sz="4" w:space="0"/>
              <w:bottom w:val="single" w:color="auto" w:sz="6" w:space="0"/>
              <w:right w:val="single" w:color="000000" w:sz="4" w:space="0"/>
            </w:tcBorders>
            <w:shd w:val="clear" w:color="auto" w:fill="auto"/>
            <w:vAlign w:val="center"/>
          </w:tcPr>
          <w:p w14:paraId="6FBD37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项目类型</w:t>
            </w:r>
          </w:p>
        </w:tc>
        <w:tc>
          <w:tcPr>
            <w:tcW w:w="707" w:type="pct"/>
            <w:tcBorders>
              <w:top w:val="single" w:color="000000" w:sz="4" w:space="0"/>
              <w:left w:val="single" w:color="000000" w:sz="4" w:space="0"/>
              <w:bottom w:val="single" w:color="auto" w:sz="6" w:space="0"/>
              <w:right w:val="single" w:color="000000" w:sz="4" w:space="0"/>
            </w:tcBorders>
            <w:shd w:val="clear" w:color="auto" w:fill="auto"/>
            <w:vAlign w:val="center"/>
          </w:tcPr>
          <w:p w14:paraId="7784A34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发电量</w:t>
            </w:r>
          </w:p>
        </w:tc>
        <w:tc>
          <w:tcPr>
            <w:tcW w:w="553" w:type="pct"/>
            <w:tcBorders>
              <w:top w:val="single" w:color="000000" w:sz="4" w:space="0"/>
              <w:left w:val="single" w:color="000000" w:sz="4" w:space="0"/>
              <w:bottom w:val="single" w:color="auto" w:sz="6" w:space="0"/>
              <w:right w:val="single" w:color="000000" w:sz="4" w:space="0"/>
            </w:tcBorders>
            <w:shd w:val="clear" w:color="auto" w:fill="auto"/>
            <w:vAlign w:val="center"/>
          </w:tcPr>
          <w:p w14:paraId="3602F4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上网电量</w:t>
            </w:r>
          </w:p>
        </w:tc>
        <w:tc>
          <w:tcPr>
            <w:tcW w:w="770" w:type="pct"/>
            <w:tcBorders>
              <w:top w:val="single" w:color="000000" w:sz="4" w:space="0"/>
              <w:left w:val="single" w:color="000000" w:sz="4" w:space="0"/>
              <w:bottom w:val="single" w:color="auto" w:sz="6" w:space="0"/>
              <w:right w:val="single" w:color="000000" w:sz="4" w:space="0"/>
            </w:tcBorders>
            <w:shd w:val="clear" w:color="auto" w:fill="auto"/>
            <w:vAlign w:val="center"/>
          </w:tcPr>
          <w:p w14:paraId="3CB159D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自发自用电量</w:t>
            </w:r>
          </w:p>
        </w:tc>
      </w:tr>
      <w:tr w14:paraId="2C233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09" w:type="pct"/>
            <w:tcBorders>
              <w:top w:val="single" w:color="auto" w:sz="6" w:space="0"/>
              <w:left w:val="single" w:color="auto" w:sz="6" w:space="0"/>
              <w:bottom w:val="single" w:color="auto" w:sz="6" w:space="0"/>
              <w:right w:val="single" w:color="auto" w:sz="6" w:space="0"/>
            </w:tcBorders>
            <w:shd w:val="clear" w:color="auto" w:fill="auto"/>
            <w:vAlign w:val="center"/>
          </w:tcPr>
          <w:p w14:paraId="1FC28BEC">
            <w:pPr>
              <w:keepNext w:val="0"/>
              <w:keepLines w:val="0"/>
              <w:pageBreakBefore w:val="0"/>
              <w:widowControl w:val="0"/>
              <w:numPr>
                <w:ilvl w:val="0"/>
                <w:numId w:val="6"/>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sz w:val="18"/>
                <w:szCs w:val="18"/>
                <w:u w:val="none"/>
              </w:rPr>
            </w:pPr>
          </w:p>
        </w:tc>
        <w:tc>
          <w:tcPr>
            <w:tcW w:w="596" w:type="pct"/>
            <w:tcBorders>
              <w:top w:val="single" w:color="auto" w:sz="6" w:space="0"/>
              <w:left w:val="single" w:color="auto" w:sz="6" w:space="0"/>
              <w:bottom w:val="single" w:color="auto" w:sz="6" w:space="0"/>
              <w:right w:val="single" w:color="auto" w:sz="6" w:space="0"/>
            </w:tcBorders>
            <w:shd w:val="clear" w:color="auto" w:fill="auto"/>
            <w:vAlign w:val="center"/>
          </w:tcPr>
          <w:p w14:paraId="46600C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1352" w:type="pct"/>
            <w:tcBorders>
              <w:top w:val="single" w:color="auto" w:sz="6" w:space="0"/>
              <w:left w:val="single" w:color="auto" w:sz="6" w:space="0"/>
              <w:bottom w:val="single" w:color="auto" w:sz="6" w:space="0"/>
              <w:right w:val="single" w:color="auto" w:sz="6" w:space="0"/>
            </w:tcBorders>
            <w:shd w:val="clear" w:color="auto" w:fill="auto"/>
            <w:vAlign w:val="center"/>
          </w:tcPr>
          <w:p w14:paraId="1A96FA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09" w:type="pct"/>
            <w:tcBorders>
              <w:top w:val="single" w:color="auto" w:sz="6" w:space="0"/>
              <w:left w:val="single" w:color="auto" w:sz="6" w:space="0"/>
              <w:bottom w:val="single" w:color="auto" w:sz="6" w:space="0"/>
              <w:right w:val="single" w:color="auto" w:sz="6" w:space="0"/>
            </w:tcBorders>
            <w:shd w:val="clear" w:color="auto" w:fill="auto"/>
            <w:vAlign w:val="center"/>
          </w:tcPr>
          <w:p w14:paraId="66F862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07" w:type="pct"/>
            <w:tcBorders>
              <w:top w:val="single" w:color="auto" w:sz="6" w:space="0"/>
              <w:left w:val="single" w:color="auto" w:sz="6" w:space="0"/>
              <w:bottom w:val="single" w:color="auto" w:sz="6" w:space="0"/>
              <w:right w:val="single" w:color="auto" w:sz="6" w:space="0"/>
            </w:tcBorders>
            <w:shd w:val="clear" w:color="auto" w:fill="auto"/>
            <w:vAlign w:val="center"/>
          </w:tcPr>
          <w:p w14:paraId="25F5DF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53" w:type="pct"/>
            <w:tcBorders>
              <w:top w:val="single" w:color="auto" w:sz="6" w:space="0"/>
              <w:left w:val="single" w:color="auto" w:sz="6" w:space="0"/>
              <w:bottom w:val="single" w:color="auto" w:sz="6" w:space="0"/>
              <w:right w:val="single" w:color="auto" w:sz="6" w:space="0"/>
            </w:tcBorders>
            <w:shd w:val="clear" w:color="auto" w:fill="auto"/>
            <w:vAlign w:val="center"/>
          </w:tcPr>
          <w:p w14:paraId="568CF94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70" w:type="pct"/>
            <w:tcBorders>
              <w:top w:val="single" w:color="auto" w:sz="6" w:space="0"/>
              <w:left w:val="single" w:color="auto" w:sz="6" w:space="0"/>
              <w:bottom w:val="single" w:color="auto" w:sz="6" w:space="0"/>
              <w:right w:val="single" w:color="auto" w:sz="6" w:space="0"/>
            </w:tcBorders>
            <w:shd w:val="clear" w:color="auto" w:fill="auto"/>
            <w:vAlign w:val="center"/>
          </w:tcPr>
          <w:p w14:paraId="546FCB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r>
      <w:tr w14:paraId="16843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09" w:type="pct"/>
            <w:tcBorders>
              <w:top w:val="single" w:color="auto" w:sz="6" w:space="0"/>
              <w:left w:val="single" w:color="auto" w:sz="6" w:space="0"/>
              <w:bottom w:val="single" w:color="auto" w:sz="6" w:space="0"/>
              <w:right w:val="single" w:color="auto" w:sz="6" w:space="0"/>
            </w:tcBorders>
            <w:shd w:val="clear" w:color="auto" w:fill="auto"/>
            <w:vAlign w:val="center"/>
          </w:tcPr>
          <w:p w14:paraId="27B1430A">
            <w:pPr>
              <w:keepNext w:val="0"/>
              <w:keepLines w:val="0"/>
              <w:pageBreakBefore w:val="0"/>
              <w:widowControl w:val="0"/>
              <w:numPr>
                <w:ilvl w:val="0"/>
                <w:numId w:val="6"/>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596" w:type="pct"/>
            <w:tcBorders>
              <w:top w:val="single" w:color="auto" w:sz="6" w:space="0"/>
              <w:left w:val="single" w:color="auto" w:sz="6" w:space="0"/>
              <w:bottom w:val="single" w:color="auto" w:sz="6" w:space="0"/>
              <w:right w:val="single" w:color="auto" w:sz="6" w:space="0"/>
            </w:tcBorders>
            <w:shd w:val="clear" w:color="auto" w:fill="auto"/>
            <w:vAlign w:val="center"/>
          </w:tcPr>
          <w:p w14:paraId="4B19CA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1352" w:type="pct"/>
            <w:tcBorders>
              <w:top w:val="single" w:color="auto" w:sz="6" w:space="0"/>
              <w:left w:val="single" w:color="auto" w:sz="6" w:space="0"/>
              <w:bottom w:val="single" w:color="auto" w:sz="6" w:space="0"/>
              <w:right w:val="single" w:color="auto" w:sz="6" w:space="0"/>
            </w:tcBorders>
            <w:shd w:val="clear" w:color="auto" w:fill="auto"/>
            <w:vAlign w:val="center"/>
          </w:tcPr>
          <w:p w14:paraId="7BBD75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09" w:type="pct"/>
            <w:tcBorders>
              <w:top w:val="single" w:color="auto" w:sz="6" w:space="0"/>
              <w:left w:val="single" w:color="auto" w:sz="6" w:space="0"/>
              <w:bottom w:val="single" w:color="auto" w:sz="6" w:space="0"/>
              <w:right w:val="single" w:color="auto" w:sz="6" w:space="0"/>
            </w:tcBorders>
            <w:shd w:val="clear" w:color="auto" w:fill="auto"/>
            <w:vAlign w:val="center"/>
          </w:tcPr>
          <w:p w14:paraId="191E6C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07" w:type="pct"/>
            <w:tcBorders>
              <w:top w:val="single" w:color="auto" w:sz="6" w:space="0"/>
              <w:left w:val="single" w:color="auto" w:sz="6" w:space="0"/>
              <w:bottom w:val="single" w:color="auto" w:sz="6" w:space="0"/>
              <w:right w:val="single" w:color="auto" w:sz="6" w:space="0"/>
            </w:tcBorders>
            <w:shd w:val="clear" w:color="auto" w:fill="auto"/>
            <w:vAlign w:val="center"/>
          </w:tcPr>
          <w:p w14:paraId="6CEF77B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53" w:type="pct"/>
            <w:tcBorders>
              <w:top w:val="single" w:color="auto" w:sz="6" w:space="0"/>
              <w:left w:val="single" w:color="auto" w:sz="6" w:space="0"/>
              <w:bottom w:val="single" w:color="auto" w:sz="6" w:space="0"/>
              <w:right w:val="single" w:color="auto" w:sz="6" w:space="0"/>
            </w:tcBorders>
            <w:shd w:val="clear" w:color="auto" w:fill="auto"/>
            <w:vAlign w:val="center"/>
          </w:tcPr>
          <w:p w14:paraId="74A8CA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70" w:type="pct"/>
            <w:tcBorders>
              <w:top w:val="single" w:color="auto" w:sz="6" w:space="0"/>
              <w:left w:val="single" w:color="auto" w:sz="6" w:space="0"/>
              <w:bottom w:val="single" w:color="auto" w:sz="6" w:space="0"/>
              <w:right w:val="single" w:color="auto" w:sz="6" w:space="0"/>
            </w:tcBorders>
            <w:shd w:val="clear" w:color="auto" w:fill="auto"/>
            <w:vAlign w:val="center"/>
          </w:tcPr>
          <w:p w14:paraId="6FDDC8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r>
      <w:tr w14:paraId="0E263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309" w:type="pct"/>
            <w:tcBorders>
              <w:top w:val="single" w:color="auto" w:sz="6" w:space="0"/>
              <w:left w:val="single" w:color="auto" w:sz="6" w:space="0"/>
              <w:bottom w:val="single" w:color="auto" w:sz="6" w:space="0"/>
              <w:right w:val="single" w:color="auto" w:sz="6" w:space="0"/>
            </w:tcBorders>
            <w:shd w:val="clear" w:color="auto" w:fill="auto"/>
            <w:vAlign w:val="center"/>
          </w:tcPr>
          <w:p w14:paraId="4F8F7984">
            <w:pPr>
              <w:keepNext w:val="0"/>
              <w:keepLines w:val="0"/>
              <w:pageBreakBefore w:val="0"/>
              <w:widowControl w:val="0"/>
              <w:numPr>
                <w:ilvl w:val="0"/>
                <w:numId w:val="6"/>
              </w:numPr>
              <w:suppressLineNumbers w:val="0"/>
              <w:kinsoku/>
              <w:wordWrap/>
              <w:overflowPunct/>
              <w:topLinePunct w:val="0"/>
              <w:autoSpaceDE/>
              <w:autoSpaceDN/>
              <w:bidi w:val="0"/>
              <w:adjustRightInd/>
              <w:snapToGrid/>
              <w:spacing w:before="0" w:beforeAutospacing="0" w:after="0" w:afterAutospacing="0" w:line="240" w:lineRule="auto"/>
              <w:ind w:left="454" w:right="0" w:hanging="454"/>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596" w:type="pct"/>
            <w:tcBorders>
              <w:top w:val="single" w:color="auto" w:sz="6" w:space="0"/>
              <w:left w:val="single" w:color="auto" w:sz="6" w:space="0"/>
              <w:bottom w:val="single" w:color="auto" w:sz="6" w:space="0"/>
              <w:right w:val="single" w:color="auto" w:sz="6" w:space="0"/>
            </w:tcBorders>
            <w:shd w:val="clear" w:color="auto" w:fill="auto"/>
            <w:vAlign w:val="center"/>
          </w:tcPr>
          <w:p w14:paraId="5E4273B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1352" w:type="pct"/>
            <w:tcBorders>
              <w:top w:val="single" w:color="auto" w:sz="6" w:space="0"/>
              <w:left w:val="single" w:color="auto" w:sz="6" w:space="0"/>
              <w:bottom w:val="single" w:color="auto" w:sz="6" w:space="0"/>
              <w:right w:val="single" w:color="auto" w:sz="6" w:space="0"/>
            </w:tcBorders>
            <w:shd w:val="clear" w:color="auto" w:fill="auto"/>
            <w:vAlign w:val="center"/>
          </w:tcPr>
          <w:p w14:paraId="14FDE6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09" w:type="pct"/>
            <w:tcBorders>
              <w:top w:val="single" w:color="auto" w:sz="6" w:space="0"/>
              <w:left w:val="single" w:color="auto" w:sz="6" w:space="0"/>
              <w:bottom w:val="single" w:color="auto" w:sz="6" w:space="0"/>
              <w:right w:val="single" w:color="auto" w:sz="6" w:space="0"/>
            </w:tcBorders>
            <w:shd w:val="clear" w:color="auto" w:fill="auto"/>
            <w:vAlign w:val="center"/>
          </w:tcPr>
          <w:p w14:paraId="2ADEE9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07" w:type="pct"/>
            <w:tcBorders>
              <w:top w:val="single" w:color="auto" w:sz="6" w:space="0"/>
              <w:left w:val="single" w:color="auto" w:sz="6" w:space="0"/>
              <w:bottom w:val="single" w:color="auto" w:sz="6" w:space="0"/>
              <w:right w:val="single" w:color="auto" w:sz="6" w:space="0"/>
            </w:tcBorders>
            <w:shd w:val="clear" w:color="auto" w:fill="auto"/>
            <w:vAlign w:val="center"/>
          </w:tcPr>
          <w:p w14:paraId="70D166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53" w:type="pct"/>
            <w:tcBorders>
              <w:top w:val="single" w:color="auto" w:sz="6" w:space="0"/>
              <w:left w:val="single" w:color="auto" w:sz="6" w:space="0"/>
              <w:bottom w:val="single" w:color="auto" w:sz="6" w:space="0"/>
              <w:right w:val="single" w:color="auto" w:sz="6" w:space="0"/>
            </w:tcBorders>
            <w:shd w:val="clear" w:color="auto" w:fill="auto"/>
            <w:vAlign w:val="center"/>
          </w:tcPr>
          <w:p w14:paraId="3F6C1B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70" w:type="pct"/>
            <w:tcBorders>
              <w:top w:val="single" w:color="auto" w:sz="6" w:space="0"/>
              <w:left w:val="single" w:color="auto" w:sz="6" w:space="0"/>
              <w:bottom w:val="single" w:color="auto" w:sz="6" w:space="0"/>
              <w:right w:val="single" w:color="auto" w:sz="6" w:space="0"/>
            </w:tcBorders>
            <w:shd w:val="clear" w:color="auto" w:fill="auto"/>
            <w:vAlign w:val="center"/>
          </w:tcPr>
          <w:p w14:paraId="1469BE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r>
      <w:tr w14:paraId="3E96C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906" w:type="pct"/>
            <w:gridSpan w:val="2"/>
            <w:tcBorders>
              <w:top w:val="single" w:color="auto" w:sz="6" w:space="0"/>
              <w:left w:val="single" w:color="auto" w:sz="6" w:space="0"/>
              <w:bottom w:val="single" w:color="auto" w:sz="6" w:space="0"/>
              <w:right w:val="single" w:color="auto" w:sz="6" w:space="0"/>
            </w:tcBorders>
            <w:shd w:val="clear" w:color="auto" w:fill="auto"/>
            <w:vAlign w:val="center"/>
          </w:tcPr>
          <w:p w14:paraId="48EAA9D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合计</w:t>
            </w:r>
          </w:p>
        </w:tc>
        <w:tc>
          <w:tcPr>
            <w:tcW w:w="2061" w:type="pct"/>
            <w:gridSpan w:val="2"/>
            <w:tcBorders>
              <w:top w:val="single" w:color="auto" w:sz="6" w:space="0"/>
              <w:left w:val="single" w:color="auto" w:sz="6" w:space="0"/>
              <w:bottom w:val="single" w:color="auto" w:sz="6" w:space="0"/>
              <w:right w:val="single" w:color="auto" w:sz="6" w:space="0"/>
            </w:tcBorders>
            <w:shd w:val="clear" w:color="auto" w:fill="auto"/>
            <w:vAlign w:val="center"/>
          </w:tcPr>
          <w:p w14:paraId="7BBC60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707" w:type="pct"/>
            <w:tcBorders>
              <w:top w:val="single" w:color="auto" w:sz="6" w:space="0"/>
              <w:left w:val="single" w:color="auto" w:sz="6" w:space="0"/>
              <w:bottom w:val="single" w:color="auto" w:sz="6" w:space="0"/>
              <w:right w:val="single" w:color="auto" w:sz="6" w:space="0"/>
            </w:tcBorders>
            <w:shd w:val="clear" w:color="auto" w:fill="auto"/>
            <w:vAlign w:val="center"/>
          </w:tcPr>
          <w:p w14:paraId="5011D8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553" w:type="pct"/>
            <w:tcBorders>
              <w:top w:val="single" w:color="auto" w:sz="6" w:space="0"/>
              <w:left w:val="single" w:color="auto" w:sz="6" w:space="0"/>
              <w:bottom w:val="single" w:color="auto" w:sz="6" w:space="0"/>
              <w:right w:val="single" w:color="auto" w:sz="6" w:space="0"/>
            </w:tcBorders>
            <w:shd w:val="clear" w:color="auto" w:fill="auto"/>
            <w:vAlign w:val="center"/>
          </w:tcPr>
          <w:p w14:paraId="2E18B5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770" w:type="pct"/>
            <w:tcBorders>
              <w:top w:val="single" w:color="auto" w:sz="6" w:space="0"/>
              <w:left w:val="single" w:color="auto" w:sz="6" w:space="0"/>
              <w:bottom w:val="single" w:color="auto" w:sz="6" w:space="0"/>
              <w:right w:val="single" w:color="auto" w:sz="6" w:space="0"/>
            </w:tcBorders>
            <w:shd w:val="clear" w:color="auto" w:fill="auto"/>
            <w:vAlign w:val="center"/>
          </w:tcPr>
          <w:p w14:paraId="343507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r>
    </w:tbl>
    <w:p w14:paraId="58E4DABC">
      <w:pPr>
        <w:pStyle w:val="28"/>
        <w:keepNext w:val="0"/>
        <w:keepLines w:val="0"/>
        <w:pageBreakBefore w:val="0"/>
        <w:widowControl w:val="0"/>
        <w:numPr>
          <w:ilvl w:val="1"/>
          <w:numId w:val="0"/>
        </w:numPr>
        <w:kinsoku/>
        <w:topLinePunct w:val="0"/>
        <w:autoSpaceDE w:val="0"/>
        <w:bidi w:val="0"/>
        <w:adjustRightInd/>
        <w:snapToGrid/>
        <w:spacing w:before="0" w:beforeLines="0" w:after="0" w:afterLines="0" w:line="500" w:lineRule="exact"/>
        <w:jc w:val="right"/>
        <w:outlineLvl w:val="0"/>
        <w:rPr>
          <w:rFonts w:hint="default" w:ascii="Times New Roman" w:hAnsi="Times New Roman" w:eastAsia="仿宋" w:cs="Times New Roman"/>
          <w:kern w:val="21"/>
          <w:sz w:val="28"/>
          <w:szCs w:val="28"/>
          <w:highlight w:val="none"/>
          <w:lang w:val="en-US" w:eastAsia="zh-CN" w:bidi="ar-SA"/>
        </w:rPr>
      </w:pPr>
      <w:r>
        <w:rPr>
          <w:rFonts w:hint="default" w:ascii="Times New Roman" w:hAnsi="Times New Roman" w:eastAsia="仿宋" w:cs="Times New Roman"/>
          <w:kern w:val="21"/>
          <w:sz w:val="28"/>
          <w:szCs w:val="28"/>
          <w:highlight w:val="none"/>
          <w:lang w:val="en-US" w:eastAsia="zh-CN" w:bidi="ar-SA"/>
        </w:rPr>
        <w:t xml:space="preserve">附件4 专线直供明细                                              </w:t>
      </w:r>
      <w:r>
        <w:rPr>
          <w:rFonts w:hint="default" w:ascii="Times New Roman" w:hAnsi="Times New Roman" w:eastAsia="仿宋" w:cs="Times New Roman"/>
          <w:sz w:val="24"/>
          <w:szCs w:val="24"/>
          <w:highlight w:val="none"/>
          <w:lang w:val="en-US" w:eastAsia="zh-CN"/>
        </w:rPr>
        <w:t xml:space="preserve"> 单位：兆瓦时</w:t>
      </w:r>
    </w:p>
    <w:tbl>
      <w:tblPr>
        <w:tblStyle w:val="24"/>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40"/>
        <w:gridCol w:w="988"/>
        <w:gridCol w:w="1297"/>
        <w:gridCol w:w="1331"/>
        <w:gridCol w:w="1050"/>
        <w:gridCol w:w="1036"/>
        <w:gridCol w:w="959"/>
        <w:gridCol w:w="1316"/>
      </w:tblGrid>
      <w:tr w14:paraId="1F7C7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jc w:val="center"/>
        </w:trPr>
        <w:tc>
          <w:tcPr>
            <w:tcW w:w="317" w:type="pct"/>
            <w:tcBorders>
              <w:top w:val="single" w:color="000000" w:sz="4" w:space="0"/>
              <w:left w:val="single" w:color="000000" w:sz="4" w:space="0"/>
              <w:bottom w:val="single" w:color="auto" w:sz="6" w:space="0"/>
              <w:right w:val="single" w:color="000000" w:sz="4" w:space="0"/>
            </w:tcBorders>
            <w:shd w:val="clear" w:color="auto" w:fill="auto"/>
            <w:textDirection w:val="tbRlV"/>
            <w:vAlign w:val="center"/>
          </w:tcPr>
          <w:p w14:paraId="399CAF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序 号</w:t>
            </w:r>
          </w:p>
        </w:tc>
        <w:tc>
          <w:tcPr>
            <w:tcW w:w="580" w:type="pct"/>
            <w:tcBorders>
              <w:top w:val="single" w:color="000000" w:sz="4" w:space="0"/>
              <w:left w:val="single" w:color="000000" w:sz="4" w:space="0"/>
              <w:bottom w:val="single" w:color="auto" w:sz="6" w:space="0"/>
              <w:right w:val="single" w:color="000000" w:sz="4" w:space="0"/>
            </w:tcBorders>
            <w:shd w:val="clear" w:color="auto" w:fill="auto"/>
            <w:vAlign w:val="center"/>
          </w:tcPr>
          <w:p w14:paraId="70E4F4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kern w:val="0"/>
                <w:sz w:val="18"/>
                <w:szCs w:val="18"/>
                <w:u w:val="none"/>
                <w:lang w:val="en-US" w:eastAsia="zh-CN" w:bidi="ar"/>
              </w:rPr>
              <w:t>用电月份</w:t>
            </w:r>
          </w:p>
        </w:tc>
        <w:tc>
          <w:tcPr>
            <w:tcW w:w="761" w:type="pct"/>
            <w:tcBorders>
              <w:top w:val="single" w:color="000000" w:sz="4" w:space="0"/>
              <w:left w:val="single" w:color="000000" w:sz="4" w:space="0"/>
              <w:bottom w:val="single" w:color="auto" w:sz="6" w:space="0"/>
              <w:right w:val="single" w:color="000000" w:sz="4" w:space="0"/>
            </w:tcBorders>
            <w:shd w:val="clear" w:color="auto" w:fill="auto"/>
            <w:vAlign w:val="center"/>
          </w:tcPr>
          <w:p w14:paraId="09B9FF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项目名称</w:t>
            </w:r>
          </w:p>
        </w:tc>
        <w:tc>
          <w:tcPr>
            <w:tcW w:w="781" w:type="pct"/>
            <w:tcBorders>
              <w:top w:val="single" w:color="000000" w:sz="4" w:space="0"/>
              <w:left w:val="single" w:color="000000" w:sz="4" w:space="0"/>
              <w:bottom w:val="single" w:color="auto" w:sz="6" w:space="0"/>
              <w:right w:val="single" w:color="000000" w:sz="4" w:space="0"/>
            </w:tcBorders>
            <w:shd w:val="clear" w:color="auto" w:fill="auto"/>
            <w:vAlign w:val="center"/>
          </w:tcPr>
          <w:p w14:paraId="4D64D32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合同名称</w:t>
            </w:r>
          </w:p>
        </w:tc>
        <w:tc>
          <w:tcPr>
            <w:tcW w:w="615" w:type="pct"/>
            <w:tcBorders>
              <w:top w:val="single" w:color="000000" w:sz="4" w:space="0"/>
              <w:left w:val="single" w:color="000000" w:sz="4" w:space="0"/>
              <w:bottom w:val="single" w:color="auto" w:sz="6" w:space="0"/>
              <w:right w:val="single" w:color="000000" w:sz="4" w:space="0"/>
            </w:tcBorders>
            <w:shd w:val="clear" w:color="auto" w:fill="auto"/>
            <w:vAlign w:val="center"/>
          </w:tcPr>
          <w:p w14:paraId="37728BF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项目类型</w:t>
            </w:r>
          </w:p>
        </w:tc>
        <w:tc>
          <w:tcPr>
            <w:tcW w:w="608" w:type="pct"/>
            <w:tcBorders>
              <w:top w:val="single" w:color="000000" w:sz="4" w:space="0"/>
              <w:left w:val="single" w:color="000000" w:sz="4" w:space="0"/>
              <w:bottom w:val="single" w:color="auto" w:sz="6" w:space="0"/>
              <w:right w:val="single" w:color="000000" w:sz="4" w:space="0"/>
            </w:tcBorders>
            <w:shd w:val="clear" w:color="auto" w:fill="auto"/>
            <w:vAlign w:val="center"/>
          </w:tcPr>
          <w:p w14:paraId="78D7AE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发电量</w:t>
            </w:r>
          </w:p>
        </w:tc>
        <w:tc>
          <w:tcPr>
            <w:tcW w:w="563" w:type="pct"/>
            <w:tcBorders>
              <w:top w:val="single" w:color="000000" w:sz="4" w:space="0"/>
              <w:left w:val="single" w:color="000000" w:sz="4" w:space="0"/>
              <w:bottom w:val="single" w:color="auto" w:sz="6" w:space="0"/>
              <w:right w:val="single" w:color="000000" w:sz="4" w:space="0"/>
            </w:tcBorders>
            <w:shd w:val="clear" w:color="auto" w:fill="auto"/>
            <w:vAlign w:val="center"/>
          </w:tcPr>
          <w:p w14:paraId="02D55D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cs="Times New Roman"/>
                <w:i w:val="0"/>
                <w:iCs w:val="0"/>
                <w:color w:val="000000"/>
                <w:sz w:val="18"/>
                <w:szCs w:val="18"/>
                <w:u w:val="none"/>
                <w:lang w:val="en-US" w:eastAsia="zh-CN"/>
              </w:rPr>
              <w:t>上网电量</w:t>
            </w:r>
          </w:p>
        </w:tc>
        <w:tc>
          <w:tcPr>
            <w:tcW w:w="772" w:type="pct"/>
            <w:tcBorders>
              <w:top w:val="single" w:color="000000" w:sz="4" w:space="0"/>
              <w:left w:val="single" w:color="000000" w:sz="4" w:space="0"/>
              <w:bottom w:val="single" w:color="auto" w:sz="6" w:space="0"/>
              <w:right w:val="single" w:color="000000" w:sz="4" w:space="0"/>
            </w:tcBorders>
            <w:shd w:val="clear" w:color="auto" w:fill="auto"/>
            <w:vAlign w:val="center"/>
          </w:tcPr>
          <w:p w14:paraId="7BF510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r>
              <w:rPr>
                <w:rFonts w:hint="default" w:ascii="Times New Roman" w:hAnsi="Times New Roman" w:eastAsia="宋体" w:cs="Times New Roman"/>
                <w:i w:val="0"/>
                <w:iCs w:val="0"/>
                <w:color w:val="000000"/>
                <w:kern w:val="0"/>
                <w:sz w:val="18"/>
                <w:szCs w:val="18"/>
                <w:u w:val="none"/>
                <w:lang w:val="en-US" w:eastAsia="zh-CN" w:bidi="ar"/>
              </w:rPr>
              <w:t>交易结算电量</w:t>
            </w:r>
          </w:p>
        </w:tc>
      </w:tr>
      <w:tr w14:paraId="56BD7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7" w:type="pct"/>
            <w:tcBorders>
              <w:top w:val="single" w:color="auto" w:sz="6" w:space="0"/>
              <w:left w:val="single" w:color="auto" w:sz="6" w:space="0"/>
              <w:bottom w:val="single" w:color="auto" w:sz="6" w:space="0"/>
              <w:right w:val="single" w:color="auto" w:sz="6" w:space="0"/>
            </w:tcBorders>
            <w:shd w:val="clear" w:color="auto" w:fill="auto"/>
            <w:vAlign w:val="center"/>
          </w:tcPr>
          <w:p w14:paraId="4673BDA1">
            <w:pPr>
              <w:keepNext w:val="0"/>
              <w:keepLines w:val="0"/>
              <w:pageBreakBefore w:val="0"/>
              <w:widowControl w:val="0"/>
              <w:numPr>
                <w:ilvl w:val="0"/>
                <w:numId w:val="7"/>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sz w:val="18"/>
                <w:szCs w:val="18"/>
                <w:u w:val="none"/>
              </w:rPr>
            </w:pPr>
          </w:p>
        </w:tc>
        <w:tc>
          <w:tcPr>
            <w:tcW w:w="580" w:type="pct"/>
            <w:tcBorders>
              <w:top w:val="single" w:color="auto" w:sz="6" w:space="0"/>
              <w:left w:val="single" w:color="auto" w:sz="6" w:space="0"/>
              <w:bottom w:val="single" w:color="auto" w:sz="6" w:space="0"/>
              <w:right w:val="single" w:color="auto" w:sz="6" w:space="0"/>
            </w:tcBorders>
            <w:shd w:val="clear" w:color="auto" w:fill="auto"/>
            <w:vAlign w:val="center"/>
          </w:tcPr>
          <w:p w14:paraId="71643E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61" w:type="pct"/>
            <w:tcBorders>
              <w:top w:val="single" w:color="auto" w:sz="6" w:space="0"/>
              <w:left w:val="single" w:color="auto" w:sz="6" w:space="0"/>
              <w:bottom w:val="single" w:color="auto" w:sz="6" w:space="0"/>
              <w:right w:val="single" w:color="auto" w:sz="6" w:space="0"/>
            </w:tcBorders>
            <w:shd w:val="clear" w:color="auto" w:fill="auto"/>
            <w:vAlign w:val="center"/>
          </w:tcPr>
          <w:p w14:paraId="7DC6D3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p>
        </w:tc>
        <w:tc>
          <w:tcPr>
            <w:tcW w:w="781" w:type="pct"/>
            <w:tcBorders>
              <w:top w:val="single" w:color="auto" w:sz="6" w:space="0"/>
              <w:left w:val="single" w:color="auto" w:sz="6" w:space="0"/>
              <w:bottom w:val="single" w:color="auto" w:sz="6" w:space="0"/>
              <w:right w:val="single" w:color="auto" w:sz="6" w:space="0"/>
            </w:tcBorders>
            <w:shd w:val="clear" w:color="auto" w:fill="auto"/>
            <w:vAlign w:val="center"/>
          </w:tcPr>
          <w:p w14:paraId="64BF21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p>
        </w:tc>
        <w:tc>
          <w:tcPr>
            <w:tcW w:w="615" w:type="pct"/>
            <w:tcBorders>
              <w:top w:val="single" w:color="auto" w:sz="6" w:space="0"/>
              <w:left w:val="single" w:color="auto" w:sz="6" w:space="0"/>
              <w:bottom w:val="single" w:color="auto" w:sz="6" w:space="0"/>
              <w:right w:val="single" w:color="auto" w:sz="6" w:space="0"/>
            </w:tcBorders>
            <w:shd w:val="clear" w:color="auto" w:fill="auto"/>
            <w:vAlign w:val="center"/>
          </w:tcPr>
          <w:p w14:paraId="7FE870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08" w:type="pct"/>
            <w:tcBorders>
              <w:top w:val="single" w:color="auto" w:sz="6" w:space="0"/>
              <w:left w:val="single" w:color="auto" w:sz="6" w:space="0"/>
              <w:bottom w:val="single" w:color="auto" w:sz="6" w:space="0"/>
              <w:right w:val="single" w:color="auto" w:sz="6" w:space="0"/>
            </w:tcBorders>
            <w:shd w:val="clear" w:color="auto" w:fill="auto"/>
            <w:vAlign w:val="center"/>
          </w:tcPr>
          <w:p w14:paraId="5879A7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63" w:type="pct"/>
            <w:tcBorders>
              <w:top w:val="single" w:color="auto" w:sz="6" w:space="0"/>
              <w:left w:val="single" w:color="auto" w:sz="6" w:space="0"/>
              <w:bottom w:val="single" w:color="auto" w:sz="6" w:space="0"/>
              <w:right w:val="single" w:color="auto" w:sz="6" w:space="0"/>
            </w:tcBorders>
            <w:shd w:val="clear" w:color="auto" w:fill="auto"/>
            <w:vAlign w:val="center"/>
          </w:tcPr>
          <w:p w14:paraId="3A91B27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72" w:type="pct"/>
            <w:tcBorders>
              <w:top w:val="single" w:color="auto" w:sz="6" w:space="0"/>
              <w:left w:val="single" w:color="auto" w:sz="6" w:space="0"/>
              <w:bottom w:val="single" w:color="auto" w:sz="6" w:space="0"/>
              <w:right w:val="single" w:color="auto" w:sz="6" w:space="0"/>
            </w:tcBorders>
            <w:shd w:val="clear" w:color="auto" w:fill="auto"/>
            <w:vAlign w:val="center"/>
          </w:tcPr>
          <w:p w14:paraId="73BDB69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r>
      <w:tr w14:paraId="516AC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7" w:type="pct"/>
            <w:tcBorders>
              <w:top w:val="single" w:color="auto" w:sz="6" w:space="0"/>
              <w:left w:val="single" w:color="auto" w:sz="6" w:space="0"/>
              <w:bottom w:val="single" w:color="auto" w:sz="6" w:space="0"/>
              <w:right w:val="single" w:color="auto" w:sz="6" w:space="0"/>
            </w:tcBorders>
            <w:shd w:val="clear" w:color="auto" w:fill="auto"/>
            <w:vAlign w:val="center"/>
          </w:tcPr>
          <w:p w14:paraId="1A6F40B2">
            <w:pPr>
              <w:keepNext w:val="0"/>
              <w:keepLines w:val="0"/>
              <w:pageBreakBefore w:val="0"/>
              <w:widowControl w:val="0"/>
              <w:numPr>
                <w:ilvl w:val="0"/>
                <w:numId w:val="7"/>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580" w:type="pct"/>
            <w:tcBorders>
              <w:top w:val="single" w:color="auto" w:sz="6" w:space="0"/>
              <w:left w:val="single" w:color="auto" w:sz="6" w:space="0"/>
              <w:bottom w:val="single" w:color="auto" w:sz="6" w:space="0"/>
              <w:right w:val="single" w:color="auto" w:sz="6" w:space="0"/>
            </w:tcBorders>
            <w:shd w:val="clear" w:color="auto" w:fill="auto"/>
            <w:vAlign w:val="center"/>
          </w:tcPr>
          <w:p w14:paraId="2838BE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61" w:type="pct"/>
            <w:tcBorders>
              <w:top w:val="single" w:color="auto" w:sz="6" w:space="0"/>
              <w:left w:val="single" w:color="auto" w:sz="6" w:space="0"/>
              <w:bottom w:val="single" w:color="auto" w:sz="6" w:space="0"/>
              <w:right w:val="single" w:color="auto" w:sz="6" w:space="0"/>
            </w:tcBorders>
            <w:shd w:val="clear" w:color="auto" w:fill="auto"/>
            <w:vAlign w:val="center"/>
          </w:tcPr>
          <w:p w14:paraId="6D8855B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p>
        </w:tc>
        <w:tc>
          <w:tcPr>
            <w:tcW w:w="781" w:type="pct"/>
            <w:tcBorders>
              <w:top w:val="single" w:color="auto" w:sz="6" w:space="0"/>
              <w:left w:val="single" w:color="auto" w:sz="6" w:space="0"/>
              <w:bottom w:val="single" w:color="auto" w:sz="6" w:space="0"/>
              <w:right w:val="single" w:color="auto" w:sz="6" w:space="0"/>
            </w:tcBorders>
            <w:shd w:val="clear" w:color="auto" w:fill="auto"/>
            <w:vAlign w:val="center"/>
          </w:tcPr>
          <w:p w14:paraId="1D4772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p>
        </w:tc>
        <w:tc>
          <w:tcPr>
            <w:tcW w:w="615" w:type="pct"/>
            <w:tcBorders>
              <w:top w:val="single" w:color="auto" w:sz="6" w:space="0"/>
              <w:left w:val="single" w:color="auto" w:sz="6" w:space="0"/>
              <w:bottom w:val="single" w:color="auto" w:sz="6" w:space="0"/>
              <w:right w:val="single" w:color="auto" w:sz="6" w:space="0"/>
            </w:tcBorders>
            <w:shd w:val="clear" w:color="auto" w:fill="auto"/>
            <w:vAlign w:val="center"/>
          </w:tcPr>
          <w:p w14:paraId="327E0A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08" w:type="pct"/>
            <w:tcBorders>
              <w:top w:val="single" w:color="auto" w:sz="6" w:space="0"/>
              <w:left w:val="single" w:color="auto" w:sz="6" w:space="0"/>
              <w:bottom w:val="single" w:color="auto" w:sz="6" w:space="0"/>
              <w:right w:val="single" w:color="auto" w:sz="6" w:space="0"/>
            </w:tcBorders>
            <w:shd w:val="clear" w:color="auto" w:fill="auto"/>
            <w:vAlign w:val="center"/>
          </w:tcPr>
          <w:p w14:paraId="6018FE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63" w:type="pct"/>
            <w:tcBorders>
              <w:top w:val="single" w:color="auto" w:sz="6" w:space="0"/>
              <w:left w:val="single" w:color="auto" w:sz="6" w:space="0"/>
              <w:bottom w:val="single" w:color="auto" w:sz="6" w:space="0"/>
              <w:right w:val="single" w:color="auto" w:sz="6" w:space="0"/>
            </w:tcBorders>
            <w:shd w:val="clear" w:color="auto" w:fill="auto"/>
            <w:vAlign w:val="center"/>
          </w:tcPr>
          <w:p w14:paraId="6296B1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72" w:type="pct"/>
            <w:tcBorders>
              <w:top w:val="single" w:color="auto" w:sz="6" w:space="0"/>
              <w:left w:val="single" w:color="auto" w:sz="6" w:space="0"/>
              <w:bottom w:val="single" w:color="auto" w:sz="6" w:space="0"/>
              <w:right w:val="single" w:color="auto" w:sz="6" w:space="0"/>
            </w:tcBorders>
            <w:shd w:val="clear" w:color="auto" w:fill="auto"/>
            <w:vAlign w:val="center"/>
          </w:tcPr>
          <w:p w14:paraId="701F4A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r>
      <w:tr w14:paraId="6D91A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17" w:type="pct"/>
            <w:tcBorders>
              <w:top w:val="single" w:color="auto" w:sz="6" w:space="0"/>
              <w:left w:val="single" w:color="auto" w:sz="6" w:space="0"/>
              <w:bottom w:val="single" w:color="auto" w:sz="6" w:space="0"/>
              <w:right w:val="single" w:color="auto" w:sz="6" w:space="0"/>
            </w:tcBorders>
            <w:shd w:val="clear" w:color="auto" w:fill="auto"/>
            <w:vAlign w:val="center"/>
          </w:tcPr>
          <w:p w14:paraId="1DCC3EDA">
            <w:pPr>
              <w:keepNext w:val="0"/>
              <w:keepLines w:val="0"/>
              <w:pageBreakBefore w:val="0"/>
              <w:widowControl w:val="0"/>
              <w:numPr>
                <w:ilvl w:val="0"/>
                <w:numId w:val="7"/>
              </w:numPr>
              <w:suppressLineNumbers w:val="0"/>
              <w:kinsoku/>
              <w:wordWrap/>
              <w:overflowPunct/>
              <w:topLinePunct w:val="0"/>
              <w:autoSpaceDE/>
              <w:autoSpaceDN/>
              <w:bidi w:val="0"/>
              <w:adjustRightInd/>
              <w:snapToGrid/>
              <w:spacing w:before="0" w:beforeAutospacing="0" w:after="0" w:afterAutospacing="0" w:line="240" w:lineRule="auto"/>
              <w:ind w:left="454" w:leftChars="0" w:right="0" w:rightChars="0" w:hanging="454" w:firstLineChars="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580" w:type="pct"/>
            <w:tcBorders>
              <w:top w:val="single" w:color="auto" w:sz="6" w:space="0"/>
              <w:left w:val="single" w:color="auto" w:sz="6" w:space="0"/>
              <w:bottom w:val="single" w:color="auto" w:sz="6" w:space="0"/>
              <w:right w:val="single" w:color="auto" w:sz="6" w:space="0"/>
            </w:tcBorders>
            <w:shd w:val="clear" w:color="auto" w:fill="auto"/>
            <w:vAlign w:val="center"/>
          </w:tcPr>
          <w:p w14:paraId="021E30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61" w:type="pct"/>
            <w:tcBorders>
              <w:top w:val="single" w:color="auto" w:sz="6" w:space="0"/>
              <w:left w:val="single" w:color="auto" w:sz="6" w:space="0"/>
              <w:bottom w:val="single" w:color="auto" w:sz="6" w:space="0"/>
              <w:right w:val="single" w:color="auto" w:sz="6" w:space="0"/>
            </w:tcBorders>
            <w:shd w:val="clear" w:color="auto" w:fill="auto"/>
            <w:vAlign w:val="center"/>
          </w:tcPr>
          <w:p w14:paraId="77C9DF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p>
        </w:tc>
        <w:tc>
          <w:tcPr>
            <w:tcW w:w="781" w:type="pct"/>
            <w:tcBorders>
              <w:top w:val="single" w:color="auto" w:sz="6" w:space="0"/>
              <w:left w:val="single" w:color="auto" w:sz="6" w:space="0"/>
              <w:bottom w:val="single" w:color="auto" w:sz="6" w:space="0"/>
              <w:right w:val="single" w:color="auto" w:sz="6" w:space="0"/>
            </w:tcBorders>
            <w:shd w:val="clear" w:color="auto" w:fill="auto"/>
            <w:vAlign w:val="center"/>
          </w:tcPr>
          <w:p w14:paraId="612E52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center"/>
              <w:rPr>
                <w:rFonts w:hint="default" w:ascii="Times New Roman" w:hAnsi="Times New Roman" w:eastAsia="宋体" w:cs="Times New Roman"/>
                <w:i w:val="0"/>
                <w:iCs w:val="0"/>
                <w:color w:val="000000"/>
                <w:sz w:val="18"/>
                <w:szCs w:val="18"/>
                <w:u w:val="none"/>
              </w:rPr>
            </w:pPr>
          </w:p>
        </w:tc>
        <w:tc>
          <w:tcPr>
            <w:tcW w:w="615" w:type="pct"/>
            <w:tcBorders>
              <w:top w:val="single" w:color="auto" w:sz="6" w:space="0"/>
              <w:left w:val="single" w:color="auto" w:sz="6" w:space="0"/>
              <w:bottom w:val="single" w:color="auto" w:sz="6" w:space="0"/>
              <w:right w:val="single" w:color="auto" w:sz="6" w:space="0"/>
            </w:tcBorders>
            <w:shd w:val="clear" w:color="auto" w:fill="auto"/>
            <w:vAlign w:val="center"/>
          </w:tcPr>
          <w:p w14:paraId="0D083B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608" w:type="pct"/>
            <w:tcBorders>
              <w:top w:val="single" w:color="auto" w:sz="6" w:space="0"/>
              <w:left w:val="single" w:color="auto" w:sz="6" w:space="0"/>
              <w:bottom w:val="single" w:color="auto" w:sz="6" w:space="0"/>
              <w:right w:val="single" w:color="auto" w:sz="6" w:space="0"/>
            </w:tcBorders>
            <w:shd w:val="clear" w:color="auto" w:fill="auto"/>
            <w:vAlign w:val="center"/>
          </w:tcPr>
          <w:p w14:paraId="74C751D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563" w:type="pct"/>
            <w:tcBorders>
              <w:top w:val="single" w:color="auto" w:sz="6" w:space="0"/>
              <w:left w:val="single" w:color="auto" w:sz="6" w:space="0"/>
              <w:bottom w:val="single" w:color="auto" w:sz="6" w:space="0"/>
              <w:right w:val="single" w:color="auto" w:sz="6" w:space="0"/>
            </w:tcBorders>
            <w:shd w:val="clear" w:color="auto" w:fill="auto"/>
            <w:vAlign w:val="center"/>
          </w:tcPr>
          <w:p w14:paraId="113D1E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c>
          <w:tcPr>
            <w:tcW w:w="772" w:type="pct"/>
            <w:tcBorders>
              <w:top w:val="single" w:color="auto" w:sz="6" w:space="0"/>
              <w:left w:val="single" w:color="auto" w:sz="6" w:space="0"/>
              <w:bottom w:val="single" w:color="auto" w:sz="6" w:space="0"/>
              <w:right w:val="single" w:color="auto" w:sz="6" w:space="0"/>
            </w:tcBorders>
            <w:shd w:val="clear" w:color="auto" w:fill="auto"/>
            <w:vAlign w:val="center"/>
          </w:tcPr>
          <w:p w14:paraId="7CDC7F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default" w:ascii="Times New Roman" w:hAnsi="Times New Roman" w:eastAsia="宋体" w:cs="Times New Roman"/>
                <w:i w:val="0"/>
                <w:iCs w:val="0"/>
                <w:color w:val="000000"/>
                <w:sz w:val="18"/>
                <w:szCs w:val="18"/>
                <w:u w:val="none"/>
              </w:rPr>
            </w:pPr>
          </w:p>
        </w:tc>
      </w:tr>
      <w:tr w14:paraId="09689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 w:hRule="atLeast"/>
          <w:jc w:val="center"/>
        </w:trPr>
        <w:tc>
          <w:tcPr>
            <w:tcW w:w="3055" w:type="pct"/>
            <w:gridSpan w:val="5"/>
            <w:tcBorders>
              <w:top w:val="single" w:color="auto" w:sz="6" w:space="0"/>
              <w:left w:val="single" w:color="auto" w:sz="6" w:space="0"/>
              <w:bottom w:val="single" w:color="auto" w:sz="6" w:space="0"/>
              <w:right w:val="single" w:color="auto" w:sz="6" w:space="0"/>
            </w:tcBorders>
            <w:shd w:val="clear" w:color="auto" w:fill="auto"/>
            <w:vAlign w:val="center"/>
          </w:tcPr>
          <w:p w14:paraId="5C012A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default" w:ascii="Times New Roman" w:hAnsi="Times New Roman" w:eastAsia="宋体" w:cs="Times New Roman"/>
                <w:i w:val="0"/>
                <w:iCs w:val="0"/>
                <w:color w:val="000000"/>
                <w:kern w:val="0"/>
                <w:sz w:val="18"/>
                <w:szCs w:val="18"/>
                <w:u w:val="none"/>
                <w:lang w:val="en-US" w:eastAsia="zh-CN" w:bidi="ar"/>
              </w:rPr>
              <w:t>合计</w:t>
            </w:r>
          </w:p>
        </w:tc>
        <w:tc>
          <w:tcPr>
            <w:tcW w:w="608" w:type="pct"/>
            <w:tcBorders>
              <w:top w:val="single" w:color="auto" w:sz="6" w:space="0"/>
              <w:left w:val="single" w:color="auto" w:sz="6" w:space="0"/>
              <w:bottom w:val="single" w:color="auto" w:sz="6" w:space="0"/>
              <w:right w:val="single" w:color="auto" w:sz="6" w:space="0"/>
            </w:tcBorders>
            <w:shd w:val="clear" w:color="auto" w:fill="auto"/>
            <w:vAlign w:val="center"/>
          </w:tcPr>
          <w:p w14:paraId="25015D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563" w:type="pct"/>
            <w:tcBorders>
              <w:top w:val="single" w:color="auto" w:sz="6" w:space="0"/>
              <w:left w:val="single" w:color="auto" w:sz="6" w:space="0"/>
              <w:bottom w:val="single" w:color="auto" w:sz="6" w:space="0"/>
              <w:right w:val="single" w:color="auto" w:sz="6" w:space="0"/>
            </w:tcBorders>
            <w:shd w:val="clear" w:color="auto" w:fill="auto"/>
            <w:vAlign w:val="center"/>
          </w:tcPr>
          <w:p w14:paraId="134F06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772" w:type="pct"/>
            <w:tcBorders>
              <w:top w:val="single" w:color="auto" w:sz="6" w:space="0"/>
              <w:left w:val="single" w:color="auto" w:sz="6" w:space="0"/>
              <w:bottom w:val="single" w:color="auto" w:sz="6" w:space="0"/>
              <w:right w:val="single" w:color="auto" w:sz="6" w:space="0"/>
            </w:tcBorders>
            <w:shd w:val="clear" w:color="auto" w:fill="auto"/>
            <w:vAlign w:val="center"/>
          </w:tcPr>
          <w:p w14:paraId="3D86EB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r>
    </w:tbl>
    <w:p w14:paraId="2FC65D66">
      <w:pPr>
        <w:keepNext w:val="0"/>
        <w:keepLines w:val="0"/>
        <w:pageBreakBefore w:val="0"/>
        <w:widowControl w:val="0"/>
        <w:topLinePunct w:val="0"/>
        <w:bidi w:val="0"/>
        <w:rPr>
          <w:rFonts w:hint="default" w:ascii="Times New Roman" w:hAnsi="Times New Roman" w:cs="Times New Roman"/>
          <w:lang w:val="en-US" w:eastAsia="zh-CN"/>
        </w:rPr>
      </w:pPr>
    </w:p>
    <w:p w14:paraId="03BBFF4F">
      <w:pPr>
        <w:keepNext w:val="0"/>
        <w:keepLines w:val="0"/>
        <w:pageBreakBefore w:val="0"/>
        <w:widowControl w:val="0"/>
        <w:topLinePunct w:val="0"/>
        <w:bidi w:val="0"/>
        <w:rPr>
          <w:rFonts w:hint="default" w:ascii="Times New Roman" w:hAnsi="Times New Roman" w:cs="Times New Roman"/>
          <w:lang w:val="en-US" w:eastAsia="zh-CN"/>
        </w:rPr>
      </w:pPr>
    </w:p>
    <w:p w14:paraId="351D7EC3">
      <w:pPr>
        <w:keepNext w:val="0"/>
        <w:keepLines w:val="0"/>
        <w:pageBreakBefore w:val="0"/>
        <w:widowControl w:val="0"/>
        <w:topLinePunct w:val="0"/>
        <w:bidi w:val="0"/>
        <w:rPr>
          <w:rFonts w:hint="default" w:ascii="Times New Roman" w:hAnsi="Times New Roman" w:cs="Times New Roman"/>
          <w:lang w:val="en-US" w:eastAsia="zh-CN"/>
        </w:rPr>
      </w:pPr>
    </w:p>
    <w:p w14:paraId="53C1240F">
      <w:pPr>
        <w:keepNext w:val="0"/>
        <w:keepLines w:val="0"/>
        <w:pageBreakBefore w:val="0"/>
        <w:widowControl w:val="0"/>
        <w:topLinePunct w:val="0"/>
        <w:bidi w:val="0"/>
        <w:rPr>
          <w:rFonts w:hint="default" w:ascii="Times New Roman" w:hAnsi="Times New Roman" w:cs="Times New Roman"/>
          <w:lang w:val="en-US" w:eastAsia="zh-CN"/>
        </w:rPr>
      </w:pPr>
    </w:p>
    <w:p w14:paraId="2146E294">
      <w:pPr>
        <w:keepNext w:val="0"/>
        <w:keepLines w:val="0"/>
        <w:pageBreakBefore w:val="0"/>
        <w:widowControl w:val="0"/>
        <w:topLinePunct w:val="0"/>
        <w:bidi w:val="0"/>
        <w:rPr>
          <w:rFonts w:hint="default" w:ascii="Times New Roman" w:hAnsi="Times New Roman" w:cs="Times New Roman"/>
          <w:lang w:val="en-US" w:eastAsia="zh-CN"/>
        </w:rPr>
      </w:pPr>
    </w:p>
    <w:p w14:paraId="7ADE8040">
      <w:pPr>
        <w:keepNext w:val="0"/>
        <w:keepLines w:val="0"/>
        <w:pageBreakBefore w:val="0"/>
        <w:widowControl w:val="0"/>
        <w:topLinePunct w:val="0"/>
        <w:bidi w:val="0"/>
        <w:rPr>
          <w:rFonts w:hint="default" w:ascii="Times New Roman" w:hAnsi="Times New Roman" w:cs="Times New Roman"/>
          <w:lang w:val="en-US" w:eastAsia="zh-CN"/>
        </w:rPr>
      </w:pPr>
    </w:p>
    <w:p w14:paraId="7052D577">
      <w:pPr>
        <w:keepNext w:val="0"/>
        <w:keepLines w:val="0"/>
        <w:pageBreakBefore w:val="0"/>
        <w:widowControl w:val="0"/>
        <w:topLinePunct w:val="0"/>
        <w:bidi w:val="0"/>
        <w:rPr>
          <w:rFonts w:hint="default" w:ascii="Times New Roman" w:hAnsi="Times New Roman" w:cs="Times New Roman"/>
          <w:lang w:val="en-US" w:eastAsia="zh-CN"/>
        </w:rPr>
      </w:pPr>
    </w:p>
    <w:p w14:paraId="6F6ACFFB">
      <w:pPr>
        <w:keepNext w:val="0"/>
        <w:keepLines w:val="0"/>
        <w:pageBreakBefore w:val="0"/>
        <w:widowControl w:val="0"/>
        <w:topLinePunct w:val="0"/>
        <w:bidi w:val="0"/>
        <w:rPr>
          <w:rFonts w:hint="default" w:ascii="Times New Roman" w:hAnsi="Times New Roman" w:cs="Times New Roman"/>
          <w:lang w:val="en-US" w:eastAsia="zh-CN"/>
        </w:rPr>
      </w:pPr>
    </w:p>
    <w:p w14:paraId="4D6A59CD">
      <w:pPr>
        <w:keepNext w:val="0"/>
        <w:keepLines w:val="0"/>
        <w:pageBreakBefore w:val="0"/>
        <w:widowControl w:val="0"/>
        <w:topLinePunct w:val="0"/>
        <w:bidi w:val="0"/>
        <w:rPr>
          <w:rFonts w:hint="default" w:ascii="Times New Roman" w:hAnsi="Times New Roman" w:cs="Times New Roman"/>
          <w:lang w:val="en-US" w:eastAsia="zh-CN"/>
        </w:rPr>
      </w:pPr>
    </w:p>
    <w:p w14:paraId="4D5C88F6">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r>
        <w:rPr>
          <w:rFonts w:hint="eastAsia" w:ascii="Times New Roman" w:hAnsi="Times New Roman" w:eastAsia="黑体" w:cs="Times New Roman"/>
          <w:b w:val="0"/>
          <w:bCs w:val="0"/>
          <w:sz w:val="32"/>
          <w:szCs w:val="32"/>
          <w:lang w:val="en-US" w:eastAsia="zh-CN"/>
        </w:rPr>
        <w:t>五、</w:t>
      </w:r>
      <w:r>
        <w:rPr>
          <w:rFonts w:hint="default" w:ascii="Times New Roman" w:hAnsi="Times New Roman" w:eastAsia="黑体" w:cs="Times New Roman"/>
          <w:b w:val="0"/>
          <w:bCs w:val="0"/>
          <w:sz w:val="32"/>
          <w:szCs w:val="32"/>
          <w:lang w:val="en-US" w:eastAsia="zh-CN"/>
        </w:rPr>
        <w:t>现行工业用水定额国家标准参考清单</w:t>
      </w:r>
    </w:p>
    <w:tbl>
      <w:tblPr>
        <w:tblStyle w:val="24"/>
        <w:tblW w:w="89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0"/>
        <w:gridCol w:w="2408"/>
        <w:gridCol w:w="5771"/>
      </w:tblGrid>
      <w:tr w14:paraId="300F0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87900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color w:val="auto"/>
                <w:kern w:val="0"/>
                <w:sz w:val="24"/>
                <w:szCs w:val="24"/>
                <w:u w:val="none"/>
                <w:lang w:val="en-US" w:eastAsia="zh-CN" w:bidi="ar"/>
              </w:rPr>
              <w:t>序号</w:t>
            </w:r>
          </w:p>
        </w:tc>
        <w:tc>
          <w:tcPr>
            <w:tcW w:w="24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F452C3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color w:val="auto"/>
                <w:kern w:val="0"/>
                <w:sz w:val="24"/>
                <w:szCs w:val="24"/>
                <w:u w:val="none"/>
                <w:lang w:val="en-US" w:eastAsia="zh-CN" w:bidi="ar"/>
              </w:rPr>
              <w:t>标准号</w:t>
            </w:r>
          </w:p>
        </w:tc>
        <w:tc>
          <w:tcPr>
            <w:tcW w:w="57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65E59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color w:val="auto"/>
                <w:kern w:val="0"/>
                <w:sz w:val="24"/>
                <w:szCs w:val="24"/>
                <w:u w:val="none"/>
                <w:lang w:val="en-US" w:eastAsia="zh-CN" w:bidi="ar"/>
              </w:rPr>
              <w:t>标准中文名称</w:t>
            </w:r>
          </w:p>
        </w:tc>
      </w:tr>
      <w:tr w14:paraId="01BFC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1529C66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2AAC04B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"https://std.samr.gov.cn/gb/search/gbDetailed?id=C3386C490C4F8B79E05397BE0A0AC288" \o "https://std.samr.gov.cn/gb/search/gbDetailed?id=C3386C490C4F8B79E05397BE0A0AC288"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1CC7E2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w:t>
            </w:r>
            <w:r>
              <w:rPr>
                <w:rStyle w:val="36"/>
                <w:rFonts w:hint="default" w:ascii="Times New Roman" w:hAnsi="Times New Roman" w:eastAsia="仿宋" w:cs="Times New Roman"/>
                <w:color w:val="auto"/>
                <w:sz w:val="24"/>
                <w:szCs w:val="24"/>
                <w:lang w:val="en-US" w:eastAsia="zh-CN" w:bidi="ar"/>
              </w:rPr>
              <w:t>部分：火力发电</w:t>
            </w:r>
          </w:p>
        </w:tc>
      </w:tr>
      <w:tr w14:paraId="43D2D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1D0D91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DFFA67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"https://std.samr.gov.cn/gb/search/gbDetailed?id=E3C42FB7ACEC2086E05397BE0A0A19F0" \o "https://std.samr.gov.cn/gb/search/gbDetailed?id=E3C42FB7ACEC2086E05397BE0A0A19F0"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E5A4A8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w:t>
            </w:r>
            <w:r>
              <w:rPr>
                <w:rStyle w:val="36"/>
                <w:rFonts w:hint="default" w:ascii="Times New Roman" w:hAnsi="Times New Roman" w:eastAsia="仿宋" w:cs="Times New Roman"/>
                <w:color w:val="auto"/>
                <w:sz w:val="24"/>
                <w:szCs w:val="24"/>
                <w:lang w:val="en-US" w:eastAsia="zh-CN" w:bidi="ar"/>
              </w:rPr>
              <w:t>部分：钢铁联合企业</w:t>
            </w:r>
          </w:p>
        </w:tc>
      </w:tr>
      <w:tr w14:paraId="47838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3EA7D1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D2B216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"https://std.samr.gov.cn/gb/search/gbDetailed?id=F159DFC2A79E47EFE05397BE0A0AF334" \o "https://std.samr.gov.cn/gb/search/gbDetailed?id=F159DFC2A79E47EFE05397BE0A0AF334"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8ACB39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w:t>
            </w:r>
            <w:r>
              <w:rPr>
                <w:rStyle w:val="36"/>
                <w:rFonts w:hint="default" w:ascii="Times New Roman" w:hAnsi="Times New Roman" w:eastAsia="仿宋" w:cs="Times New Roman"/>
                <w:color w:val="auto"/>
                <w:sz w:val="24"/>
                <w:szCs w:val="24"/>
                <w:lang w:val="en-US" w:eastAsia="zh-CN" w:bidi="ar"/>
              </w:rPr>
              <w:t>部分：石油炼制</w:t>
            </w:r>
          </w:p>
        </w:tc>
      </w:tr>
      <w:tr w14:paraId="6FA84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08FE61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6345C2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"https://std.samr.gov.cn/gb/search/gbDetailed?id=E3C42FB7ACEB2086E05397BE0A0A19F0" \o "https://std.samr.gov.cn/gb/search/gbDetailed?id=E3C42FB7ACEB2086E05397BE0A0A19F0"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E8D57B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w:t>
            </w:r>
            <w:r>
              <w:rPr>
                <w:rStyle w:val="36"/>
                <w:rFonts w:hint="default" w:ascii="Times New Roman" w:hAnsi="Times New Roman" w:eastAsia="仿宋" w:cs="Times New Roman"/>
                <w:color w:val="auto"/>
                <w:sz w:val="24"/>
                <w:szCs w:val="24"/>
                <w:lang w:val="en-US" w:eastAsia="zh-CN" w:bidi="ar"/>
              </w:rPr>
              <w:t>部分：纺织染整产品</w:t>
            </w:r>
          </w:p>
        </w:tc>
      </w:tr>
      <w:tr w14:paraId="798AE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6D0962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4AD0BB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"https://std.samr.gov.cn/gb/search/gbDetailed?id=F159DFC2A79C47EFE05397BE0A0AF334" \o "https://std.samr.gov.cn/gb/search/gbDetailed?id=F159DFC2A79C47EFE05397BE0A0AF334"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E92C58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w:t>
            </w:r>
            <w:r>
              <w:rPr>
                <w:rStyle w:val="36"/>
                <w:rFonts w:hint="default" w:ascii="Times New Roman" w:hAnsi="Times New Roman" w:eastAsia="仿宋" w:cs="Times New Roman"/>
                <w:color w:val="auto"/>
                <w:sz w:val="24"/>
                <w:szCs w:val="24"/>
                <w:lang w:val="en-US" w:eastAsia="zh-CN" w:bidi="ar"/>
              </w:rPr>
              <w:t>部分：造纸产品</w:t>
            </w:r>
          </w:p>
        </w:tc>
      </w:tr>
      <w:tr w14:paraId="641F8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875092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F12CDD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"https://std.samr.gov.cn/gb/search/gbDetailed?id=FC816D04FFF362EBE05397BE0A0AD5FA" \o "https://std.samr.gov.cn/gb/search/gbDetailed?id=FC816D04FFF362EBE05397BE0A0AD5FA"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GB/T18916.6-2023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F2BC12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w:t>
            </w:r>
            <w:r>
              <w:rPr>
                <w:rStyle w:val="36"/>
                <w:rFonts w:hint="default" w:ascii="Times New Roman" w:hAnsi="Times New Roman" w:eastAsia="仿宋" w:cs="Times New Roman"/>
                <w:color w:val="auto"/>
                <w:sz w:val="24"/>
                <w:szCs w:val="24"/>
                <w:lang w:val="en-US" w:eastAsia="zh-CN" w:bidi="ar"/>
              </w:rPr>
              <w:t>部分：啤酒</w:t>
            </w:r>
          </w:p>
        </w:tc>
      </w:tr>
      <w:tr w14:paraId="3E19A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5BD144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7</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D9F1AC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"https://std.samr.gov.cn/gb/search/gbDetailed?id=FC816D04FFF062EBE05397BE0A0AD5FA" \o "https://std.samr.gov.cn/gb/search/gbDetailed?id=FC816D04FFF062EBE05397BE0A0AD5FA"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GB/T18916.7-2023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72C5F9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7</w:t>
            </w:r>
            <w:r>
              <w:rPr>
                <w:rStyle w:val="36"/>
                <w:rFonts w:hint="default" w:ascii="Times New Roman" w:hAnsi="Times New Roman" w:eastAsia="仿宋" w:cs="Times New Roman"/>
                <w:color w:val="auto"/>
                <w:sz w:val="24"/>
                <w:szCs w:val="24"/>
                <w:lang w:val="en-US" w:eastAsia="zh-CN" w:bidi="ar"/>
              </w:rPr>
              <w:t>部分：酒精</w:t>
            </w:r>
          </w:p>
        </w:tc>
      </w:tr>
      <w:tr w14:paraId="44AFB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D2FB70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8</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6B8439A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"https://std.samr.gov.cn/gb/search/gbDetailed?id=33D40F1160C95D92E06397BE0A0A5B93" \o "https://std.samr.gov.cn/gb/search/gbDetailed?id=33D40F1160C95D92E06397BE0A0A5B93"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GB/T18916.8-2025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2626B0A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8</w:t>
            </w:r>
            <w:r>
              <w:rPr>
                <w:rStyle w:val="36"/>
                <w:rFonts w:hint="default" w:ascii="Times New Roman" w:hAnsi="Times New Roman" w:eastAsia="仿宋" w:cs="Times New Roman"/>
                <w:color w:val="auto"/>
                <w:sz w:val="24"/>
                <w:szCs w:val="24"/>
                <w:lang w:val="en-US" w:eastAsia="zh-CN" w:bidi="ar"/>
              </w:rPr>
              <w:t>部分：合成氨</w:t>
            </w:r>
          </w:p>
        </w:tc>
      </w:tr>
      <w:tr w14:paraId="44DCE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D1CC4B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9</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D1D71D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"https://std.samr.gov.cn/gb/search/gbDetailed?id=E3C42FB7ACED2086E05397BE0A0A19F0" \o "https://std.samr.gov.cn/gb/search/gbDetailed?id=E3C42FB7ACED2086E05397BE0A0A19F0"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GB/T18916.9-2022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AB1682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9</w:t>
            </w:r>
            <w:r>
              <w:rPr>
                <w:rStyle w:val="36"/>
                <w:rFonts w:hint="default" w:ascii="Times New Roman" w:hAnsi="Times New Roman" w:eastAsia="仿宋" w:cs="Times New Roman"/>
                <w:color w:val="auto"/>
                <w:sz w:val="24"/>
                <w:szCs w:val="24"/>
                <w:lang w:val="en-US" w:eastAsia="zh-CN" w:bidi="ar"/>
              </w:rPr>
              <w:t>部分：谷氨酸钠（味精）</w:t>
            </w:r>
          </w:p>
        </w:tc>
      </w:tr>
      <w:tr w14:paraId="205F2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3B9DBB9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10</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1728D125">
            <w:pPr>
              <w:keepNext w:val="0"/>
              <w:keepLines w:val="0"/>
              <w:pageBreakBefore w:val="0"/>
              <w:widowControl w:val="0"/>
              <w:suppressLineNumbers w:val="0"/>
              <w:topLinePunct w:val="0"/>
              <w:bidi w:val="0"/>
              <w:jc w:val="both"/>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"https://std.samr.gov.cn/gb/search/gbDetailed?id=D4BEFFF4EADEB241E05397BE0A0AF581" \o "https://std.samr.gov.cn/gb/search/gbDetailed?id=D4BEFFF4EADEB241E05397BE0A0AF581"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GB/T18916.10-2021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776404B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10</w:t>
            </w:r>
            <w:r>
              <w:rPr>
                <w:rStyle w:val="36"/>
                <w:rFonts w:hint="default" w:ascii="Times New Roman" w:hAnsi="Times New Roman" w:eastAsia="仿宋" w:cs="Times New Roman"/>
                <w:color w:val="auto"/>
                <w:sz w:val="24"/>
                <w:szCs w:val="24"/>
                <w:lang w:val="en-US" w:eastAsia="zh-CN" w:bidi="ar"/>
              </w:rPr>
              <w:t>部分：化学制药产品</w:t>
            </w:r>
          </w:p>
        </w:tc>
      </w:tr>
      <w:tr w14:paraId="6BC8A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542539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11</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6ED8753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"https://std.samr.gov.cn/gb/search/gbDetailed?id=D4BEFFF4E987B241E05397BE0A0AF581" \o "https://std.samr.gov.cn/gb/search/gbDetailed?id=D4BEFFF4E987B241E05397BE0A0AF581"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GB/T18916.11-2021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7BC4C4B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11</w:t>
            </w:r>
            <w:r>
              <w:rPr>
                <w:rStyle w:val="36"/>
                <w:rFonts w:hint="default" w:ascii="Times New Roman" w:hAnsi="Times New Roman" w:eastAsia="仿宋" w:cs="Times New Roman"/>
                <w:color w:val="auto"/>
                <w:sz w:val="24"/>
                <w:szCs w:val="24"/>
                <w:lang w:val="en-US" w:eastAsia="zh-CN" w:bidi="ar"/>
              </w:rPr>
              <w:t>部分：选煤</w:t>
            </w:r>
          </w:p>
        </w:tc>
      </w:tr>
      <w:tr w14:paraId="01BFE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F6E528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12</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80705E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"https://std.samr.gov.cn/gb/search/gbDetailed?id=FC816D04FFF262EBE05397BE0A0AD5FA" \o "https://std.samr.gov.cn/gb/search/gbDetailed?id=FC816D04FFF262EBE05397BE0A0AD5FA"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GB/T18916.12-2023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070446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12</w:t>
            </w:r>
            <w:r>
              <w:rPr>
                <w:rStyle w:val="36"/>
                <w:rFonts w:hint="default" w:ascii="Times New Roman" w:hAnsi="Times New Roman" w:eastAsia="仿宋" w:cs="Times New Roman"/>
                <w:color w:val="auto"/>
                <w:sz w:val="24"/>
                <w:szCs w:val="24"/>
                <w:lang w:val="en-US" w:eastAsia="zh-CN" w:bidi="ar"/>
              </w:rPr>
              <w:t>部分：氧化铝</w:t>
            </w:r>
          </w:p>
        </w:tc>
      </w:tr>
      <w:tr w14:paraId="2336A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3723FFA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13</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3EC47D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"https://std.samr.gov.cn/gb/search/gbDetailed?id=14156507D1B90337E06397BE0A0AE656" \o "https://std.samr.gov.cn/gb/search/gbDetailed?id=14156507D1B90337E06397BE0A0AE656"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GB/T18916.13-2024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ABEE69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13</w:t>
            </w:r>
            <w:r>
              <w:rPr>
                <w:rStyle w:val="36"/>
                <w:rFonts w:hint="default" w:ascii="Times New Roman" w:hAnsi="Times New Roman" w:eastAsia="仿宋" w:cs="Times New Roman"/>
                <w:color w:val="auto"/>
                <w:sz w:val="24"/>
                <w:szCs w:val="24"/>
                <w:lang w:val="en-US" w:eastAsia="zh-CN" w:bidi="ar"/>
              </w:rPr>
              <w:t>部分：乙烯和丙烯</w:t>
            </w:r>
          </w:p>
        </w:tc>
      </w:tr>
      <w:tr w14:paraId="09963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35AF30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14</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309B260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"https://std.samr.gov.cn/gb/search/gbDetailed?id=0B4529DE1093FCAFE06397BE0A0A46CC" \o "https://std.samr.gov.cn/gb/search/gbDetailed?id=0B4529DE1093FCAFE06397BE0A0A46CC"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GB/T18916.14-2023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A9A52C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14</w:t>
            </w:r>
            <w:r>
              <w:rPr>
                <w:rStyle w:val="36"/>
                <w:rFonts w:hint="default" w:ascii="Times New Roman" w:hAnsi="Times New Roman" w:eastAsia="仿宋" w:cs="Times New Roman"/>
                <w:color w:val="auto"/>
                <w:sz w:val="24"/>
                <w:szCs w:val="24"/>
                <w:lang w:val="en-US" w:eastAsia="zh-CN" w:bidi="ar"/>
              </w:rPr>
              <w:t>部分：毛纺织产品</w:t>
            </w:r>
          </w:p>
        </w:tc>
      </w:tr>
      <w:tr w14:paraId="21D85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0EC505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15</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71C2A9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"https://std.samr.gov.cn/gb/search/gbDetailed?id=234D7936AAB2E194E06397BE0A0AA0A9" \o "https://std.samr.gov.cn/gb/search/gbDetailed?id=234D7936AAB2E194E06397BE0A0AA0A9"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GB/T18916.15-2024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297CBA3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15</w:t>
            </w:r>
            <w:r>
              <w:rPr>
                <w:rStyle w:val="36"/>
                <w:rFonts w:hint="default" w:ascii="Times New Roman" w:hAnsi="Times New Roman" w:eastAsia="仿宋" w:cs="Times New Roman"/>
                <w:color w:val="auto"/>
                <w:sz w:val="24"/>
                <w:szCs w:val="24"/>
                <w:lang w:val="en-US" w:eastAsia="zh-CN" w:bidi="ar"/>
              </w:rPr>
              <w:t>部分：白酒</w:t>
            </w:r>
          </w:p>
        </w:tc>
      </w:tr>
      <w:tr w14:paraId="3EB83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FDD911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16</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3CE86B5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"https://std.samr.gov.cn/gb/search/gbDetailed?id=FC816D04FF8662EBE05397BE0A0AD5FA" \o "https://std.samr.gov.cn/gb/search/gbDetailed?id=FC816D04FF8662EBE05397BE0A0AD5FA"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GB/T18916.16-2023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71AAB5A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16</w:t>
            </w:r>
            <w:r>
              <w:rPr>
                <w:rStyle w:val="36"/>
                <w:rFonts w:hint="default" w:ascii="Times New Roman" w:hAnsi="Times New Roman" w:eastAsia="仿宋" w:cs="Times New Roman"/>
                <w:color w:val="auto"/>
                <w:sz w:val="24"/>
                <w:szCs w:val="24"/>
                <w:lang w:val="en-US" w:eastAsia="zh-CN" w:bidi="ar"/>
              </w:rPr>
              <w:t>部分</w:t>
            </w:r>
            <w:r>
              <w:rPr>
                <w:rFonts w:hint="eastAsia" w:ascii="Times New Roman" w:hAnsi="Times New Roman" w:eastAsia="仿宋" w:cs="Times New Roman"/>
                <w:i w:val="0"/>
                <w:iCs w:val="0"/>
                <w:color w:val="auto"/>
                <w:kern w:val="0"/>
                <w:sz w:val="24"/>
                <w:szCs w:val="24"/>
                <w:u w:val="none"/>
                <w:lang w:val="en-US" w:eastAsia="zh-CN" w:bidi="ar"/>
              </w:rPr>
              <w:t>：</w:t>
            </w:r>
            <w:r>
              <w:rPr>
                <w:rStyle w:val="36"/>
                <w:rFonts w:hint="default" w:ascii="Times New Roman" w:hAnsi="Times New Roman" w:eastAsia="仿宋" w:cs="Times New Roman"/>
                <w:color w:val="auto"/>
                <w:sz w:val="24"/>
                <w:szCs w:val="24"/>
                <w:lang w:val="en-US" w:eastAsia="zh-CN" w:bidi="ar"/>
              </w:rPr>
              <w:t>电解铝</w:t>
            </w:r>
          </w:p>
        </w:tc>
      </w:tr>
      <w:tr w14:paraId="06AED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305B3A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17</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6D14073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"https://std.samr.gov.cn/gb/search/gbDetailed?id=71F772D81110D3A7E05397BE0A0AB82A" \o "https://std.samr.gov.cn/gb/search/gbDetailed?id=71F772D81110D3A7E05397BE0A0AB82A"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GB/T18916.17-2016</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CD1434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17</w:t>
            </w:r>
            <w:r>
              <w:rPr>
                <w:rStyle w:val="36"/>
                <w:rFonts w:hint="default" w:ascii="Times New Roman" w:hAnsi="Times New Roman" w:eastAsia="仿宋" w:cs="Times New Roman"/>
                <w:color w:val="auto"/>
                <w:sz w:val="24"/>
                <w:szCs w:val="24"/>
                <w:lang w:val="en-US" w:eastAsia="zh-CN" w:bidi="ar"/>
              </w:rPr>
              <w:t>部分：堆积型铝土矿生产</w:t>
            </w:r>
          </w:p>
        </w:tc>
      </w:tr>
      <w:tr w14:paraId="14D98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4AA0CD9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18</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3E9C67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"https://std.samr.gov.cn/gb/search/gbDetailed?id=71F772D80A7CD3A7E05397BE0A0AB82A" \o "https://std.samr.gov.cn/gb/search/gbDetailed?id=71F772D80A7CD3A7E05397BE0A0AB82A"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GB/T18916.18-2015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FC1710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18</w:t>
            </w:r>
            <w:r>
              <w:rPr>
                <w:rStyle w:val="36"/>
                <w:rFonts w:hint="default" w:ascii="Times New Roman" w:hAnsi="Times New Roman" w:eastAsia="仿宋" w:cs="Times New Roman"/>
                <w:color w:val="auto"/>
                <w:sz w:val="24"/>
                <w:szCs w:val="24"/>
                <w:lang w:val="en-US" w:eastAsia="zh-CN" w:bidi="ar"/>
              </w:rPr>
              <w:t>部分：铜冶炼生产</w:t>
            </w:r>
          </w:p>
        </w:tc>
      </w:tr>
      <w:tr w14:paraId="35718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16827F5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19</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36D6A6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"https://std.samr.gov.cn/gb/search/gbDetailed?id=71F772D80A7AD3A7E05397BE0A0AB82A" \o "https://std.samr.gov.cn/gb/search/gbDetailed?id=71F772D80A7AD3A7E05397BE0A0AB82A"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GB/T18916.19-2015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F2D2C3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19</w:t>
            </w:r>
            <w:r>
              <w:rPr>
                <w:rStyle w:val="36"/>
                <w:rFonts w:hint="default" w:ascii="Times New Roman" w:hAnsi="Times New Roman" w:eastAsia="仿宋" w:cs="Times New Roman"/>
                <w:color w:val="auto"/>
                <w:sz w:val="24"/>
                <w:szCs w:val="24"/>
                <w:lang w:val="en-US" w:eastAsia="zh-CN" w:bidi="ar"/>
              </w:rPr>
              <w:t>部分：铅冶炼生产</w:t>
            </w:r>
          </w:p>
        </w:tc>
      </w:tr>
      <w:tr w14:paraId="618E5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D7D160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20</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F42666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"https://std.samr.gov.cn/gb/search/gbDetailed?id=71F772D8112AD3A7E05397BE0A0AB82A" \o "https://std.samr.gov.cn/gb/search/gbDetailed?id=71F772D8112AD3A7E05397BE0A0AB82A"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GB/T18916.20-2016</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B65A2D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20</w:t>
            </w:r>
            <w:r>
              <w:rPr>
                <w:rStyle w:val="36"/>
                <w:rFonts w:hint="default" w:ascii="Times New Roman" w:hAnsi="Times New Roman" w:eastAsia="仿宋" w:cs="Times New Roman"/>
                <w:color w:val="auto"/>
                <w:sz w:val="24"/>
                <w:szCs w:val="24"/>
                <w:lang w:val="en-US" w:eastAsia="zh-CN" w:bidi="ar"/>
              </w:rPr>
              <w:t>部分：化纤长丝织造产品</w:t>
            </w:r>
          </w:p>
        </w:tc>
      </w:tr>
      <w:tr w14:paraId="29ED6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C9606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21</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9AC546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"https://std.samr.gov.cn/gb/search/gbDetailed?id=71F772D8112BD3A7E05397BE0A0AB82A" \o "https://std.samr.gov.cn/gb/search/gbDetailed?id=71F772D8112BD3A7E05397BE0A0AB82A"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GB/T18916.21-2016</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A4257C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21</w:t>
            </w:r>
            <w:r>
              <w:rPr>
                <w:rStyle w:val="36"/>
                <w:rFonts w:hint="default" w:ascii="Times New Roman" w:hAnsi="Times New Roman" w:eastAsia="仿宋" w:cs="Times New Roman"/>
                <w:color w:val="auto"/>
                <w:sz w:val="24"/>
                <w:szCs w:val="24"/>
                <w:lang w:val="en-US" w:eastAsia="zh-CN" w:bidi="ar"/>
              </w:rPr>
              <w:t>部分：真丝绸产品</w:t>
            </w:r>
          </w:p>
        </w:tc>
      </w:tr>
      <w:tr w14:paraId="25E38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11373C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22</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D7195B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"https://std.samr.gov.cn/gb/search/gbDetailed?id=71F772D81111D3A7E05397BE0A0AB82A" \o "https://std.samr.gov.cn/gb/search/gbDetailed?id=71F772D81111D3A7E05397BE0A0AB82A"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GB/T18916.22-2016</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A6A080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22</w:t>
            </w:r>
            <w:r>
              <w:rPr>
                <w:rStyle w:val="36"/>
                <w:rFonts w:hint="default" w:ascii="Times New Roman" w:hAnsi="Times New Roman" w:eastAsia="仿宋" w:cs="Times New Roman"/>
                <w:color w:val="auto"/>
                <w:sz w:val="24"/>
                <w:szCs w:val="24"/>
                <w:lang w:val="en-US" w:eastAsia="zh-CN" w:bidi="ar"/>
              </w:rPr>
              <w:t>部分：淀粉糖制造</w:t>
            </w:r>
          </w:p>
        </w:tc>
      </w:tr>
      <w:tr w14:paraId="54193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52B9FE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23</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204F710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"https://std.samr.gov.cn/gb/search/gbDetailed?id=71F772D80A7BD3A7E05397BE0A0AB82A" \o "https://std.samr.gov.cn/gb/search/gbDetailed?id=71F772D80A7BD3A7E05397BE0A0AB82A"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GB/T18916.23-2015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2C437E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23</w:t>
            </w:r>
            <w:r>
              <w:rPr>
                <w:rStyle w:val="36"/>
                <w:rFonts w:hint="default" w:ascii="Times New Roman" w:hAnsi="Times New Roman" w:eastAsia="仿宋" w:cs="Times New Roman"/>
                <w:color w:val="auto"/>
                <w:sz w:val="24"/>
                <w:szCs w:val="24"/>
                <w:lang w:val="en-US" w:eastAsia="zh-CN" w:bidi="ar"/>
              </w:rPr>
              <w:t>部分：柠檬酸制造</w:t>
            </w:r>
          </w:p>
        </w:tc>
      </w:tr>
      <w:tr w14:paraId="78842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1EE75FA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24</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2BAEABB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"https://std.samr.gov.cn/gb/search/gbDetailed?id=71F772D814E7D3A7E05397BE0A0AB82A" \o "https://std.samr.gov.cn/gb/search/gbDetailed?id=71F772D814E7D3A7E05397BE0A0AB82A"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GB/T18916.24-2016</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5132E7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24</w:t>
            </w:r>
            <w:r>
              <w:rPr>
                <w:rStyle w:val="36"/>
                <w:rFonts w:hint="default" w:ascii="Times New Roman" w:hAnsi="Times New Roman" w:eastAsia="仿宋" w:cs="Times New Roman"/>
                <w:color w:val="auto"/>
                <w:sz w:val="24"/>
                <w:szCs w:val="24"/>
                <w:lang w:val="en-US" w:eastAsia="zh-CN" w:bidi="ar"/>
              </w:rPr>
              <w:t>部分：麻纺织产品</w:t>
            </w:r>
          </w:p>
        </w:tc>
      </w:tr>
      <w:tr w14:paraId="25862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860E2B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25</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F97BBE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"https://std.samr.gov.cn/gb/search/gbDetailed?id=71F772D814E3D3A7E05397BE0A0AB82A" \o "https://std.samr.gov.cn/gb/search/gbDetailed?id=71F772D814E3D3A7E05397BE0A0AB82A"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GB/T18916.25-2016</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5782EA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25</w:t>
            </w:r>
            <w:r>
              <w:rPr>
                <w:rStyle w:val="36"/>
                <w:rFonts w:hint="default" w:ascii="Times New Roman" w:hAnsi="Times New Roman" w:eastAsia="仿宋" w:cs="Times New Roman"/>
                <w:color w:val="auto"/>
                <w:sz w:val="24"/>
                <w:szCs w:val="24"/>
                <w:lang w:val="en-US" w:eastAsia="zh-CN" w:bidi="ar"/>
              </w:rPr>
              <w:t>部分：粘胶纤维产品</w:t>
            </w:r>
          </w:p>
        </w:tc>
      </w:tr>
      <w:tr w14:paraId="795DE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CBC218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26</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8D51B7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"https://std.samr.gov.cn/gb/search/gbDetailed?id=71F772D81EFBD3A7E05397BE0A0AB82A" \o "https://std.samr.gov.cn/gb/search/gbDetailed?id=71F772D81EFBD3A7E05397BE0A0AB82A"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GB/T18916.26-2017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56951A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26</w:t>
            </w:r>
            <w:r>
              <w:rPr>
                <w:rStyle w:val="36"/>
                <w:rFonts w:hint="default" w:ascii="Times New Roman" w:hAnsi="Times New Roman" w:eastAsia="仿宋" w:cs="Times New Roman"/>
                <w:color w:val="auto"/>
                <w:sz w:val="24"/>
                <w:szCs w:val="24"/>
                <w:lang w:val="en-US" w:eastAsia="zh-CN" w:bidi="ar"/>
              </w:rPr>
              <w:t>部分：纯碱</w:t>
            </w:r>
          </w:p>
        </w:tc>
      </w:tr>
      <w:tr w14:paraId="2D228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41A7D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27</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624C4F3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"https://std.samr.gov.cn/gb/search/gbDetailed?id=71F772D81F0AD3A7E05397BE0A0AB82A" \o "https://std.samr.gov.cn/gb/search/gbDetailed?id=71F772D81F0AD3A7E05397BE0A0AB82A"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GB/T18916.27-2017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D4CD98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27</w:t>
            </w:r>
            <w:r>
              <w:rPr>
                <w:rStyle w:val="36"/>
                <w:rFonts w:hint="default" w:ascii="Times New Roman" w:hAnsi="Times New Roman" w:eastAsia="仿宋" w:cs="Times New Roman"/>
                <w:color w:val="auto"/>
                <w:sz w:val="24"/>
                <w:szCs w:val="24"/>
                <w:lang w:val="en-US" w:eastAsia="zh-CN" w:bidi="ar"/>
              </w:rPr>
              <w:t>部分：尿素</w:t>
            </w:r>
          </w:p>
        </w:tc>
      </w:tr>
      <w:tr w14:paraId="58222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AE84F9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28</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660F77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"https://std.samr.gov.cn/gb/search/gbDetailed?id=71F772D81EFAD3A7E05397BE0A0AB82A" \o "https://std.samr.gov.cn/gb/search/gbDetailed?id=71F772D81EFAD3A7E05397BE0A0AB82A"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GB/T18916.28-2017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A3877F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28</w:t>
            </w:r>
            <w:r>
              <w:rPr>
                <w:rStyle w:val="36"/>
                <w:rFonts w:hint="default" w:ascii="Times New Roman" w:hAnsi="Times New Roman" w:eastAsia="仿宋" w:cs="Times New Roman"/>
                <w:color w:val="auto"/>
                <w:sz w:val="24"/>
                <w:szCs w:val="24"/>
                <w:lang w:val="en-US" w:eastAsia="zh-CN" w:bidi="ar"/>
              </w:rPr>
              <w:t>部分：工业硫酸</w:t>
            </w:r>
          </w:p>
        </w:tc>
      </w:tr>
      <w:tr w14:paraId="25FD5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122BAA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29</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0820C3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"https://std.samr.gov.cn/gb/search/gbDetailed?id=71F772D81E16D3A7E05397BE0A0AB82A" \o "https://std.samr.gov.cn/gb/search/gbDetailed?id=71F772D81E16D3A7E05397BE0A0AB82A"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GB/T18916.29-2017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24F8EF9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29</w:t>
            </w:r>
            <w:r>
              <w:rPr>
                <w:rStyle w:val="36"/>
                <w:rFonts w:hint="default" w:ascii="Times New Roman" w:hAnsi="Times New Roman" w:eastAsia="仿宋" w:cs="Times New Roman"/>
                <w:color w:val="auto"/>
                <w:sz w:val="24"/>
                <w:szCs w:val="24"/>
                <w:lang w:val="en-US" w:eastAsia="zh-CN" w:bidi="ar"/>
              </w:rPr>
              <w:t>部分：烧碱</w:t>
            </w:r>
          </w:p>
        </w:tc>
      </w:tr>
      <w:tr w14:paraId="756F3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19AAA66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30</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2DC74BF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"https://std.samr.gov.cn/gb/search/gbDetailed?id=71F772D826A4D3A7E05397BE0A0AB82A" \o "https://std.samr.gov.cn/gb/search/gbDetailed?id=71F772D826A4D3A7E05397BE0A0AB82A"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GB/T18916.30-2017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3061AC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30</w:t>
            </w:r>
            <w:r>
              <w:rPr>
                <w:rStyle w:val="36"/>
                <w:rFonts w:hint="default" w:ascii="Times New Roman" w:hAnsi="Times New Roman" w:eastAsia="仿宋" w:cs="Times New Roman"/>
                <w:color w:val="auto"/>
                <w:sz w:val="24"/>
                <w:szCs w:val="24"/>
                <w:lang w:val="en-US" w:eastAsia="zh-CN" w:bidi="ar"/>
              </w:rPr>
              <w:t>部分：炼焦</w:t>
            </w:r>
          </w:p>
        </w:tc>
      </w:tr>
      <w:tr w14:paraId="00E9F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A45232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31</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0C0260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"https://std.samr.gov.cn/gb/search/gbDetailed?id=71F772D81D09D3A7E05397BE0A0AB82A" \o "https://std.samr.gov.cn/gb/search/gbDetailed?id=71F772D81D09D3A7E05397BE0A0AB82A"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GB/T18916.31-2017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305265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31</w:t>
            </w:r>
            <w:r>
              <w:rPr>
                <w:rStyle w:val="36"/>
                <w:rFonts w:hint="default" w:ascii="Times New Roman" w:hAnsi="Times New Roman" w:eastAsia="仿宋" w:cs="Times New Roman"/>
                <w:color w:val="auto"/>
                <w:sz w:val="24"/>
                <w:szCs w:val="24"/>
                <w:lang w:val="en-US" w:eastAsia="zh-CN" w:bidi="ar"/>
              </w:rPr>
              <w:t>部分：钢铁行业烧结</w:t>
            </w:r>
            <w:r>
              <w:rPr>
                <w:rFonts w:hint="default" w:ascii="Times New Roman" w:hAnsi="Times New Roman" w:eastAsia="仿宋" w:cs="Times New Roman"/>
                <w:i w:val="0"/>
                <w:iCs w:val="0"/>
                <w:color w:val="auto"/>
                <w:kern w:val="0"/>
                <w:sz w:val="24"/>
                <w:szCs w:val="24"/>
                <w:u w:val="none"/>
                <w:lang w:val="en-US" w:eastAsia="zh-CN" w:bidi="ar"/>
              </w:rPr>
              <w:t>/</w:t>
            </w:r>
            <w:r>
              <w:rPr>
                <w:rStyle w:val="36"/>
                <w:rFonts w:hint="default" w:ascii="Times New Roman" w:hAnsi="Times New Roman" w:eastAsia="仿宋" w:cs="Times New Roman"/>
                <w:color w:val="auto"/>
                <w:sz w:val="24"/>
                <w:szCs w:val="24"/>
                <w:lang w:val="en-US" w:eastAsia="zh-CN" w:bidi="ar"/>
              </w:rPr>
              <w:t>球团</w:t>
            </w:r>
          </w:p>
        </w:tc>
      </w:tr>
      <w:tr w14:paraId="68C93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FA43C6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32</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F0A323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"https://std.samr.gov.cn/gb/search/gbDetailed?id=71F772D81BF0D3A7E05397BE0A0AB82A" \o "https://std.samr.gov.cn/gb/search/gbDetailed?id=71F772D81BF0D3A7E05397BE0A0AB82A"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GB/T18916.32-2017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79464ED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32</w:t>
            </w:r>
            <w:r>
              <w:rPr>
                <w:rStyle w:val="36"/>
                <w:rFonts w:hint="default" w:ascii="Times New Roman" w:hAnsi="Times New Roman" w:eastAsia="仿宋" w:cs="Times New Roman"/>
                <w:color w:val="auto"/>
                <w:sz w:val="24"/>
                <w:szCs w:val="24"/>
                <w:lang w:val="en-US" w:eastAsia="zh-CN" w:bidi="ar"/>
              </w:rPr>
              <w:t>部分：铁矿选矿</w:t>
            </w:r>
          </w:p>
        </w:tc>
      </w:tr>
      <w:tr w14:paraId="28065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C6F387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33</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24DAC14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"https://std.samr.gov.cn/gb/search/gbDetailed?id=71F772D82AC9D3A7E05397BE0A0AB82A" \o "https://std.samr.gov.cn/gb/search/gbDetailed?id=71F772D82AC9D3A7E05397BE0A0AB82A"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GB/T18916.33-2018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F4DA0E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33</w:t>
            </w:r>
            <w:r>
              <w:rPr>
                <w:rStyle w:val="36"/>
                <w:rFonts w:hint="default" w:ascii="Times New Roman" w:hAnsi="Times New Roman" w:eastAsia="仿宋" w:cs="Times New Roman"/>
                <w:color w:val="auto"/>
                <w:sz w:val="24"/>
                <w:szCs w:val="24"/>
                <w:lang w:val="en-US" w:eastAsia="zh-CN" w:bidi="ar"/>
              </w:rPr>
              <w:t>部分：煤间接液化</w:t>
            </w:r>
          </w:p>
        </w:tc>
      </w:tr>
      <w:tr w14:paraId="7245E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3119DE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34</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144866F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"https://std.samr.gov.cn/gb/search/gbDetailed?id=71F772D82B36D3A7E05397BE0A0AB82A" \o "https://std.samr.gov.cn/gb/search/gbDetailed?id=71F772D82B36D3A7E05397BE0A0AB82A"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GB/T18916.34-2018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C79772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34</w:t>
            </w:r>
            <w:r>
              <w:rPr>
                <w:rStyle w:val="36"/>
                <w:rFonts w:hint="default" w:ascii="Times New Roman" w:hAnsi="Times New Roman" w:eastAsia="仿宋" w:cs="Times New Roman"/>
                <w:color w:val="auto"/>
                <w:sz w:val="24"/>
                <w:szCs w:val="24"/>
                <w:lang w:val="en-US" w:eastAsia="zh-CN" w:bidi="ar"/>
              </w:rPr>
              <w:t>部分：煤炭直接液化</w:t>
            </w:r>
          </w:p>
        </w:tc>
      </w:tr>
      <w:tr w14:paraId="15AAF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6478CB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35</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10F8204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"https://std.samr.gov.cn/gb/search/gbDetailed?id=71F772D82B39D3A7E05397BE0A0AB82A" \o "https://std.samr.gov.cn/gb/search/gbDetailed?id=71F772D82B39D3A7E05397BE0A0AB82A"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GB/T18916.35-2018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B7E7B3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35</w:t>
            </w:r>
            <w:r>
              <w:rPr>
                <w:rStyle w:val="36"/>
                <w:rFonts w:hint="default" w:ascii="Times New Roman" w:hAnsi="Times New Roman" w:eastAsia="仿宋" w:cs="Times New Roman"/>
                <w:color w:val="auto"/>
                <w:sz w:val="24"/>
                <w:szCs w:val="24"/>
                <w:lang w:val="en-US" w:eastAsia="zh-CN" w:bidi="ar"/>
              </w:rPr>
              <w:t>部分：煤制甲醇</w:t>
            </w:r>
          </w:p>
        </w:tc>
      </w:tr>
      <w:tr w14:paraId="16468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D43A30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36</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5AE9F5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"https://std.samr.gov.cn/gb/search/gbDetailed?id=71F772D82B1FD3A7E05397BE0A0AB82A" \o "https://std.samr.gov.cn/gb/search/gbDetailed?id=71F772D82B1FD3A7E05397BE0A0AB82A"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GB/T18916.36-2018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C57072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36</w:t>
            </w:r>
            <w:r>
              <w:rPr>
                <w:rStyle w:val="36"/>
                <w:rFonts w:hint="default" w:ascii="Times New Roman" w:hAnsi="Times New Roman" w:eastAsia="仿宋" w:cs="Times New Roman"/>
                <w:color w:val="auto"/>
                <w:sz w:val="24"/>
                <w:szCs w:val="24"/>
                <w:lang w:val="en-US" w:eastAsia="zh-CN" w:bidi="ar"/>
              </w:rPr>
              <w:t>部分：煤制乙二醇</w:t>
            </w:r>
          </w:p>
        </w:tc>
      </w:tr>
      <w:tr w14:paraId="7CE15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34108C1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37</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B429B2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"https://std.samr.gov.cn/gb/search/gbDetailed?id=71F772D82B35D3A7E05397BE0A0AB82A" \o "https://std.samr.gov.cn/gb/search/gbDetailed?id=71F772D82B35D3A7E05397BE0A0AB82A"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GB/T18916.37-2018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CA99CD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37</w:t>
            </w:r>
            <w:r>
              <w:rPr>
                <w:rStyle w:val="36"/>
                <w:rFonts w:hint="default" w:ascii="Times New Roman" w:hAnsi="Times New Roman" w:eastAsia="仿宋" w:cs="Times New Roman"/>
                <w:color w:val="auto"/>
                <w:sz w:val="24"/>
                <w:szCs w:val="24"/>
                <w:lang w:val="en-US" w:eastAsia="zh-CN" w:bidi="ar"/>
              </w:rPr>
              <w:t>部分：湿法磷酸</w:t>
            </w:r>
          </w:p>
        </w:tc>
      </w:tr>
      <w:tr w14:paraId="2F715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ED8363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38</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5D93D2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"https://std.samr.gov.cn/gb/search/gbDetailed?id=71F772D82B37D3A7E05397BE0A0AB82A" \o "https://std.samr.gov.cn/gb/search/gbDetailed?id=71F772D82B37D3A7E05397BE0A0AB82A"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GB/T18916.38-2018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77EA35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38</w:t>
            </w:r>
            <w:r>
              <w:rPr>
                <w:rStyle w:val="36"/>
                <w:rFonts w:hint="default" w:ascii="Times New Roman" w:hAnsi="Times New Roman" w:eastAsia="仿宋" w:cs="Times New Roman"/>
                <w:color w:val="auto"/>
                <w:sz w:val="24"/>
                <w:szCs w:val="24"/>
                <w:lang w:val="en-US" w:eastAsia="zh-CN" w:bidi="ar"/>
              </w:rPr>
              <w:t>部分：聚氯乙烯</w:t>
            </w:r>
          </w:p>
        </w:tc>
      </w:tr>
      <w:tr w14:paraId="7A0B9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4167260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39</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6DDE4D9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"https://std.samr.gov.cn/gb/search/gbDetailed?id=8AA1F5D36EA2A8DBE05397BE0A0AB19B" \o "https://std.samr.gov.cn/gb/search/gbDetailed?id=8AA1F5D36EA2A8DBE05397BE0A0AB19B"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GB/T18916.39-2019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1D1800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39</w:t>
            </w:r>
            <w:r>
              <w:rPr>
                <w:rStyle w:val="36"/>
                <w:rFonts w:hint="default" w:ascii="Times New Roman" w:hAnsi="Times New Roman" w:eastAsia="仿宋" w:cs="Times New Roman"/>
                <w:color w:val="auto"/>
                <w:sz w:val="24"/>
                <w:szCs w:val="24"/>
                <w:lang w:val="en-US" w:eastAsia="zh-CN" w:bidi="ar"/>
              </w:rPr>
              <w:t>部分</w:t>
            </w:r>
            <w:r>
              <w:rPr>
                <w:rFonts w:hint="eastAsia" w:ascii="Times New Roman" w:hAnsi="Times New Roman" w:eastAsia="仿宋" w:cs="Times New Roman"/>
                <w:i w:val="0"/>
                <w:iCs w:val="0"/>
                <w:color w:val="auto"/>
                <w:kern w:val="0"/>
                <w:sz w:val="24"/>
                <w:szCs w:val="24"/>
                <w:u w:val="none"/>
                <w:lang w:val="en-US" w:eastAsia="zh-CN" w:bidi="ar"/>
              </w:rPr>
              <w:t>：</w:t>
            </w:r>
            <w:r>
              <w:rPr>
                <w:rStyle w:val="36"/>
                <w:rFonts w:hint="default" w:ascii="Times New Roman" w:hAnsi="Times New Roman" w:eastAsia="仿宋" w:cs="Times New Roman"/>
                <w:color w:val="auto"/>
                <w:sz w:val="24"/>
                <w:szCs w:val="24"/>
                <w:lang w:val="en-US" w:eastAsia="zh-CN" w:bidi="ar"/>
              </w:rPr>
              <w:t>煤制合成天然气</w:t>
            </w:r>
          </w:p>
        </w:tc>
      </w:tr>
      <w:tr w14:paraId="72BC6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10F8AE9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40</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13239E2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"https://std.samr.gov.cn/gb/search/gbDetailed?id=7E2903B0D6F75A63E05397BE0A0AF660" \o "https://std.samr.gov.cn/gb/search/gbDetailed?id=7E2903B0D6F75A63E05397BE0A0AF660"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GB/T18916.40-2018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2CE889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40</w:t>
            </w:r>
            <w:r>
              <w:rPr>
                <w:rStyle w:val="36"/>
                <w:rFonts w:hint="default" w:ascii="Times New Roman" w:hAnsi="Times New Roman" w:eastAsia="仿宋" w:cs="Times New Roman"/>
                <w:color w:val="auto"/>
                <w:sz w:val="24"/>
                <w:szCs w:val="24"/>
                <w:lang w:val="en-US" w:eastAsia="zh-CN" w:bidi="ar"/>
              </w:rPr>
              <w:t>部分：船舶制造</w:t>
            </w:r>
          </w:p>
        </w:tc>
      </w:tr>
      <w:tr w14:paraId="3D669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4FAEFA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41</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38F008B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"https://std.samr.gov.cn/gb/search/gbDetailed?id=8531C702DBB16551E05397BE0A0ACD16" \o "https://std.samr.gov.cn/gb/search/gbDetailed?id=8531C702DBB16551E05397BE0A0ACD16"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GB/T18916.41-2019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79A506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41</w:t>
            </w:r>
            <w:r>
              <w:rPr>
                <w:rStyle w:val="36"/>
                <w:rFonts w:hint="default" w:ascii="Times New Roman" w:hAnsi="Times New Roman" w:eastAsia="仿宋" w:cs="Times New Roman"/>
                <w:color w:val="auto"/>
                <w:sz w:val="24"/>
                <w:szCs w:val="24"/>
                <w:lang w:val="en-US" w:eastAsia="zh-CN" w:bidi="ar"/>
              </w:rPr>
              <w:t>部分：酵母制造</w:t>
            </w:r>
          </w:p>
        </w:tc>
      </w:tr>
      <w:tr w14:paraId="37B7C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194D3C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42</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C958EE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"https://std.samr.gov.cn/gb/search/gbDetailed?id=8AA1F5D36F88A8DBE05397BE0A0AB19B" \o "https://std.samr.gov.cn/gb/search/gbDetailed?id=8AA1F5D36F88A8DBE05397BE0A0AB19B"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GB/T18916.42-2019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794F52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42</w:t>
            </w:r>
            <w:r>
              <w:rPr>
                <w:rStyle w:val="36"/>
                <w:rFonts w:hint="default" w:ascii="Times New Roman" w:hAnsi="Times New Roman" w:eastAsia="仿宋" w:cs="Times New Roman"/>
                <w:color w:val="auto"/>
                <w:sz w:val="24"/>
                <w:szCs w:val="24"/>
                <w:lang w:val="en-US" w:eastAsia="zh-CN" w:bidi="ar"/>
              </w:rPr>
              <w:t>部分：黄酒制造</w:t>
            </w:r>
          </w:p>
        </w:tc>
      </w:tr>
      <w:tr w14:paraId="34092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36C9145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43</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43E62C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"https://std.samr.gov.cn/gb/search/gbDetailed?id=95A47695C4C74F2CE05397BE0A0AB3E0" \o "https://std.samr.gov.cn/gb/search/gbDetailed?id=95A47695C4C74F2CE05397BE0A0AB3E0"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GB/T18916.43-2019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00C7B6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43</w:t>
            </w:r>
            <w:r>
              <w:rPr>
                <w:rStyle w:val="36"/>
                <w:rFonts w:hint="default" w:ascii="Times New Roman" w:hAnsi="Times New Roman" w:eastAsia="仿宋" w:cs="Times New Roman"/>
                <w:color w:val="auto"/>
                <w:sz w:val="24"/>
                <w:szCs w:val="24"/>
                <w:lang w:val="en-US" w:eastAsia="zh-CN" w:bidi="ar"/>
              </w:rPr>
              <w:t>部分：离子型稀土矿冶炼分离生产</w:t>
            </w:r>
          </w:p>
        </w:tc>
      </w:tr>
      <w:tr w14:paraId="1017F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A99DE9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44</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2E207A3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"https://std.samr.gov.cn/gb/search/gbDetailed?id=91890A0DA4FA80C6E05397BE0A0A065D" \o "https://std.samr.gov.cn/gb/search/gbDetailed?id=91890A0DA4FA80C6E05397BE0A0A065D"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GB/T18916.44-2019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19A896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44</w:t>
            </w:r>
            <w:r>
              <w:rPr>
                <w:rStyle w:val="36"/>
                <w:rFonts w:hint="default" w:ascii="Times New Roman" w:hAnsi="Times New Roman" w:eastAsia="仿宋" w:cs="Times New Roman"/>
                <w:color w:val="auto"/>
                <w:sz w:val="24"/>
                <w:szCs w:val="24"/>
                <w:lang w:val="en-US" w:eastAsia="zh-CN" w:bidi="ar"/>
              </w:rPr>
              <w:t>部分：氨纶产品</w:t>
            </w:r>
          </w:p>
        </w:tc>
      </w:tr>
      <w:tr w14:paraId="51563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A59423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45</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6F55D3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"https://std.samr.gov.cn/gb/search/gbDetailed?id=91890A0DA4F980C6E05397BE0A0A065D" \o "https://std.samr.gov.cn/gb/search/gbDetailed?id=91890A0DA4F980C6E05397BE0A0A065D"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GB/T18916.45-2019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371C9C9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45</w:t>
            </w:r>
            <w:r>
              <w:rPr>
                <w:rStyle w:val="36"/>
                <w:rFonts w:hint="default" w:ascii="Times New Roman" w:hAnsi="Times New Roman" w:eastAsia="仿宋" w:cs="Times New Roman"/>
                <w:color w:val="auto"/>
                <w:sz w:val="24"/>
                <w:szCs w:val="24"/>
                <w:lang w:val="en-US" w:eastAsia="zh-CN" w:bidi="ar"/>
              </w:rPr>
              <w:t>部分：再生涤纶产品</w:t>
            </w:r>
          </w:p>
        </w:tc>
      </w:tr>
      <w:tr w14:paraId="1C3CC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52F391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46</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0DBB70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"https://std.samr.gov.cn/gb/search/gbDetailed?id=95A47695C5064F2CE05397BE0A0AB3E0" \o "https://std.samr.gov.cn/gb/search/gbDetailed?id=95A47695C5064F2CE05397BE0A0AB3E0"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GB/T18916.46-2019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5E4C578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46</w:t>
            </w:r>
            <w:r>
              <w:rPr>
                <w:rStyle w:val="36"/>
                <w:rFonts w:hint="default" w:ascii="Times New Roman" w:hAnsi="Times New Roman" w:eastAsia="仿宋" w:cs="Times New Roman"/>
                <w:color w:val="auto"/>
                <w:sz w:val="24"/>
                <w:szCs w:val="24"/>
                <w:lang w:val="en-US" w:eastAsia="zh-CN" w:bidi="ar"/>
              </w:rPr>
              <w:t>部分：核电</w:t>
            </w:r>
          </w:p>
        </w:tc>
      </w:tr>
      <w:tr w14:paraId="7D133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BDB78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47</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70D409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"https://std.samr.gov.cn/gb/search/gbDetailed?id=A24AF19F41305C2EE05397BE0A0A5E0D" \o "https://std.samr.gov.cn/gb/search/gbDetailed?id=A24AF19F41305C2EE05397BE0A0A5E0D"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GB/T18916.47-2020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399574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47</w:t>
            </w:r>
            <w:r>
              <w:rPr>
                <w:rStyle w:val="36"/>
                <w:rFonts w:hint="default" w:ascii="Times New Roman" w:hAnsi="Times New Roman" w:eastAsia="仿宋" w:cs="Times New Roman"/>
                <w:color w:val="auto"/>
                <w:sz w:val="24"/>
                <w:szCs w:val="24"/>
                <w:lang w:val="en-US" w:eastAsia="zh-CN" w:bidi="ar"/>
              </w:rPr>
              <w:t>部分：多晶硅生产</w:t>
            </w:r>
          </w:p>
        </w:tc>
      </w:tr>
      <w:tr w14:paraId="36EE9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082208C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48</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A67D81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"https://std.samr.gov.cn/gb/search/gbDetailed?id=A24AF19F41315C2EE05397BE0A0A5E0D" \o "https://std.samr.gov.cn/gb/search/gbDetailed?id=A24AF19F41315C2EE05397BE0A0A5E0D"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GB/T18916.48-2020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32DAEE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48</w:t>
            </w:r>
            <w:r>
              <w:rPr>
                <w:rStyle w:val="36"/>
                <w:rFonts w:hint="default" w:ascii="Times New Roman" w:hAnsi="Times New Roman" w:eastAsia="仿宋" w:cs="Times New Roman"/>
                <w:color w:val="auto"/>
                <w:sz w:val="24"/>
                <w:szCs w:val="24"/>
                <w:lang w:val="en-US" w:eastAsia="zh-CN" w:bidi="ar"/>
              </w:rPr>
              <w:t>部分：维纶产品</w:t>
            </w:r>
          </w:p>
        </w:tc>
      </w:tr>
      <w:tr w14:paraId="3A81A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054BD3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49</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15CC15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"https://std.samr.gov.cn/gb/search/gbDetailed?id=A24AF19F41325C2EE05397BE0A0A5E0D" \o "https://std.samr.gov.cn/gb/search/gbDetailed?id=A24AF19F41325C2EE05397BE0A0A5E0D"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GB/T18916.49-2020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ECA759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49</w:t>
            </w:r>
            <w:r>
              <w:rPr>
                <w:rStyle w:val="36"/>
                <w:rFonts w:hint="default" w:ascii="Times New Roman" w:hAnsi="Times New Roman" w:eastAsia="仿宋" w:cs="Times New Roman"/>
                <w:color w:val="auto"/>
                <w:sz w:val="24"/>
                <w:szCs w:val="24"/>
                <w:lang w:val="en-US" w:eastAsia="zh-CN" w:bidi="ar"/>
              </w:rPr>
              <w:t>部分：锦纶产品</w:t>
            </w:r>
          </w:p>
        </w:tc>
      </w:tr>
      <w:tr w14:paraId="31FEB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F8D110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50</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E0DE3F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"https://std.samr.gov.cn/gb/search/gbDetailed?id=A24AF19F412E5C2EE05397BE0A0A5E0D" \o "https://std.samr.gov.cn/gb/search/gbDetailed?id=A24AF19F412E5C2EE05397BE0A0A5E0D"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GB/T18916.50-2020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7DB778F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50</w:t>
            </w:r>
            <w:r>
              <w:rPr>
                <w:rStyle w:val="36"/>
                <w:rFonts w:hint="default" w:ascii="Times New Roman" w:hAnsi="Times New Roman" w:eastAsia="仿宋" w:cs="Times New Roman"/>
                <w:color w:val="auto"/>
                <w:sz w:val="24"/>
                <w:szCs w:val="24"/>
                <w:lang w:val="en-US" w:eastAsia="zh-CN" w:bidi="ar"/>
              </w:rPr>
              <w:t>部分：聚酯涤纶产品</w:t>
            </w:r>
          </w:p>
        </w:tc>
      </w:tr>
      <w:tr w14:paraId="4D776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21B350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51</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3A78B92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"https://std.samr.gov.cn/gb/search/gbDetailed?id=B4C25880C3351CB3E05397BE0A0A92D0" \o "https://std.samr.gov.cn/gb/search/gbDetailed?id=B4C25880C3351CB3E05397BE0A0A92D0"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GB/T18916.51-2020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7F8FA38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51</w:t>
            </w:r>
            <w:r>
              <w:rPr>
                <w:rStyle w:val="36"/>
                <w:rFonts w:hint="default" w:ascii="Times New Roman" w:hAnsi="Times New Roman" w:eastAsia="仿宋" w:cs="Times New Roman"/>
                <w:color w:val="auto"/>
                <w:sz w:val="24"/>
                <w:szCs w:val="24"/>
                <w:lang w:val="en-US" w:eastAsia="zh-CN" w:bidi="ar"/>
              </w:rPr>
              <w:t>部分：对二甲苯</w:t>
            </w:r>
          </w:p>
        </w:tc>
      </w:tr>
      <w:tr w14:paraId="4F92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0354E2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52</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C47EB2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"https://std.samr.gov.cn/gb/search/gbDetailed?id=B4C25880C3361CB3E05397BE0A0A92D0" \o "https://std.samr.gov.cn/gb/search/gbDetailed?id=B4C25880C3361CB3E05397BE0A0A92D0"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GB/T18916.52-2020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58C9F0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52</w:t>
            </w:r>
            <w:r>
              <w:rPr>
                <w:rStyle w:val="36"/>
                <w:rFonts w:hint="default" w:ascii="Times New Roman" w:hAnsi="Times New Roman" w:eastAsia="仿宋" w:cs="Times New Roman"/>
                <w:color w:val="auto"/>
                <w:sz w:val="24"/>
                <w:szCs w:val="24"/>
                <w:lang w:val="en-US" w:eastAsia="zh-CN" w:bidi="ar"/>
              </w:rPr>
              <w:t>部分：精对苯二甲酸</w:t>
            </w:r>
          </w:p>
        </w:tc>
      </w:tr>
      <w:tr w14:paraId="6737C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4EA84FE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53</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090880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"https://std.samr.gov.cn/gb/search/gbDetailed?id=C3386C490C568B79E05397BE0A0AC288" \o "https://std.samr.gov.cn/gb/search/gbDetailed?id=C3386C490C568B79E05397BE0A0AC288"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GB/T18916.53-2021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C1ECDC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53</w:t>
            </w:r>
            <w:r>
              <w:rPr>
                <w:rStyle w:val="36"/>
                <w:rFonts w:hint="default" w:ascii="Times New Roman" w:hAnsi="Times New Roman" w:eastAsia="仿宋" w:cs="Times New Roman"/>
                <w:color w:val="auto"/>
                <w:sz w:val="24"/>
                <w:szCs w:val="24"/>
                <w:lang w:val="en-US" w:eastAsia="zh-CN" w:bidi="ar"/>
              </w:rPr>
              <w:t>部分：食糖</w:t>
            </w:r>
          </w:p>
        </w:tc>
      </w:tr>
      <w:tr w14:paraId="05C6B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91D8C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54</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62D7C42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"https://std.samr.gov.cn/gb/search/gbDetailed?id=C3386C490C508B79E05397BE0A0AC288" \o "https://std.samr.gov.cn/gb/search/gbDetailed?id=C3386C490C508B79E05397BE0A0AC288"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GB/T18916.54-2021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04E2D4E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54</w:t>
            </w:r>
            <w:r>
              <w:rPr>
                <w:rStyle w:val="36"/>
                <w:rFonts w:hint="default" w:ascii="Times New Roman" w:hAnsi="Times New Roman" w:eastAsia="仿宋" w:cs="Times New Roman"/>
                <w:color w:val="auto"/>
                <w:sz w:val="24"/>
                <w:szCs w:val="24"/>
                <w:lang w:val="en-US" w:eastAsia="zh-CN" w:bidi="ar"/>
              </w:rPr>
              <w:t>部分：罐头食品</w:t>
            </w:r>
          </w:p>
        </w:tc>
      </w:tr>
      <w:tr w14:paraId="37F92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0EB060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55</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717B4D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"https://std.samr.gov.cn/gb/search/gbDetailed?id=CA6C0E542CA2C983E05397BE0A0AED11" \o "https://std.samr.gov.cn/gb/search/gbDetailed?id=CA6C0E542CA2C983E05397BE0A0AED11"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GB/T18916.55-2021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0DFDCC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55</w:t>
            </w:r>
            <w:r>
              <w:rPr>
                <w:rStyle w:val="36"/>
                <w:rFonts w:hint="default" w:ascii="Times New Roman" w:hAnsi="Times New Roman" w:eastAsia="仿宋" w:cs="Times New Roman"/>
                <w:color w:val="auto"/>
                <w:sz w:val="24"/>
                <w:szCs w:val="24"/>
                <w:lang w:val="en-US" w:eastAsia="zh-CN" w:bidi="ar"/>
              </w:rPr>
              <w:t>部分：皮革</w:t>
            </w:r>
          </w:p>
        </w:tc>
      </w:tr>
      <w:tr w14:paraId="5EB1E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BCDF0A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56</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E61B44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"https://std.samr.gov.cn/gb/search/gbDetailed?id=C3386C490C678B79E05397BE0A0AC288" \o "https://std.samr.gov.cn/gb/search/gbDetailed?id=C3386C490C678B79E05397BE0A0AC288"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GB/T18916.56-2021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5F48E33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56</w:t>
            </w:r>
            <w:r>
              <w:rPr>
                <w:rStyle w:val="36"/>
                <w:rFonts w:hint="default" w:ascii="Times New Roman" w:hAnsi="Times New Roman" w:eastAsia="仿宋" w:cs="Times New Roman"/>
                <w:color w:val="auto"/>
                <w:sz w:val="24"/>
                <w:szCs w:val="24"/>
                <w:lang w:val="en-US" w:eastAsia="zh-CN" w:bidi="ar"/>
              </w:rPr>
              <w:t>部分：毛皮</w:t>
            </w:r>
          </w:p>
        </w:tc>
      </w:tr>
      <w:tr w14:paraId="149ED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A09539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57</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1EC557E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"https://std.samr.gov.cn/gb/search/gbDetailed?id=D4BEFFF4E981B241E05397BE0A0AF581" \o "https://std.samr.gov.cn/gb/search/gbDetailed?id=D4BEFFF4E981B241E05397BE0A0AF581"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GB/T18916.57-2021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22BAC4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57</w:t>
            </w:r>
            <w:r>
              <w:rPr>
                <w:rStyle w:val="36"/>
                <w:rFonts w:hint="default" w:ascii="Times New Roman" w:hAnsi="Times New Roman" w:eastAsia="仿宋" w:cs="Times New Roman"/>
                <w:color w:val="auto"/>
                <w:sz w:val="24"/>
                <w:szCs w:val="24"/>
                <w:lang w:val="en-US" w:eastAsia="zh-CN" w:bidi="ar"/>
              </w:rPr>
              <w:t>部分：乳制品</w:t>
            </w:r>
          </w:p>
        </w:tc>
      </w:tr>
      <w:tr w14:paraId="15B5C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1C68130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58</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2988189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"https://std.samr.gov.cn/gb/search/gbDetailed?id=D4BEFFF4EADCB241E05397BE0A0AF581" \o "https://std.samr.gov.cn/gb/search/gbDetailed?id=D4BEFFF4EADCB241E05397BE0A0AF581"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GB/T18916.58-2021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23846F9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58</w:t>
            </w:r>
            <w:r>
              <w:rPr>
                <w:rStyle w:val="36"/>
                <w:rFonts w:hint="default" w:ascii="Times New Roman" w:hAnsi="Times New Roman" w:eastAsia="仿宋" w:cs="Times New Roman"/>
                <w:color w:val="auto"/>
                <w:sz w:val="24"/>
                <w:szCs w:val="24"/>
                <w:lang w:val="en-US" w:eastAsia="zh-CN" w:bidi="ar"/>
              </w:rPr>
              <w:t>部分：钛白粉</w:t>
            </w:r>
          </w:p>
        </w:tc>
      </w:tr>
      <w:tr w14:paraId="40100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05C7F2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59</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DFEF14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"https://std.samr.gov.cn/gb/search/gbDetailed?id=D4BEFFF4E982B241E05397BE0A0AF581" \o "https://std.samr.gov.cn/gb/search/gbDetailed?id=D4BEFFF4E982B241E05397BE0A0AF581"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GB/T18916.59-2021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6B2A3E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59</w:t>
            </w:r>
            <w:r>
              <w:rPr>
                <w:rStyle w:val="36"/>
                <w:rFonts w:hint="default" w:ascii="Times New Roman" w:hAnsi="Times New Roman" w:eastAsia="仿宋" w:cs="Times New Roman"/>
                <w:color w:val="auto"/>
                <w:sz w:val="24"/>
                <w:szCs w:val="24"/>
                <w:lang w:val="en-US" w:eastAsia="zh-CN" w:bidi="ar"/>
              </w:rPr>
              <w:t>部分：醋酸乙烯</w:t>
            </w:r>
          </w:p>
        </w:tc>
      </w:tr>
      <w:tr w14:paraId="12B27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1DEAC85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60</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3B37B6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"https://std.samr.gov.cn/gb/search/gbDetailed?id=D4BEFFF4E986B241E05397BE0A0AF581" \o "https://std.samr.gov.cn/gb/search/gbDetailed?id=D4BEFFF4E986B241E05397BE0A0AF581"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GB/T18916.60-2021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568BA90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60</w:t>
            </w:r>
            <w:r>
              <w:rPr>
                <w:rStyle w:val="36"/>
                <w:rFonts w:hint="default" w:ascii="Times New Roman" w:hAnsi="Times New Roman" w:eastAsia="仿宋" w:cs="Times New Roman"/>
                <w:color w:val="auto"/>
                <w:sz w:val="24"/>
                <w:szCs w:val="24"/>
                <w:lang w:val="en-US" w:eastAsia="zh-CN" w:bidi="ar"/>
              </w:rPr>
              <w:t>部分：有机硅</w:t>
            </w:r>
          </w:p>
        </w:tc>
      </w:tr>
      <w:tr w14:paraId="47E83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FBEDA4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61</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73AC547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"https://std.samr.gov.cn/gb/search/gbDetailed?id=F159DFC2A79B47EFE05397BE0A0AF334" \o "https://std.samr.gov.cn/gb/search/gbDetailed?id=F159DFC2A79B47EFE05397BE0A0AF334"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GB/T18916.61-2022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92456A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61</w:t>
            </w:r>
            <w:r>
              <w:rPr>
                <w:rStyle w:val="36"/>
                <w:rFonts w:hint="default" w:ascii="Times New Roman" w:hAnsi="Times New Roman" w:eastAsia="仿宋" w:cs="Times New Roman"/>
                <w:color w:val="auto"/>
                <w:sz w:val="24"/>
                <w:szCs w:val="24"/>
                <w:lang w:val="en-US" w:eastAsia="zh-CN" w:bidi="ar"/>
              </w:rPr>
              <w:t>部分：赖氨酸盐</w:t>
            </w:r>
          </w:p>
        </w:tc>
      </w:tr>
      <w:tr w14:paraId="51F50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BE6684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62</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0882A98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"https://std.samr.gov.cn/gb/search/gbDetailed?id=EB58F4DA92A4B2A2E05397BE0A0A7D33" \o "https://std.samr.gov.cn/gb/search/gbDetailed?id=EB58F4DA92A4B2A2E05397BE0A0A7D33"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GB/T18916.62-2022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77C307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62</w:t>
            </w:r>
            <w:r>
              <w:rPr>
                <w:rStyle w:val="36"/>
                <w:rFonts w:hint="default" w:ascii="Times New Roman" w:hAnsi="Times New Roman" w:eastAsia="仿宋" w:cs="Times New Roman"/>
                <w:color w:val="auto"/>
                <w:sz w:val="24"/>
                <w:szCs w:val="24"/>
                <w:lang w:val="en-US" w:eastAsia="zh-CN" w:bidi="ar"/>
              </w:rPr>
              <w:t>部分：水泥</w:t>
            </w:r>
          </w:p>
        </w:tc>
      </w:tr>
      <w:tr w14:paraId="11FD6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4C6915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63</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89AA77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"https://std.samr.gov.cn/gb/search/gbDetailed?id=EB58F4DA92A6B2A2E05397BE0A0A7D33" \o "https://std.samr.gov.cn/gb/search/gbDetailed?id=EB58F4DA92A6B2A2E05397BE0A0A7D33"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GB/T18916.63-2022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5E730D7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63</w:t>
            </w:r>
            <w:r>
              <w:rPr>
                <w:rStyle w:val="36"/>
                <w:rFonts w:hint="default" w:ascii="Times New Roman" w:hAnsi="Times New Roman" w:eastAsia="仿宋" w:cs="Times New Roman"/>
                <w:color w:val="auto"/>
                <w:sz w:val="24"/>
                <w:szCs w:val="24"/>
                <w:lang w:val="en-US" w:eastAsia="zh-CN" w:bidi="ar"/>
              </w:rPr>
              <w:t>部分：平板玻璃</w:t>
            </w:r>
          </w:p>
        </w:tc>
      </w:tr>
      <w:tr w14:paraId="0AACF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64721A5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64</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46637C5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"https://std.samr.gov.cn/gb/search/gbDetailed?id=F159DFC2A85447EFE05397BE0A0AF334" \o "https://std.samr.gov.cn/gb/search/gbDetailed?id=F159DFC2A85447EFE05397BE0A0AF334"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GB/T18916.64-2022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B2227C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取水定额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64</w:t>
            </w:r>
            <w:r>
              <w:rPr>
                <w:rStyle w:val="36"/>
                <w:rFonts w:hint="default" w:ascii="Times New Roman" w:hAnsi="Times New Roman" w:eastAsia="仿宋" w:cs="Times New Roman"/>
                <w:color w:val="auto"/>
                <w:sz w:val="24"/>
                <w:szCs w:val="24"/>
                <w:lang w:val="en-US" w:eastAsia="zh-CN" w:bidi="ar"/>
              </w:rPr>
              <w:t>部分：建筑卫生陶瓷</w:t>
            </w:r>
          </w:p>
        </w:tc>
      </w:tr>
      <w:tr w14:paraId="5B735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BD3C5C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65</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346D14E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"https://std.samr.gov.cn/gb/search/gbDetailed?id=28045D84D9DA9055E06397BE0A0A7C5C" \o "https://std.samr.gov.cn/gb/search/gbDetailed?id=28045D84D9DA9055E06397BE0A0A7C5C"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GB/T18916.65-2024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991288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65</w:t>
            </w:r>
            <w:r>
              <w:rPr>
                <w:rStyle w:val="36"/>
                <w:rFonts w:hint="default" w:ascii="Times New Roman" w:hAnsi="Times New Roman" w:eastAsia="仿宋" w:cs="Times New Roman"/>
                <w:color w:val="auto"/>
                <w:sz w:val="24"/>
                <w:szCs w:val="24"/>
                <w:lang w:val="en-US" w:eastAsia="zh-CN" w:bidi="ar"/>
              </w:rPr>
              <w:t>部分：饮料</w:t>
            </w:r>
          </w:p>
        </w:tc>
      </w:tr>
      <w:tr w14:paraId="7EBCE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A090D3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66</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343B559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"https://std.samr.gov.cn/gb/search/gbDetailed?id=234D7936AB46E194E06397BE0A0AA0A9" \o "https://std.samr.gov.cn/gb/search/gbDetailed?id=234D7936AB46E194E06397BE0A0AA0A9"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GB/T18916.66-2024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2B5CC4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66</w:t>
            </w:r>
            <w:r>
              <w:rPr>
                <w:rStyle w:val="36"/>
                <w:rFonts w:hint="default" w:ascii="Times New Roman" w:hAnsi="Times New Roman" w:eastAsia="仿宋" w:cs="Times New Roman"/>
                <w:color w:val="auto"/>
                <w:sz w:val="24"/>
                <w:szCs w:val="24"/>
                <w:lang w:val="en-US" w:eastAsia="zh-CN" w:bidi="ar"/>
              </w:rPr>
              <w:t>部分：石材</w:t>
            </w:r>
          </w:p>
        </w:tc>
      </w:tr>
      <w:tr w14:paraId="33CCC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46DBC42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67</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6C3843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"https://std.samr.gov.cn/gb/search/gbDetailed?id=33BE015BACD789EBE06397BE0A0A2966" \o "https://std.samr.gov.cn/gb/search/gbDetailed?id=33BE015BACD789EBE06397BE0A0A2966"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GB45669.1-2025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2C147B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黄河流域工业用水定额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1</w:t>
            </w:r>
            <w:r>
              <w:rPr>
                <w:rStyle w:val="36"/>
                <w:rFonts w:hint="default" w:ascii="Times New Roman" w:hAnsi="Times New Roman" w:eastAsia="仿宋" w:cs="Times New Roman"/>
                <w:color w:val="auto"/>
                <w:sz w:val="24"/>
                <w:szCs w:val="24"/>
                <w:lang w:val="en-US" w:eastAsia="zh-CN" w:bidi="ar"/>
              </w:rPr>
              <w:t>部分：火力发电</w:t>
            </w:r>
          </w:p>
        </w:tc>
      </w:tr>
      <w:tr w14:paraId="4AECD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76CC32E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68</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5E1F593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"https://std.samr.gov.cn/gb/search/gbDetailed?id=33BE015BACD889EBE06397BE0A0A2966" \o "https://std.samr.gov.cn/gb/search/gbDetailed?id=33BE015BACD889EBE06397BE0A0A2966"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GB45669.2-2025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169DFAD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黄河流域工业用水定额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2</w:t>
            </w:r>
            <w:r>
              <w:rPr>
                <w:rStyle w:val="36"/>
                <w:rFonts w:hint="default" w:ascii="Times New Roman" w:hAnsi="Times New Roman" w:eastAsia="仿宋" w:cs="Times New Roman"/>
                <w:color w:val="auto"/>
                <w:sz w:val="24"/>
                <w:szCs w:val="24"/>
                <w:lang w:val="en-US" w:eastAsia="zh-CN" w:bidi="ar"/>
              </w:rPr>
              <w:t>部分：选煤</w:t>
            </w:r>
          </w:p>
        </w:tc>
      </w:tr>
      <w:tr w14:paraId="3EF79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3C530BB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69</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3928E80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"https://std.samr.gov.cn/gb/search/gbDetailed?id=33BE015BACD989EBE06397BE0A0A2966" \o "https://std.samr.gov.cn/gb/search/gbDetailed?id=33BE015BACD989EBE06397BE0A0A2966"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GB45669.3-2025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629F2F9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黄河流域工业用水定额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3</w:t>
            </w:r>
            <w:r>
              <w:rPr>
                <w:rStyle w:val="36"/>
                <w:rFonts w:hint="default" w:ascii="Times New Roman" w:hAnsi="Times New Roman" w:eastAsia="仿宋" w:cs="Times New Roman"/>
                <w:color w:val="auto"/>
                <w:sz w:val="24"/>
                <w:szCs w:val="24"/>
                <w:lang w:val="en-US" w:eastAsia="zh-CN" w:bidi="ar"/>
              </w:rPr>
              <w:t>部分：煤制烯烃</w:t>
            </w:r>
          </w:p>
        </w:tc>
      </w:tr>
      <w:tr w14:paraId="5C28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2005D92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70</w:t>
            </w:r>
          </w:p>
        </w:tc>
        <w:tc>
          <w:tcPr>
            <w:tcW w:w="2408" w:type="dxa"/>
            <w:tcBorders>
              <w:top w:val="single" w:color="auto" w:sz="4" w:space="0"/>
              <w:left w:val="single" w:color="auto" w:sz="4" w:space="0"/>
              <w:bottom w:val="single" w:color="auto" w:sz="4" w:space="0"/>
              <w:right w:val="single" w:color="auto" w:sz="4" w:space="0"/>
            </w:tcBorders>
            <w:shd w:val="clear" w:color="auto" w:fill="auto"/>
            <w:vAlign w:val="center"/>
          </w:tcPr>
          <w:p w14:paraId="6FBB538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"https://std.samr.gov.cn/gb/search/gbDetailed?id=33BE015BACDA89EBE06397BE0A0A2966" \o "https://std.samr.gov.cn/gb/search/gbDetailed?id=33BE015BACDA89EBE06397BE0A0A2966"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GB45669.4-2025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5771" w:type="dxa"/>
            <w:tcBorders>
              <w:top w:val="single" w:color="auto" w:sz="4" w:space="0"/>
              <w:left w:val="single" w:color="auto" w:sz="4" w:space="0"/>
              <w:bottom w:val="single" w:color="auto" w:sz="4" w:space="0"/>
              <w:right w:val="single" w:color="auto" w:sz="4" w:space="0"/>
            </w:tcBorders>
            <w:shd w:val="clear" w:color="auto" w:fill="auto"/>
            <w:vAlign w:val="center"/>
          </w:tcPr>
          <w:p w14:paraId="4A658D3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Style w:val="36"/>
                <w:rFonts w:hint="default" w:ascii="Times New Roman" w:hAnsi="Times New Roman" w:eastAsia="仿宋" w:cs="Times New Roman"/>
                <w:color w:val="auto"/>
                <w:sz w:val="24"/>
                <w:szCs w:val="24"/>
                <w:lang w:val="en-US" w:eastAsia="zh-CN" w:bidi="ar"/>
              </w:rPr>
              <w:t>黄河流域工业用水定额</w:t>
            </w:r>
            <w:r>
              <w:rPr>
                <w:rFonts w:hint="default" w:ascii="Times New Roman" w:hAnsi="Times New Roman" w:eastAsia="仿宋" w:cs="Times New Roman"/>
                <w:i w:val="0"/>
                <w:iCs w:val="0"/>
                <w:color w:val="auto"/>
                <w:kern w:val="0"/>
                <w:sz w:val="24"/>
                <w:szCs w:val="24"/>
                <w:u w:val="none"/>
                <w:lang w:val="en-US" w:eastAsia="zh-CN" w:bidi="ar"/>
              </w:rPr>
              <w:t xml:space="preserve"> </w:t>
            </w:r>
            <w:r>
              <w:rPr>
                <w:rStyle w:val="36"/>
                <w:rFonts w:hint="default" w:ascii="Times New Roman" w:hAnsi="Times New Roman" w:eastAsia="仿宋" w:cs="Times New Roman"/>
                <w:color w:val="auto"/>
                <w:sz w:val="24"/>
                <w:szCs w:val="24"/>
                <w:lang w:val="en-US" w:eastAsia="zh-CN" w:bidi="ar"/>
              </w:rPr>
              <w:t>第</w:t>
            </w:r>
            <w:r>
              <w:rPr>
                <w:rFonts w:hint="default" w:ascii="Times New Roman" w:hAnsi="Times New Roman" w:eastAsia="仿宋" w:cs="Times New Roman"/>
                <w:i w:val="0"/>
                <w:iCs w:val="0"/>
                <w:color w:val="auto"/>
                <w:kern w:val="0"/>
                <w:sz w:val="24"/>
                <w:szCs w:val="24"/>
                <w:u w:val="none"/>
                <w:lang w:val="en-US" w:eastAsia="zh-CN" w:bidi="ar"/>
              </w:rPr>
              <w:t>4</w:t>
            </w:r>
            <w:r>
              <w:rPr>
                <w:rStyle w:val="36"/>
                <w:rFonts w:hint="default" w:ascii="Times New Roman" w:hAnsi="Times New Roman" w:eastAsia="仿宋" w:cs="Times New Roman"/>
                <w:color w:val="auto"/>
                <w:sz w:val="24"/>
                <w:szCs w:val="24"/>
                <w:lang w:val="en-US" w:eastAsia="zh-CN" w:bidi="ar"/>
              </w:rPr>
              <w:t>部分：水泥</w:t>
            </w:r>
          </w:p>
        </w:tc>
      </w:tr>
    </w:tbl>
    <w:p w14:paraId="195306B7">
      <w:pPr>
        <w:keepNext w:val="0"/>
        <w:keepLines w:val="0"/>
        <w:pageBreakBefore w:val="0"/>
        <w:widowControl w:val="0"/>
        <w:topLinePunct w:val="0"/>
        <w:bidi w:val="0"/>
        <w:rPr>
          <w:rFonts w:hint="default" w:ascii="Times New Roman" w:hAnsi="Times New Roman" w:cs="Times New Roman"/>
          <w:lang w:val="en-US" w:eastAsia="zh-CN"/>
        </w:rPr>
      </w:pPr>
    </w:p>
    <w:p w14:paraId="1BFE33BA">
      <w:pPr>
        <w:pStyle w:val="23"/>
        <w:keepNext w:val="0"/>
        <w:keepLines w:val="0"/>
        <w:pageBreakBefore w:val="0"/>
        <w:widowControl w:val="0"/>
        <w:topLinePunct w:val="0"/>
        <w:bidi w:val="0"/>
        <w:rPr>
          <w:rFonts w:hint="default" w:ascii="Times New Roman" w:hAnsi="Times New Roman" w:cs="Times New Roman"/>
          <w:lang w:val="en-US" w:eastAsia="zh-CN"/>
        </w:rPr>
      </w:pPr>
    </w:p>
    <w:p w14:paraId="1BD317D4">
      <w:pPr>
        <w:pStyle w:val="23"/>
        <w:keepNext w:val="0"/>
        <w:keepLines w:val="0"/>
        <w:pageBreakBefore w:val="0"/>
        <w:widowControl w:val="0"/>
        <w:topLinePunct w:val="0"/>
        <w:bidi w:val="0"/>
        <w:rPr>
          <w:rFonts w:hint="default" w:ascii="Times New Roman" w:hAnsi="Times New Roman" w:cs="Times New Roman"/>
          <w:lang w:val="en-US" w:eastAsia="zh-CN"/>
        </w:rPr>
      </w:pPr>
    </w:p>
    <w:p w14:paraId="554C1045">
      <w:pPr>
        <w:pStyle w:val="23"/>
        <w:keepNext w:val="0"/>
        <w:keepLines w:val="0"/>
        <w:pageBreakBefore w:val="0"/>
        <w:widowControl w:val="0"/>
        <w:topLinePunct w:val="0"/>
        <w:bidi w:val="0"/>
        <w:rPr>
          <w:rFonts w:hint="default" w:ascii="Times New Roman" w:hAnsi="Times New Roman" w:cs="Times New Roman"/>
          <w:lang w:val="en-US" w:eastAsia="zh-CN"/>
        </w:rPr>
      </w:pPr>
    </w:p>
    <w:p w14:paraId="688FB0AC">
      <w:pPr>
        <w:pStyle w:val="23"/>
        <w:keepNext w:val="0"/>
        <w:keepLines w:val="0"/>
        <w:pageBreakBefore w:val="0"/>
        <w:widowControl w:val="0"/>
        <w:topLinePunct w:val="0"/>
        <w:bidi w:val="0"/>
        <w:rPr>
          <w:rFonts w:hint="default" w:ascii="Times New Roman" w:hAnsi="Times New Roman" w:cs="Times New Roman"/>
          <w:lang w:val="en-US" w:eastAsia="zh-CN"/>
        </w:rPr>
      </w:pPr>
    </w:p>
    <w:p w14:paraId="473C818C">
      <w:pPr>
        <w:pStyle w:val="23"/>
        <w:keepNext w:val="0"/>
        <w:keepLines w:val="0"/>
        <w:pageBreakBefore w:val="0"/>
        <w:widowControl w:val="0"/>
        <w:topLinePunct w:val="0"/>
        <w:bidi w:val="0"/>
        <w:rPr>
          <w:rFonts w:hint="default" w:ascii="Times New Roman" w:hAnsi="Times New Roman" w:cs="Times New Roman"/>
          <w:lang w:val="en-US" w:eastAsia="zh-CN"/>
        </w:rPr>
      </w:pPr>
    </w:p>
    <w:p w14:paraId="39F6B43A">
      <w:pPr>
        <w:pStyle w:val="23"/>
        <w:keepNext w:val="0"/>
        <w:keepLines w:val="0"/>
        <w:pageBreakBefore w:val="0"/>
        <w:widowControl w:val="0"/>
        <w:topLinePunct w:val="0"/>
        <w:bidi w:val="0"/>
        <w:rPr>
          <w:rFonts w:hint="default" w:ascii="Times New Roman" w:hAnsi="Times New Roman" w:cs="Times New Roman"/>
          <w:lang w:val="en-US" w:eastAsia="zh-CN"/>
        </w:rPr>
      </w:pPr>
    </w:p>
    <w:p w14:paraId="211907FF">
      <w:pPr>
        <w:pStyle w:val="23"/>
        <w:keepNext w:val="0"/>
        <w:keepLines w:val="0"/>
        <w:pageBreakBefore w:val="0"/>
        <w:widowControl w:val="0"/>
        <w:topLinePunct w:val="0"/>
        <w:bidi w:val="0"/>
        <w:rPr>
          <w:rFonts w:hint="default" w:ascii="Times New Roman" w:hAnsi="Times New Roman" w:cs="Times New Roman"/>
          <w:lang w:val="en-US" w:eastAsia="zh-CN"/>
        </w:rPr>
      </w:pPr>
    </w:p>
    <w:p w14:paraId="287C3DB4">
      <w:pPr>
        <w:pStyle w:val="23"/>
        <w:keepNext w:val="0"/>
        <w:keepLines w:val="0"/>
        <w:pageBreakBefore w:val="0"/>
        <w:widowControl w:val="0"/>
        <w:topLinePunct w:val="0"/>
        <w:bidi w:val="0"/>
        <w:rPr>
          <w:rFonts w:hint="default" w:ascii="Times New Roman" w:hAnsi="Times New Roman" w:cs="Times New Roman"/>
          <w:lang w:val="en-US" w:eastAsia="zh-CN"/>
        </w:rPr>
      </w:pPr>
    </w:p>
    <w:p w14:paraId="6FEAF2C3">
      <w:pPr>
        <w:pStyle w:val="23"/>
        <w:keepNext w:val="0"/>
        <w:keepLines w:val="0"/>
        <w:pageBreakBefore w:val="0"/>
        <w:widowControl w:val="0"/>
        <w:topLinePunct w:val="0"/>
        <w:bidi w:val="0"/>
        <w:rPr>
          <w:rFonts w:hint="default" w:ascii="Times New Roman" w:hAnsi="Times New Roman" w:cs="Times New Roman"/>
          <w:lang w:val="en-US" w:eastAsia="zh-CN"/>
        </w:rPr>
      </w:pPr>
    </w:p>
    <w:p w14:paraId="3F2C4E63">
      <w:pPr>
        <w:keepNext w:val="0"/>
        <w:keepLines w:val="0"/>
        <w:pageBreakBefore w:val="0"/>
        <w:widowControl w:val="0"/>
        <w:topLinePunct w:val="0"/>
        <w:bidi w:val="0"/>
        <w:rPr>
          <w:rFonts w:hint="default" w:ascii="Times New Roman" w:hAnsi="Times New Roman" w:eastAsia="方正小标宋简体" w:cs="Times New Roman"/>
          <w:sz w:val="36"/>
          <w:szCs w:val="36"/>
        </w:rPr>
      </w:pPr>
      <w:r>
        <w:rPr>
          <w:rFonts w:hint="default" w:ascii="Times New Roman" w:hAnsi="Times New Roman" w:eastAsia="方正小标宋简体" w:cs="Times New Roman"/>
          <w:sz w:val="36"/>
          <w:szCs w:val="36"/>
        </w:rPr>
        <w:br w:type="page"/>
      </w:r>
    </w:p>
    <w:p w14:paraId="4749D6BB">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r>
        <w:rPr>
          <w:rFonts w:hint="eastAsia" w:ascii="Times New Roman" w:hAnsi="Times New Roman" w:eastAsia="黑体" w:cs="Times New Roman"/>
          <w:b w:val="0"/>
          <w:bCs w:val="0"/>
          <w:sz w:val="32"/>
          <w:szCs w:val="32"/>
          <w:lang w:val="en-US" w:eastAsia="zh-CN"/>
        </w:rPr>
        <w:t>六、</w:t>
      </w:r>
      <w:r>
        <w:rPr>
          <w:rFonts w:hint="default" w:ascii="Times New Roman" w:hAnsi="Times New Roman" w:eastAsia="黑体" w:cs="Times New Roman"/>
          <w:b w:val="0"/>
          <w:bCs w:val="0"/>
          <w:sz w:val="32"/>
          <w:szCs w:val="32"/>
          <w:lang w:val="en-US" w:eastAsia="zh-CN"/>
        </w:rPr>
        <w:t>现行强制性能效国家标准参考清单</w:t>
      </w:r>
    </w:p>
    <w:tbl>
      <w:tblPr>
        <w:tblStyle w:val="24"/>
        <w:tblW w:w="96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93"/>
        <w:gridCol w:w="2295"/>
        <w:gridCol w:w="6872"/>
      </w:tblGrid>
      <w:tr w14:paraId="53D88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87AF7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color w:val="auto"/>
                <w:kern w:val="0"/>
                <w:sz w:val="24"/>
                <w:szCs w:val="24"/>
                <w:u w:val="none"/>
                <w:lang w:val="en-US" w:eastAsia="zh-CN" w:bidi="ar"/>
              </w:rPr>
              <w:t>序号</w:t>
            </w:r>
          </w:p>
        </w:tc>
        <w:tc>
          <w:tcPr>
            <w:tcW w:w="229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AFA2BE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color w:val="auto"/>
                <w:kern w:val="0"/>
                <w:sz w:val="24"/>
                <w:szCs w:val="24"/>
                <w:u w:val="none"/>
                <w:lang w:val="en-US" w:eastAsia="zh-CN" w:bidi="ar"/>
              </w:rPr>
              <w:t>标准号</w:t>
            </w:r>
          </w:p>
        </w:tc>
        <w:tc>
          <w:tcPr>
            <w:tcW w:w="68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AB8F7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color w:val="auto"/>
                <w:kern w:val="0"/>
                <w:sz w:val="24"/>
                <w:szCs w:val="24"/>
                <w:u w:val="none"/>
                <w:lang w:val="en-US" w:eastAsia="zh-CN" w:bidi="ar"/>
              </w:rPr>
              <w:t>标准中文名称</w:t>
            </w:r>
          </w:p>
        </w:tc>
      </w:tr>
      <w:tr w14:paraId="3147E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2D6BE69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4BB3CC9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GB30253-2024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5A6691E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永磁同步电动机能效限定值及能效等级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1011B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0C22AE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E7818A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GB36893-2024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9B19A3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空气净化器能效限定值及能效等级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0C233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34A7A53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4E34CF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GB21456-2024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D1DD12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家用和类似用途厨房电器能效限定值及能效等级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4F22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3F962B1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4CEC4BF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GB30254-2024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D660D5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高压三相笼型异步电动机能效限定值及能效等级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3E96C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21F3698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1FFA1A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GB44015-2024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B1636F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冷库（箱）和压缩冷凝机组能效限定值及能效等级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06009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0C8E20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92855E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GB19577-2024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F0C00F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热泵和冷水机组能效限定值及能效等级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0EA7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8811FA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7</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B6E191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GB20052-2024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C49A82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电力变压器能效限定值及能效等级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55E1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D622F7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8</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E84CF5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GB43630-2023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DECF3A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塔式和机架式服务器能效限定值及能效等级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F2DC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944F96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9</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1A3A7CE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GB21520-2023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5C6DAF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显示器能效限定值及能效等级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30C27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3471037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10</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006A8C6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GB21518-2022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582CECB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交流接触器能效限定值及能效等级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2DD33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D47FFC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11</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ED8150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GB19044-2022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F6AA22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普通照明用荧光灯能效限定值及能效等级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9036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4A6968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12</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143200B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GB32030-2022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9C6855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潜水电泵能效限定值及能效等级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A414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4D76B92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13</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A0D5C3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GB17896-2022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609051E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普通照明用气体放电灯用镇流器能效限定值及能效等级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1567F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3DFAB55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14</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09F0A76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GB40876-2021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0070376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商用电磁灶能效限定值及能效等级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F09C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5687B47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15</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054B68C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GB40879-2021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8FE3A1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数据中心能效限定值及能效等级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25FA3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E7D268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16</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040B1B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GB21454-2021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BE6660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多联式空调（热泵）机组能效限定值及能效等级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20C3F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21C797D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17</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4678B43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GB12021.9-2021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5E52A89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电风扇能效限定值及能效等级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007EB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066FE5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18</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FBDF5B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GB24850-2020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7256C2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平板电视与机顶盒能效限定值及能效等级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21C6C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536631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19</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DBC3DE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GB18613-2020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1E568C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电动机能效限定值及能效等级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4DCB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4711639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20</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18F639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GB24500-2020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600690E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工业锅炉能效限定值及能效等级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B02E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DF93F2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21</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40FAC1C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GB19761-2020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666E9CE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通风机能效限定值及能效等级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1EFA5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792F22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22</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595D58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GB19153-2019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73D4E4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容积式空气压缩机能效限定值及能效等级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ECDF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339B9B2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23</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0054026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GB21455-2019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3374D6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房间空气调节器能效限定值及能效等级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B950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7C3ACE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24</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AE1D7F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GB28736-2019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AD3FD7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电焊机能效限定值及能效等级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14A94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30B12A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25</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B56D23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GB38448-2019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2665D3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智能坐便器能效水效限定值及等级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2380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BF8BA9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26</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AC33D4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GB38449-2019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8A6888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蓄热式轧钢加热炉能效限定值及能效等级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8A33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361E50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27</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DBA414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GB38450-2019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AA69C1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普通照明用LED平板灯能效限定值及能效等级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CE7A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789EF6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28</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95A870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GB26920.3-2019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BE7F92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商用制冷器具能效限定值和能效等级第3部分：制冷自动售货机</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850B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564615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29</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0E0D91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GB38383-2019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F9C519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洗碗机能效水效限定值及等级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39E71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2ED5CBA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30</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A158FB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GB37483-2019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344D43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污水处理用旋转曝气机能效限定值及能效等级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18A65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C3E430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31</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701E1A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GB30255-2019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DA37BB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室内照明用LED产品能效限定值及能效等级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424A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53E8664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32</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9B9B3C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GB37485-2019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02005D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污水处理用潜水推流式搅拌机能效限定值及能效等级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25E64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723D31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33</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82E749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GB37479-2019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A86DCB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风管送风式空调机组能效限定值及能效等级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5EFB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F00BBE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34</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047DAE3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GB37478-2019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FCEE53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道路和隧道照明用LED灯具能效限定值及能效等级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B3DA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43A1D46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35</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9F7D3C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GB19576-2019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846BF5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单元式空气调节机能效限定值及能效等级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E175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50F38A2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36</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1FA4317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GB37484-2019</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09028F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除尘器能效限定值及能效等级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8816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F98004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37</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E263C9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GB35971-2018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B05C06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空气调节器用全封闭型电动机</w:t>
            </w:r>
            <w:r>
              <w:rPr>
                <w:rStyle w:val="27"/>
                <w:rFonts w:hint="eastAsia" w:ascii="Times New Roman" w:hAnsi="Times New Roman" w:eastAsia="仿宋" w:cs="Times New Roman"/>
                <w:i w:val="0"/>
                <w:iCs w:val="0"/>
                <w:color w:val="auto"/>
                <w:sz w:val="24"/>
                <w:szCs w:val="24"/>
                <w:u w:val="none"/>
                <w:lang w:val="en-US" w:eastAsia="zh-CN"/>
              </w:rPr>
              <w:t>-</w:t>
            </w:r>
            <w:r>
              <w:rPr>
                <w:rStyle w:val="27"/>
                <w:rFonts w:hint="default" w:ascii="Times New Roman" w:hAnsi="Times New Roman" w:eastAsia="仿宋" w:cs="Times New Roman"/>
                <w:i w:val="0"/>
                <w:iCs w:val="0"/>
                <w:color w:val="auto"/>
                <w:sz w:val="24"/>
                <w:szCs w:val="24"/>
                <w:u w:val="none"/>
              </w:rPr>
              <w:t>压缩机能效限定值及能效等级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5016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A491C6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38</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437CBCC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GB20054-2015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0D49847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金属卤化物灯能效限定值及能效等级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0F37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0E3F30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39</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A9C370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GB26920.2-2015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415C94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商用制冷器具能效限定值和能效等级第2部分：自携冷凝机组商用冷柜</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25DF5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B1FCBE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40</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ED8E2C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GB32284-2015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2E78B2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石油化工离心泵能效限定值及能效等级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F654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9E7324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41</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90880E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GB32311-2015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CB9E3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水电解制氢系统能效限定值及能效等级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24D7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26EA89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42</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14E73A2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GB12021.2-2015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BB85E4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家用电冰箱耗电量限定值及能效等级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791A7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AAF27C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43</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40A8518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GB32028-2015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DE4BD3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投影机能效限定值及能效等级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D8E3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3CDAAA6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44</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9F071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GB32049-2015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6D38EB2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家用和类似用途交流换气扇能效限定值及能效等级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47A5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93A0F9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45</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1338BE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GB20665-2015</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0022C0D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家用燃气快速热水器和燃气采暖热水炉能效限定值及能效等级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01E95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B4D5B3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46</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4D7A46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GB31276-2014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E7C4B5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普通照明用卤钨灯能效限定值及节能评价值</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549B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2E5C471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47</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E79FAD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GB30978-2014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5BE4915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饮水机能效限定值及能效等级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2833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DC54E8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48</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1E7689A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GB21521-2014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7C59D3A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复印机、打印机和传真机能效限定值及能效等级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360F9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3D0D8F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49</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59AC18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GB30531-2014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89CEF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商用燃气灶具能效限定值及能效等级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45845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4CC782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50</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B61D7D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GB30720-2014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6AD827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家用燃气灶具能效限定值及能效等级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1116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FFDCCF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51</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573F01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GB20943-2013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294DE5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单路输出式交流－直流和交流－交流外部电源能效限定值及节能评价值</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7E28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70CF3F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52</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605E929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GB12021.4-2013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08DD881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电动洗衣机能效水效限定值及等级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7A7B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0313A55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53</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05E4FD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GB29539-2013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6FA05CB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吸油烟机能效限定值及能效等级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074A4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116C0A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54</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749A3BA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GB29541-2013</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0B06576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热泵热水机（器）能效限定值及能效等级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F0C4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3F72E28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55</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FCF7AF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GB28380-2012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54AA80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微型计算机能效限定值及能效等级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18B9C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4389F71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56</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45E7834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GB28381-2012</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D845CF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离心鼓风机能效限定值及节能评价值</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C2A8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157667B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57</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C9B263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GB26969-2011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68ED85E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家用太阳能热水系统能效限定值及能效等级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A448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241D7D4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58</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F47AF2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GB26920.1-2011</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2BE1144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商用制冷器具能效限定值及能效等级 第1部分：远置冷凝机组冷藏陈列柜</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B423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42E4AAE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59</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2B92AF9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GB24848-2010</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3E04446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石油工业用加热炉能效限定值及能效等级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0DD5E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6B3F270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60</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37ABB6C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GB21519-2008</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D380A8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储水式电热水器能效限定值及能效等级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63C53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4A7B503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61</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5F03EB8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GB19762-2007</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4876D1A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清水离心泵能效限定值及节能评价值</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r w14:paraId="58B29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493" w:type="dxa"/>
            <w:tcBorders>
              <w:top w:val="single" w:color="auto" w:sz="4" w:space="0"/>
              <w:left w:val="single" w:color="auto" w:sz="4" w:space="0"/>
              <w:bottom w:val="single" w:color="auto" w:sz="4" w:space="0"/>
              <w:right w:val="single" w:color="auto" w:sz="4" w:space="0"/>
            </w:tcBorders>
            <w:shd w:val="clear" w:color="auto" w:fill="auto"/>
            <w:vAlign w:val="center"/>
          </w:tcPr>
          <w:p w14:paraId="785C0D2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t>62</w:t>
            </w:r>
          </w:p>
        </w:tc>
        <w:tc>
          <w:tcPr>
            <w:tcW w:w="2295" w:type="dxa"/>
            <w:tcBorders>
              <w:top w:val="single" w:color="auto" w:sz="4" w:space="0"/>
              <w:left w:val="single" w:color="auto" w:sz="4" w:space="0"/>
              <w:bottom w:val="single" w:color="auto" w:sz="4" w:space="0"/>
              <w:right w:val="single" w:color="auto" w:sz="4" w:space="0"/>
            </w:tcBorders>
            <w:shd w:val="clear" w:color="auto" w:fill="auto"/>
            <w:vAlign w:val="center"/>
          </w:tcPr>
          <w:p w14:paraId="061AC74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GB19573-2004</w:t>
            </w:r>
            <w:r>
              <w:rPr>
                <w:rFonts w:hint="default" w:ascii="Times New Roman" w:hAnsi="Times New Roman" w:eastAsia="仿宋" w:cs="Times New Roman"/>
                <w:i w:val="0"/>
                <w:iCs w:val="0"/>
                <w:color w:val="auto"/>
                <w:kern w:val="0"/>
                <w:sz w:val="24"/>
                <w:szCs w:val="24"/>
                <w:u w:val="none"/>
                <w:lang w:val="en-US" w:eastAsia="zh-CN" w:bidi="ar"/>
              </w:rPr>
              <w:fldChar w:fldCharType="end"/>
            </w:r>
          </w:p>
        </w:tc>
        <w:tc>
          <w:tcPr>
            <w:tcW w:w="6872" w:type="dxa"/>
            <w:tcBorders>
              <w:top w:val="single" w:color="auto" w:sz="4" w:space="0"/>
              <w:left w:val="single" w:color="auto" w:sz="4" w:space="0"/>
              <w:bottom w:val="single" w:color="auto" w:sz="4" w:space="0"/>
              <w:right w:val="single" w:color="auto" w:sz="4" w:space="0"/>
            </w:tcBorders>
            <w:shd w:val="clear" w:color="auto" w:fill="auto"/>
            <w:vAlign w:val="center"/>
          </w:tcPr>
          <w:p w14:paraId="1BF857C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color w:val="auto"/>
                <w:kern w:val="0"/>
                <w:sz w:val="24"/>
                <w:szCs w:val="24"/>
                <w:u w:val="none"/>
                <w:lang w:val="en-US" w:eastAsia="zh-CN" w:bidi="ar"/>
              </w:rPr>
              <w:fldChar w:fldCharType="begin"/>
            </w:r>
            <w:r>
              <w:rPr>
                <w:rFonts w:hint="default" w:ascii="Times New Roman" w:hAnsi="Times New Roman" w:eastAsia="仿宋" w:cs="Times New Roman"/>
                <w:i w:val="0"/>
                <w:iCs w:val="0"/>
                <w:color w:val="auto"/>
                <w:kern w:val="0"/>
                <w:sz w:val="24"/>
                <w:szCs w:val="24"/>
                <w:u w:val="none"/>
                <w:lang w:val="en-US" w:eastAsia="zh-CN" w:bidi="ar"/>
              </w:rPr>
              <w:instrText xml:space="preserve"> HYPERLINK "https://openstd.samr.gov.cn/bzgk/gb/javascript:void(0)" \o "https://openstd.samr.gov.cn/bzgk/gb/javascript:void(0)" </w:instrText>
            </w:r>
            <w:r>
              <w:rPr>
                <w:rFonts w:hint="default" w:ascii="Times New Roman" w:hAnsi="Times New Roman" w:eastAsia="仿宋" w:cs="Times New Roman"/>
                <w:i w:val="0"/>
                <w:iCs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高压钠灯能效限定值及能效等级</w:t>
            </w:r>
            <w:r>
              <w:rPr>
                <w:rFonts w:hint="default" w:ascii="Times New Roman" w:hAnsi="Times New Roman" w:eastAsia="仿宋" w:cs="Times New Roman"/>
                <w:i w:val="0"/>
                <w:iCs w:val="0"/>
                <w:color w:val="auto"/>
                <w:kern w:val="0"/>
                <w:sz w:val="24"/>
                <w:szCs w:val="24"/>
                <w:u w:val="none"/>
                <w:lang w:val="en-US" w:eastAsia="zh-CN" w:bidi="ar"/>
              </w:rPr>
              <w:fldChar w:fldCharType="end"/>
            </w:r>
          </w:p>
        </w:tc>
      </w:tr>
    </w:tbl>
    <w:p w14:paraId="2B3BAB8C">
      <w:pPr>
        <w:keepNext w:val="0"/>
        <w:keepLines w:val="0"/>
        <w:pageBreakBefore w:val="0"/>
        <w:widowControl w:val="0"/>
        <w:topLinePunct w:val="0"/>
        <w:bidi w:val="0"/>
        <w:jc w:val="both"/>
        <w:rPr>
          <w:rFonts w:hint="default" w:ascii="Times New Roman" w:hAnsi="Times New Roman" w:eastAsia="方正小标宋简体" w:cs="Times New Roman"/>
          <w:sz w:val="36"/>
          <w:szCs w:val="36"/>
        </w:rPr>
      </w:pPr>
      <w:r>
        <w:rPr>
          <w:rFonts w:hint="default" w:ascii="Times New Roman" w:hAnsi="Times New Roman" w:eastAsia="仿宋" w:cs="Times New Roman"/>
          <w:snapToGrid w:val="0"/>
          <w:color w:val="000000"/>
          <w:kern w:val="0"/>
          <w:sz w:val="24"/>
          <w:szCs w:val="24"/>
          <w:vertAlign w:val="baseline"/>
          <w:lang w:val="en-US" w:eastAsia="zh-CN" w:bidi="ar-SA"/>
        </w:rPr>
        <w:br w:type="page"/>
      </w:r>
    </w:p>
    <w:p w14:paraId="7469651C">
      <w:pPr>
        <w:pStyle w:val="23"/>
        <w:keepNext w:val="0"/>
        <w:keepLines w:val="0"/>
        <w:pageBreakBefore w:val="0"/>
        <w:widowControl w:val="0"/>
        <w:topLinePunct w:val="0"/>
        <w:bidi w:val="0"/>
        <w:ind w:left="0" w:leftChars="0" w:firstLine="0" w:firstLineChars="0"/>
        <w:jc w:val="center"/>
        <w:rPr>
          <w:rFonts w:hint="default" w:ascii="Times New Roman" w:hAnsi="Times New Roman" w:eastAsia="黑体" w:cs="Times New Roman"/>
          <w:b w:val="0"/>
          <w:bCs w:val="0"/>
          <w:sz w:val="32"/>
          <w:szCs w:val="32"/>
          <w:lang w:val="en-US" w:eastAsia="zh-CN"/>
        </w:rPr>
      </w:pPr>
      <w:r>
        <w:rPr>
          <w:rFonts w:hint="eastAsia" w:ascii="Times New Roman" w:hAnsi="Times New Roman" w:eastAsia="黑体" w:cs="Times New Roman"/>
          <w:b w:val="0"/>
          <w:bCs w:val="0"/>
          <w:sz w:val="32"/>
          <w:szCs w:val="32"/>
          <w:lang w:val="en-US" w:eastAsia="zh-CN"/>
        </w:rPr>
        <w:t>七、</w:t>
      </w:r>
      <w:r>
        <w:rPr>
          <w:rFonts w:hint="default" w:ascii="Times New Roman" w:hAnsi="Times New Roman" w:eastAsia="黑体" w:cs="Times New Roman"/>
          <w:b w:val="0"/>
          <w:bCs w:val="0"/>
          <w:sz w:val="32"/>
          <w:szCs w:val="32"/>
          <w:lang w:val="en-US" w:eastAsia="zh-CN"/>
        </w:rPr>
        <w:t>现行强制性能源消耗限额国家标准参考清单</w:t>
      </w:r>
    </w:p>
    <w:tbl>
      <w:tblPr>
        <w:tblStyle w:val="24"/>
        <w:tblW w:w="93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612"/>
        <w:gridCol w:w="2032"/>
        <w:gridCol w:w="6746"/>
      </w:tblGrid>
      <w:tr w14:paraId="13B7F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noWrap/>
            <w:vAlign w:val="center"/>
          </w:tcPr>
          <w:p w14:paraId="3C10523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snapToGrid w:val="0"/>
                <w:color w:val="auto"/>
                <w:kern w:val="0"/>
                <w:sz w:val="24"/>
                <w:szCs w:val="24"/>
                <w:u w:val="none"/>
                <w:lang w:val="en-US" w:eastAsia="zh-CN" w:bidi="ar"/>
              </w:rPr>
              <w:t>序号</w:t>
            </w:r>
          </w:p>
        </w:tc>
        <w:tc>
          <w:tcPr>
            <w:tcW w:w="2032" w:type="dxa"/>
            <w:shd w:val="clear" w:color="auto" w:fill="auto"/>
            <w:noWrap/>
            <w:vAlign w:val="center"/>
          </w:tcPr>
          <w:p w14:paraId="65F5712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snapToGrid w:val="0"/>
                <w:color w:val="auto"/>
                <w:kern w:val="0"/>
                <w:sz w:val="24"/>
                <w:szCs w:val="24"/>
                <w:u w:val="none"/>
                <w:lang w:val="en-US" w:eastAsia="zh-CN" w:bidi="ar"/>
              </w:rPr>
              <w:t>标准号</w:t>
            </w:r>
          </w:p>
        </w:tc>
        <w:tc>
          <w:tcPr>
            <w:tcW w:w="6746" w:type="dxa"/>
            <w:shd w:val="clear" w:color="auto" w:fill="auto"/>
            <w:noWrap/>
            <w:vAlign w:val="center"/>
          </w:tcPr>
          <w:p w14:paraId="38048CC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b/>
                <w:bCs/>
                <w:i w:val="0"/>
                <w:iCs w:val="0"/>
                <w:color w:val="auto"/>
                <w:sz w:val="24"/>
                <w:szCs w:val="24"/>
                <w:u w:val="none"/>
              </w:rPr>
            </w:pPr>
            <w:r>
              <w:rPr>
                <w:rFonts w:hint="default" w:ascii="Times New Roman" w:hAnsi="Times New Roman" w:eastAsia="仿宋" w:cs="Times New Roman"/>
                <w:b/>
                <w:bCs/>
                <w:i w:val="0"/>
                <w:iCs w:val="0"/>
                <w:snapToGrid w:val="0"/>
                <w:color w:val="auto"/>
                <w:kern w:val="0"/>
                <w:sz w:val="24"/>
                <w:szCs w:val="24"/>
                <w:u w:val="none"/>
                <w:lang w:val="en-US" w:eastAsia="zh-CN" w:bidi="ar"/>
              </w:rPr>
              <w:t>标准中文名称</w:t>
            </w:r>
          </w:p>
        </w:tc>
      </w:tr>
      <w:tr w14:paraId="7ED76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424B9CE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w:t>
            </w:r>
          </w:p>
        </w:tc>
        <w:tc>
          <w:tcPr>
            <w:tcW w:w="2032" w:type="dxa"/>
            <w:shd w:val="clear" w:color="auto" w:fill="auto"/>
            <w:vAlign w:val="center"/>
          </w:tcPr>
          <w:p w14:paraId="4E7C2A2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"https://std.samr.gov.cn/gb/search/gbDetailed?id=2D9BC7B2DA326BF6E06397BE0A0A4ED1" \o "https://std.samr.gov.cn/gb/search/gbDetailed?id=2D9BC7B2DA326BF6E06397BE0A0A4ED1"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GB45247-2025</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845164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燃气-蒸汽联合循环发电机组单位产品能源消耗限额</w:t>
            </w:r>
          </w:p>
        </w:tc>
      </w:tr>
      <w:tr w14:paraId="37E4D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1E9A880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w:t>
            </w:r>
          </w:p>
        </w:tc>
        <w:tc>
          <w:tcPr>
            <w:tcW w:w="2032" w:type="dxa"/>
            <w:shd w:val="clear" w:color="auto" w:fill="auto"/>
            <w:vAlign w:val="center"/>
          </w:tcPr>
          <w:p w14:paraId="66B82CF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"https://std.samr.gov.cn/gb/search/gbDetailed?id=23EE8C718E1FE8A3E06397BE0A0AC332" \o "https://std.samr.gov.cn/gb/search/gbDetailed?id=23EE8C718E1FE8A3E06397BE0A0AC332"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GB21258-2024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98BD25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燃煤发电机组单位产品能源消耗限额</w:t>
            </w:r>
          </w:p>
        </w:tc>
      </w:tr>
      <w:tr w14:paraId="4399B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562A9BE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w:t>
            </w:r>
          </w:p>
        </w:tc>
        <w:tc>
          <w:tcPr>
            <w:tcW w:w="2032" w:type="dxa"/>
            <w:shd w:val="clear" w:color="auto" w:fill="auto"/>
            <w:vAlign w:val="center"/>
          </w:tcPr>
          <w:p w14:paraId="6D3C519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"https://std.samr.gov.cn/gb/search/gbDetailed?id=19BBE2758DF3574AE06397BE0A0A5337" \o "https://std.samr.gov.cn/gb/search/gbDetailed?id=19BBE2758DF3574AE06397BE0A0A5337"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GB29141-2024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CF9221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工业硫酸、稀硝酸和冰醋酸单位产品能源消耗限额</w:t>
            </w:r>
          </w:p>
        </w:tc>
      </w:tr>
      <w:tr w14:paraId="406B9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6191BF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w:t>
            </w:r>
          </w:p>
        </w:tc>
        <w:tc>
          <w:tcPr>
            <w:tcW w:w="2032" w:type="dxa"/>
            <w:shd w:val="clear" w:color="auto" w:fill="auto"/>
            <w:vAlign w:val="center"/>
          </w:tcPr>
          <w:p w14:paraId="4101CC7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"https://std.samr.gov.cn/gb/search/gbDetailed?id=174881CA8A3051C6E06397BE0A0A0EBB" \o "https://std.samr.gov.cn/gb/search/gbDetailed?id=174881CA8A3051C6E06397BE0A0A0EBB"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GB32032-2024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4545E33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金矿开采、选冶和金精炼单位产品能源消耗限额</w:t>
            </w:r>
          </w:p>
        </w:tc>
      </w:tr>
      <w:tr w14:paraId="16429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3ADB5AF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w:t>
            </w:r>
          </w:p>
        </w:tc>
        <w:tc>
          <w:tcPr>
            <w:tcW w:w="2032" w:type="dxa"/>
            <w:shd w:val="clear" w:color="auto" w:fill="auto"/>
            <w:vAlign w:val="center"/>
          </w:tcPr>
          <w:p w14:paraId="137E1EE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"https://std.samr.gov.cn/gb/search/gbDetailed?id=174881CA8A2F51C6E06397BE0A0A0EBB" \o "https://std.samr.gov.cn/gb/search/gbDetailed?id=174881CA8A2F51C6E06397BE0A0A0EBB"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GB31830-2024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38FEC6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甲苯二异氰酸酯和二苯基甲烷二异氰酸酯单位产品能源消耗限额</w:t>
            </w:r>
          </w:p>
        </w:tc>
      </w:tr>
      <w:tr w14:paraId="23916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25EA8A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6</w:t>
            </w:r>
          </w:p>
        </w:tc>
        <w:tc>
          <w:tcPr>
            <w:tcW w:w="2032" w:type="dxa"/>
            <w:shd w:val="clear" w:color="auto" w:fill="auto"/>
            <w:vAlign w:val="center"/>
          </w:tcPr>
          <w:p w14:paraId="0B8BE4A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"https://std.samr.gov.cn/gb/search/gbDetailed?id=174881CA8A2E51C6E06397BE0A0A0EBB" \o "https://std.samr.gov.cn/gb/search/gbDetailed?id=174881CA8A2E51C6E06397BE0A0A0EBB"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GB31825-2024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384B9ED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制浆造纸单位产品能源消耗限额</w:t>
            </w:r>
          </w:p>
        </w:tc>
      </w:tr>
      <w:tr w14:paraId="5DE68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FDC7C3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7</w:t>
            </w:r>
          </w:p>
        </w:tc>
        <w:tc>
          <w:tcPr>
            <w:tcW w:w="2032" w:type="dxa"/>
            <w:shd w:val="clear" w:color="auto" w:fill="auto"/>
            <w:vAlign w:val="center"/>
          </w:tcPr>
          <w:p w14:paraId="6B2ED04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"https://std.samr.gov.cn/gb/search/gbDetailed?id=174881CA8A2D51C6E06397BE0A0A0EBB" \o "https://std.samr.gov.cn/gb/search/gbDetailed?id=174881CA8A2D51C6E06397BE0A0A0EBB"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GB31335-2024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CD8A4B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铁矿开采和选矿单位产品能源消耗限额</w:t>
            </w:r>
          </w:p>
        </w:tc>
      </w:tr>
      <w:tr w14:paraId="69347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FC55E8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8</w:t>
            </w:r>
          </w:p>
        </w:tc>
        <w:tc>
          <w:tcPr>
            <w:tcW w:w="2032" w:type="dxa"/>
            <w:shd w:val="clear" w:color="auto" w:fill="auto"/>
            <w:vAlign w:val="center"/>
          </w:tcPr>
          <w:p w14:paraId="1A614E5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"https://std.samr.gov.cn/gb/search/gbDetailed?id=174881CA8A2C51C6E06397BE0A0A0EBB" \o "https://std.samr.gov.cn/gb/search/gbDetailed?id=174881CA8A2C51C6E06397BE0A0A0EBB"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GB29995-2024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111082E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煤基活性炭和兰炭单位产品能源消耗限额</w:t>
            </w:r>
          </w:p>
        </w:tc>
      </w:tr>
      <w:tr w14:paraId="49A75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D63E0F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9</w:t>
            </w:r>
          </w:p>
        </w:tc>
        <w:tc>
          <w:tcPr>
            <w:tcW w:w="2032" w:type="dxa"/>
            <w:shd w:val="clear" w:color="auto" w:fill="auto"/>
            <w:vAlign w:val="center"/>
          </w:tcPr>
          <w:p w14:paraId="6B9EB14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"https://std.samr.gov.cn/gb/search/gbDetailed?id=174881CA8A2B51C6E06397BE0A0A0EBB" \o "https://std.samr.gov.cn/gb/search/gbDetailed?id=174881CA8A2B51C6E06397BE0A0A0EBB"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GB29140-2024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44AFB6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纯碱单位产品能源消耗限额</w:t>
            </w:r>
          </w:p>
        </w:tc>
      </w:tr>
      <w:tr w14:paraId="31130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1C09457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10</w:t>
            </w:r>
          </w:p>
        </w:tc>
        <w:tc>
          <w:tcPr>
            <w:tcW w:w="2032" w:type="dxa"/>
            <w:shd w:val="clear" w:color="auto" w:fill="auto"/>
            <w:vAlign w:val="center"/>
          </w:tcPr>
          <w:p w14:paraId="6514AF4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"https://std.samr.gov.cn/gb/search/gbDetailed?id=174881CA8A2A51C6E06397BE0A0A0EBB" \o "https://std.samr.gov.cn/gb/search/gbDetailed?id=174881CA8A2A51C6E06397BE0A0A0EBB"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GB21257-2024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B5844D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烧碱、聚氯乙烯树脂和甲烷氯化物单位产品能源消耗限额</w:t>
            </w:r>
          </w:p>
        </w:tc>
      </w:tr>
      <w:tr w14:paraId="635E0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7F1C642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11</w:t>
            </w:r>
          </w:p>
        </w:tc>
        <w:tc>
          <w:tcPr>
            <w:tcW w:w="2032" w:type="dxa"/>
            <w:shd w:val="clear" w:color="auto" w:fill="auto"/>
            <w:vAlign w:val="center"/>
          </w:tcPr>
          <w:p w14:paraId="4D52746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"https://std.samr.gov.cn/gb/search/gbDetailed?id=174881CA8A2451C6E06397BE0A0A0EBB" \o "https://std.samr.gov.cn/gb/search/gbDetailed?id=174881CA8A2451C6E06397BE0A0A0EBB"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GB32051-2024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DFB009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钛白粉和氧化铁颜料单位产品能源消耗限额</w:t>
            </w:r>
          </w:p>
        </w:tc>
      </w:tr>
      <w:tr w14:paraId="5DF36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FEE929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12</w:t>
            </w:r>
          </w:p>
        </w:tc>
        <w:tc>
          <w:tcPr>
            <w:tcW w:w="2032" w:type="dxa"/>
            <w:shd w:val="clear" w:color="auto" w:fill="auto"/>
            <w:vAlign w:val="center"/>
          </w:tcPr>
          <w:p w14:paraId="7061125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"https://std.samr.gov.cn/gb/search/gbDetailed?id=174881CA8A2351C6E06397BE0A0A0EBB" \o "https://std.samr.gov.cn/gb/search/gbDetailed?id=174881CA8A2351C6E06397BE0A0A0EBB"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GB30530-2024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C58D5A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二甲基硅氧烷单位产品能源消耗限额</w:t>
            </w:r>
          </w:p>
        </w:tc>
      </w:tr>
      <w:tr w14:paraId="0156D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04413B8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13</w:t>
            </w:r>
          </w:p>
        </w:tc>
        <w:tc>
          <w:tcPr>
            <w:tcW w:w="2032" w:type="dxa"/>
            <w:shd w:val="clear" w:color="auto" w:fill="auto"/>
            <w:vAlign w:val="center"/>
          </w:tcPr>
          <w:p w14:paraId="267A722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"https://std.samr.gov.cn/gb/search/gbDetailed?id=174881CA8A2251C6E06397BE0A0A0EBB" \o "https://std.samr.gov.cn/gb/search/gbDetailed?id=174881CA8A2251C6E06397BE0A0A0EBB"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GB30251-2024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28FBF4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炼化行业单位产品能源消耗限额</w:t>
            </w:r>
          </w:p>
        </w:tc>
      </w:tr>
      <w:tr w14:paraId="2F1CD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290597C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14</w:t>
            </w:r>
          </w:p>
        </w:tc>
        <w:tc>
          <w:tcPr>
            <w:tcW w:w="2032" w:type="dxa"/>
            <w:shd w:val="clear" w:color="auto" w:fill="auto"/>
            <w:vAlign w:val="center"/>
          </w:tcPr>
          <w:p w14:paraId="7A578A3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"https://std.samr.gov.cn/gb/search/gbDetailed?id=174881CA8A2151C6E06397BE0A0A0EBB" \o "https://std.samr.gov.cn/gb/search/gbDetailed?id=174881CA8A2151C6E06397BE0A0A0EBB"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GB30180-2024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12F7404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煤制烯烃、煤制天然气和煤制油单位产品能源消耗限额</w:t>
            </w:r>
          </w:p>
        </w:tc>
      </w:tr>
      <w:tr w14:paraId="5488A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7C7C85D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15</w:t>
            </w:r>
          </w:p>
        </w:tc>
        <w:tc>
          <w:tcPr>
            <w:tcW w:w="2032" w:type="dxa"/>
            <w:shd w:val="clear" w:color="auto" w:fill="auto"/>
            <w:vAlign w:val="center"/>
          </w:tcPr>
          <w:p w14:paraId="370B6B0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"https://std.samr.gov.cn/gb/search/gbDetailed?id=174881CA8A2051C6E06397BE0A0A0EBB" \o "https://std.samr.gov.cn/gb/search/gbDetailed?id=174881CA8A2051C6E06397BE0A0A0EBB"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GB29449-2024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37B4542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轮胎和炭黑单位产品能源消耗限额</w:t>
            </w:r>
          </w:p>
        </w:tc>
      </w:tr>
      <w:tr w14:paraId="2CA80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1B2179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16</w:t>
            </w:r>
          </w:p>
        </w:tc>
        <w:tc>
          <w:tcPr>
            <w:tcW w:w="2032" w:type="dxa"/>
            <w:shd w:val="clear" w:color="auto" w:fill="auto"/>
            <w:vAlign w:val="center"/>
          </w:tcPr>
          <w:p w14:paraId="68DFE12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"https://std.samr.gov.cn/gb/search/gbDetailed?id=174881CA8A1F51C6E06397BE0A0A0EBB" \o "https://std.samr.gov.cn/gb/search/gbDetailed?id=174881CA8A1F51C6E06397BE0A0A0EBB"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GB21345-2024</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47854DB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黄磷单位产品能源消耗限额</w:t>
            </w:r>
          </w:p>
        </w:tc>
      </w:tr>
      <w:tr w14:paraId="64617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0F97E1F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17</w:t>
            </w:r>
          </w:p>
        </w:tc>
        <w:tc>
          <w:tcPr>
            <w:tcW w:w="2032" w:type="dxa"/>
            <w:shd w:val="clear" w:color="auto" w:fill="auto"/>
            <w:vAlign w:val="center"/>
          </w:tcPr>
          <w:p w14:paraId="3F5614F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"https://std.samr.gov.cn/gb/search/gbDetailed?id=0B330DE79FDBCE9DE06397BE0A0AEFB0" \o "https://std.samr.gov.cn/gb/search/gbDetailed?id=0B330DE79FDBCE9DE06397BE0A0AEFB0"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GB29436-2023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95CFC2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甲醇、乙二醇和二甲醚单位产品能源消耗限额</w:t>
            </w:r>
          </w:p>
        </w:tc>
      </w:tr>
      <w:tr w14:paraId="06168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2B4386D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18</w:t>
            </w:r>
          </w:p>
        </w:tc>
        <w:tc>
          <w:tcPr>
            <w:tcW w:w="2032" w:type="dxa"/>
            <w:shd w:val="clear" w:color="auto" w:fill="auto"/>
            <w:vAlign w:val="center"/>
          </w:tcPr>
          <w:p w14:paraId="151E8F4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"https://std.samr.gov.cn/gb/search/gbDetailed?id=0B330DE79FDACE9DE06397BE0A0AEFB0" \o "https://std.samr.gov.cn/gb/search/gbDetailed?id=0B330DE79FDACE9DE06397BE0A0AEFB0"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GB29145-2023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48598C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钨精矿、钼精矿和焙烧钼精矿单位产品能源消耗限额</w:t>
            </w:r>
          </w:p>
        </w:tc>
      </w:tr>
      <w:tr w14:paraId="247F8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1D74ED5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19</w:t>
            </w:r>
          </w:p>
        </w:tc>
        <w:tc>
          <w:tcPr>
            <w:tcW w:w="2032" w:type="dxa"/>
            <w:shd w:val="clear" w:color="auto" w:fill="auto"/>
            <w:vAlign w:val="center"/>
          </w:tcPr>
          <w:p w14:paraId="42225F1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"https://std.samr.gov.cn/gb/search/gbDetailed?id=0B330DE79FD9CE9DE06397BE0A0AEFB0" \o "https://std.samr.gov.cn/gb/search/gbDetailed?id=0B330DE79FD9CE9DE06397BE0A0AEFB0"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GB21344-2023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4A04729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化肥行业单位产品能源消耗限额</w:t>
            </w:r>
          </w:p>
        </w:tc>
      </w:tr>
      <w:tr w14:paraId="0AA52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07759F2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20</w:t>
            </w:r>
          </w:p>
        </w:tc>
        <w:tc>
          <w:tcPr>
            <w:tcW w:w="2032" w:type="dxa"/>
            <w:shd w:val="clear" w:color="auto" w:fill="auto"/>
            <w:vAlign w:val="center"/>
          </w:tcPr>
          <w:p w14:paraId="623817B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"https://std.samr.gov.cn/gb/search/gbDetailed?id=0B330DE79FD8CE9DE06397BE0A0AEFB0" \o "https://std.samr.gov.cn/gb/search/gbDetailed?id=0B330DE79FD8CE9DE06397BE0A0AEFB0"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GB21343-2023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D5E86D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电石、乙酸乙烯酯、聚乙烯醇、1，4-丁二醇、双氰胺和单氰胺单位产品能源消耗限额</w:t>
            </w:r>
          </w:p>
        </w:tc>
      </w:tr>
      <w:tr w14:paraId="15DCD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56E9A7A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21</w:t>
            </w:r>
          </w:p>
        </w:tc>
        <w:tc>
          <w:tcPr>
            <w:tcW w:w="2032" w:type="dxa"/>
            <w:shd w:val="clear" w:color="auto" w:fill="auto"/>
            <w:vAlign w:val="center"/>
          </w:tcPr>
          <w:p w14:paraId="363B985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"https://std.samr.gov.cn/gb/search/gbDetailed?id=0B330DE79FD7CE9DE06397BE0A0AEFB0" \o "https://std.samr.gov.cn/gb/search/gbDetailed?id=0B330DE79FD7CE9DE06397BE0A0AEFB0"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GB21252-2023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100666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建筑卫生陶瓷和耐磨氧化铝球单位产品能源消耗限额</w:t>
            </w:r>
          </w:p>
        </w:tc>
      </w:tr>
      <w:tr w14:paraId="17839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7C49BF5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22</w:t>
            </w:r>
          </w:p>
        </w:tc>
        <w:tc>
          <w:tcPr>
            <w:tcW w:w="2032" w:type="dxa"/>
            <w:shd w:val="clear" w:color="auto" w:fill="auto"/>
            <w:vAlign w:val="center"/>
          </w:tcPr>
          <w:p w14:paraId="439E9E8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"https://std.samr.gov.cn/gb/search/gbDetailed?id=0525FDF0A5E3D35CE06397BE0A0A903B" \o "https://std.samr.gov.cn/gb/search/gbDetailed?id=0525FDF0A5E3D35CE06397BE0A0A903B"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GB21347-2023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3AED72F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工业硅和镁单位产品能源消耗限额</w:t>
            </w:r>
          </w:p>
        </w:tc>
      </w:tr>
      <w:tr w14:paraId="5FE91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4EBB29C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23</w:t>
            </w:r>
          </w:p>
        </w:tc>
        <w:tc>
          <w:tcPr>
            <w:tcW w:w="2032" w:type="dxa"/>
            <w:shd w:val="clear" w:color="auto" w:fill="auto"/>
            <w:vAlign w:val="center"/>
          </w:tcPr>
          <w:p w14:paraId="16A3C48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"https://std.samr.gov.cn/gb/search/gbDetailed?id=FC83293D549BB452E05397BE0A0A9309" \o "https://std.samr.gov.cn/gb/search/gbDetailed?id=FC83293D549BB452E05397BE0A0A9309"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GB25323-2023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82A50C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有色重金属冶炼企业单位产品能源消耗限额</w:t>
            </w:r>
          </w:p>
        </w:tc>
      </w:tr>
      <w:tr w14:paraId="75DF4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02A09E4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24</w:t>
            </w:r>
          </w:p>
        </w:tc>
        <w:tc>
          <w:tcPr>
            <w:tcW w:w="2032" w:type="dxa"/>
            <w:shd w:val="clear" w:color="auto" w:fill="auto"/>
            <w:vAlign w:val="center"/>
          </w:tcPr>
          <w:p w14:paraId="42D23B4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"https://std.samr.gov.cn/gb/search/gbDetailed?id=FC83293D5499B452E05397BE0A0A9309" \o "https://std.samr.gov.cn/gb/search/gbDetailed?id=FC83293D5499B452E05397BE0A0A9309"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GB21351-2023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8ACE1B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变形铝及铝合金单位产品能源消耗限额</w:t>
            </w:r>
          </w:p>
        </w:tc>
      </w:tr>
      <w:tr w14:paraId="6E968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4AB92F0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25</w:t>
            </w:r>
          </w:p>
        </w:tc>
        <w:tc>
          <w:tcPr>
            <w:tcW w:w="2032" w:type="dxa"/>
            <w:shd w:val="clear" w:color="auto" w:fill="auto"/>
            <w:vAlign w:val="center"/>
          </w:tcPr>
          <w:p w14:paraId="2FF258B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"https://std.samr.gov.cn/gb/search/gbDetailed?id=FC83293D5498B452E05397BE0A0A9309" \o "https://std.samr.gov.cn/gb/search/gbDetailed?id=FC83293D5498B452E05397BE0A0A9309"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GB21350-2023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E6C4B4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铜及铜合金加工材单位产品能源消耗限额</w:t>
            </w:r>
          </w:p>
        </w:tc>
      </w:tr>
      <w:tr w14:paraId="23CDB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32346F3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26</w:t>
            </w:r>
          </w:p>
        </w:tc>
        <w:tc>
          <w:tcPr>
            <w:tcW w:w="2032" w:type="dxa"/>
            <w:shd w:val="clear" w:color="auto" w:fill="auto"/>
            <w:vAlign w:val="center"/>
          </w:tcPr>
          <w:p w14:paraId="3AAE164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"https://std.samr.gov.cn/gb/search/gbDetailed?id=F113142E3FEC4B65E05397BE0A0A5AB9" \o "https://std.samr.gov.cn/gb/search/gbDetailed?id=F113142E3FEC4B65E05397BE0A0A5AB9"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GB21341-2022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3B7FD76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铁合金单位产品能源消耗限额</w:t>
            </w:r>
          </w:p>
        </w:tc>
      </w:tr>
      <w:tr w14:paraId="6D626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27B28D2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27</w:t>
            </w:r>
          </w:p>
        </w:tc>
        <w:tc>
          <w:tcPr>
            <w:tcW w:w="2032" w:type="dxa"/>
            <w:shd w:val="clear" w:color="auto" w:fill="auto"/>
            <w:vAlign w:val="center"/>
          </w:tcPr>
          <w:p w14:paraId="31E4471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"https://std.samr.gov.cn/gb/search/gbDetailed?id=F113142E3FEA4B65E05397BE0A0A5AB9" \o "https://std.samr.gov.cn/gb/search/gbDetailed?id=F113142E3FEA4B65E05397BE0A0A5AB9"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GB25324-2022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5C4D8E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铝用炭素单位产品能源消耗限额</w:t>
            </w:r>
          </w:p>
        </w:tc>
      </w:tr>
      <w:tr w14:paraId="5F26D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B407C5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28</w:t>
            </w:r>
          </w:p>
        </w:tc>
        <w:tc>
          <w:tcPr>
            <w:tcW w:w="2032" w:type="dxa"/>
            <w:shd w:val="clear" w:color="auto" w:fill="auto"/>
            <w:vAlign w:val="center"/>
          </w:tcPr>
          <w:p w14:paraId="438B38A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"https://std.samr.gov.cn/gb/search/gbDetailed?id=F113142E3FE94B65E05397BE0A0A5AB9" \o "https://std.samr.gov.cn/gb/search/gbDetailed?id=F113142E3FE94B65E05397BE0A0A5AB9"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GB29448-2022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22C343A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海绵钛和钛锭单位产品能源消耗限额</w:t>
            </w:r>
          </w:p>
        </w:tc>
      </w:tr>
      <w:tr w14:paraId="5B04B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AFA8C3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29</w:t>
            </w:r>
          </w:p>
        </w:tc>
        <w:tc>
          <w:tcPr>
            <w:tcW w:w="2032" w:type="dxa"/>
            <w:shd w:val="clear" w:color="auto" w:fill="auto"/>
            <w:vAlign w:val="center"/>
          </w:tcPr>
          <w:p w14:paraId="1CFE1F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"https://std.samr.gov.cn/gb/search/gbDetailed?id=F113142E3FE74B65E05397BE0A0A5AB9" \o "https://std.samr.gov.cn/gb/search/gbDetailed?id=F113142E3FE74B65E05397BE0A0A5AB9"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GB21346-2022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264F1C6">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电解铝和氧化铝单位产品能源消耗限额</w:t>
            </w:r>
          </w:p>
        </w:tc>
      </w:tr>
      <w:tr w14:paraId="22239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6B19BC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30</w:t>
            </w:r>
          </w:p>
        </w:tc>
        <w:tc>
          <w:tcPr>
            <w:tcW w:w="2032" w:type="dxa"/>
            <w:shd w:val="clear" w:color="auto" w:fill="auto"/>
            <w:vAlign w:val="center"/>
          </w:tcPr>
          <w:p w14:paraId="05484B6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"https://std.samr.gov.cn/gb/search/gbDetailed?id=F113142E3FD14B65E05397BE0A0A5AB9" \o "https://std.samr.gov.cn/gb/search/gbDetailed?id=F113142E3FD14B65E05397BE0A0A5AB9"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GB29447-2022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523BDB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多晶硅和锗单位产品能源消耗限额</w:t>
            </w:r>
          </w:p>
        </w:tc>
      </w:tr>
      <w:tr w14:paraId="02804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5646D6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31</w:t>
            </w:r>
          </w:p>
        </w:tc>
        <w:tc>
          <w:tcPr>
            <w:tcW w:w="2032" w:type="dxa"/>
            <w:shd w:val="clear" w:color="auto" w:fill="auto"/>
            <w:vAlign w:val="center"/>
          </w:tcPr>
          <w:p w14:paraId="0E8DAD7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"https://std.samr.gov.cn/gb/search/gbDetailed?id=CE1E6A1DD42258F6E05397BE0A0A68DF" \o "https://std.samr.gov.cn/gb/search/gbDetailed?id=CE1E6A1DD42258F6E05397BE0A0A68DF"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GB16780-2021</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473305F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水泥单位产品能源消耗限额</w:t>
            </w:r>
          </w:p>
        </w:tc>
      </w:tr>
      <w:tr w14:paraId="3EA97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53F7466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32</w:t>
            </w:r>
          </w:p>
        </w:tc>
        <w:tc>
          <w:tcPr>
            <w:tcW w:w="2032" w:type="dxa"/>
            <w:shd w:val="clear" w:color="auto" w:fill="auto"/>
            <w:vAlign w:val="center"/>
          </w:tcPr>
          <w:p w14:paraId="6E9B101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"https://std.samr.gov.cn/gb/search/gbDetailed?id=CE1E6A1DD42058F6E05397BE0A0A68DF" \o "https://std.samr.gov.cn/gb/search/gbDetailed?id=CE1E6A1DD42058F6E05397BE0A0A68DF"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GB40878-2021</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2DCF643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葡萄糖酸钠单位产品能源消耗限额</w:t>
            </w:r>
          </w:p>
        </w:tc>
      </w:tr>
      <w:tr w14:paraId="511C1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083ADE8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33</w:t>
            </w:r>
          </w:p>
        </w:tc>
        <w:tc>
          <w:tcPr>
            <w:tcW w:w="2032" w:type="dxa"/>
            <w:shd w:val="clear" w:color="auto" w:fill="auto"/>
            <w:vAlign w:val="center"/>
          </w:tcPr>
          <w:p w14:paraId="769E993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"https://std.samr.gov.cn/gb/search/gbDetailed?id=CE1E6A1DD41D58F6E05397BE0A0A68DF" \o "https://std.samr.gov.cn/gb/search/gbDetailed?id=CE1E6A1DD41D58F6E05397BE0A0A68DF"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GB40877-2021</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61EF03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硅酸铝纤维及制品单位产品能源消耗限额</w:t>
            </w:r>
          </w:p>
        </w:tc>
      </w:tr>
      <w:tr w14:paraId="2AB17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46FD21D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34</w:t>
            </w:r>
          </w:p>
        </w:tc>
        <w:tc>
          <w:tcPr>
            <w:tcW w:w="2032" w:type="dxa"/>
            <w:shd w:val="clear" w:color="auto" w:fill="auto"/>
            <w:vAlign w:val="center"/>
          </w:tcPr>
          <w:p w14:paraId="7178306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"https://std.samr.gov.cn/gb/search/gbDetailed?id=CE1E6A1DD40658F6E05397BE0A0A68DF" \o "https://std.samr.gov.cn/gb/search/gbDetailed?id=CE1E6A1DD40658F6E05397BE0A0A68DF"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GB31823-2021</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62A6F0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码头作业单位产品能源消耗限额</w:t>
            </w:r>
          </w:p>
        </w:tc>
      </w:tr>
      <w:tr w14:paraId="08560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3E4E34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35</w:t>
            </w:r>
          </w:p>
        </w:tc>
        <w:tc>
          <w:tcPr>
            <w:tcW w:w="2032" w:type="dxa"/>
            <w:shd w:val="clear" w:color="auto" w:fill="auto"/>
            <w:vAlign w:val="center"/>
          </w:tcPr>
          <w:p w14:paraId="1C764A9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"https://std.samr.gov.cn/gb/search/gbDetailed?id=94E9AF238E3852A4E05397BE0A0AD366" \o "https://std.samr.gov.cn/gb/search/gbDetailed?id=94E9AF238E3852A4E05397BE0A0AD366"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GB21340-2019</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9A5742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玻璃和铸石单位产品能源消耗限额</w:t>
            </w:r>
          </w:p>
        </w:tc>
      </w:tr>
      <w:tr w14:paraId="27B95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43C46D4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36</w:t>
            </w:r>
          </w:p>
        </w:tc>
        <w:tc>
          <w:tcPr>
            <w:tcW w:w="2032" w:type="dxa"/>
            <w:shd w:val="clear" w:color="auto" w:fill="auto"/>
            <w:vAlign w:val="center"/>
          </w:tcPr>
          <w:p w14:paraId="68FCF45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"https://std.samr.gov.cn/gb/search/gbDetailed?id=94E9AF238E2952A4E05397BE0A0AD366" \o "https://std.samr.gov.cn/gb/search/gbDetailed?id=94E9AF238E2952A4E05397BE0A0AD366"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GB38263-2019</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885CC8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水泥制品单位产品能源消耗限额</w:t>
            </w:r>
          </w:p>
        </w:tc>
      </w:tr>
      <w:tr w14:paraId="7CB61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48C07B6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37</w:t>
            </w:r>
          </w:p>
        </w:tc>
        <w:tc>
          <w:tcPr>
            <w:tcW w:w="2032" w:type="dxa"/>
            <w:shd w:val="clear" w:color="auto" w:fill="auto"/>
            <w:vAlign w:val="center"/>
          </w:tcPr>
          <w:p w14:paraId="733860C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"https://std.samr.gov.cn/gb/search/gbDetailed?id=94E9AF238E2852A4E05397BE0A0AD366" \o "https://std.samr.gov.cn/gb/search/gbDetailed?id=94E9AF238E2852A4E05397BE0A0AD366"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GB30526-2019</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FD8DBF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烧结墙体材料和泡沫玻璃单位产品能源消耗限额</w:t>
            </w:r>
          </w:p>
        </w:tc>
      </w:tr>
      <w:tr w14:paraId="5A4C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282037C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38</w:t>
            </w:r>
          </w:p>
        </w:tc>
        <w:tc>
          <w:tcPr>
            <w:tcW w:w="2032" w:type="dxa"/>
            <w:shd w:val="clear" w:color="auto" w:fill="auto"/>
            <w:vAlign w:val="center"/>
          </w:tcPr>
          <w:p w14:paraId="7B86C07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"https://std.samr.gov.cn/gb/search/gbDetailed?id=7AC3075CD35CB4B1E05397BE0A0AC4DE" \o "https://std.samr.gov.cn/gb/search/gbDetailed?id=7AC3075CD35CB4B1E05397BE0A0AC4DE"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GB36889-2018</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911D2A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聚酯涤纶单位产品能源消耗限额</w:t>
            </w:r>
          </w:p>
        </w:tc>
      </w:tr>
      <w:tr w14:paraId="1DF02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9C7660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39</w:t>
            </w:r>
          </w:p>
        </w:tc>
        <w:tc>
          <w:tcPr>
            <w:tcW w:w="2032" w:type="dxa"/>
            <w:shd w:val="clear" w:color="auto" w:fill="auto"/>
            <w:vAlign w:val="center"/>
          </w:tcPr>
          <w:p w14:paraId="23C0A08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"https://std.samr.gov.cn/gb/search/gbDetailed?id=7AC3075CD35BB4B1E05397BE0A0AC4DE" \o "https://std.samr.gov.cn/gb/search/gbDetailed?id=7AC3075CD35BB4B1E05397BE0A0AC4DE"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GB36887-2018</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B4EFCB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合成革单位产品能源消耗限额</w:t>
            </w:r>
          </w:p>
        </w:tc>
      </w:tr>
      <w:tr w14:paraId="08DC0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0514F2B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40</w:t>
            </w:r>
          </w:p>
        </w:tc>
        <w:tc>
          <w:tcPr>
            <w:tcW w:w="2032" w:type="dxa"/>
            <w:shd w:val="clear" w:color="auto" w:fill="auto"/>
            <w:vAlign w:val="center"/>
          </w:tcPr>
          <w:p w14:paraId="4EF5E59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"https://std.samr.gov.cn/gb/search/gbDetailed?id=7AC3075CD35AB4B1E05397BE0A0AC4DE" \o "https://std.samr.gov.cn/gb/search/gbDetailed?id=7AC3075CD35AB4B1E05397BE0A0AC4DE"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GB36890-2018</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1FE0D45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日用陶瓷单位产品能源消耗限额</w:t>
            </w:r>
          </w:p>
        </w:tc>
      </w:tr>
      <w:tr w14:paraId="0354E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286F78D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41</w:t>
            </w:r>
          </w:p>
        </w:tc>
        <w:tc>
          <w:tcPr>
            <w:tcW w:w="2032" w:type="dxa"/>
            <w:shd w:val="clear" w:color="auto" w:fill="auto"/>
            <w:vAlign w:val="center"/>
          </w:tcPr>
          <w:p w14:paraId="266B0A0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"https://std.samr.gov.cn/gb/search/gbDetailed?id=7AC3075CD359B4B1E05397BE0A0AC4DE" \o "https://std.samr.gov.cn/gb/search/gbDetailed?id=7AC3075CD359B4B1E05397BE0A0AC4DE"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GB36891-2018</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38163FD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莫来石单位产品能源消耗限额</w:t>
            </w:r>
          </w:p>
        </w:tc>
      </w:tr>
      <w:tr w14:paraId="347AE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2F7D683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42</w:t>
            </w:r>
          </w:p>
        </w:tc>
        <w:tc>
          <w:tcPr>
            <w:tcW w:w="2032" w:type="dxa"/>
            <w:shd w:val="clear" w:color="auto" w:fill="auto"/>
            <w:vAlign w:val="center"/>
          </w:tcPr>
          <w:p w14:paraId="428FD72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"https://std.samr.gov.cn/gb/search/gbDetailed?id=7AC3075CD357B4B1E05397BE0A0AC4DE" \o "https://std.samr.gov.cn/gb/search/gbDetailed?id=7AC3075CD357B4B1E05397BE0A0AC4DE"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GB36892-2018</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41C5333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刚玉单位产品能源消耗限额</w:t>
            </w:r>
          </w:p>
        </w:tc>
      </w:tr>
      <w:tr w14:paraId="59D67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E58AB4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43</w:t>
            </w:r>
          </w:p>
        </w:tc>
        <w:tc>
          <w:tcPr>
            <w:tcW w:w="2032" w:type="dxa"/>
            <w:shd w:val="clear" w:color="auto" w:fill="auto"/>
            <w:vAlign w:val="center"/>
          </w:tcPr>
          <w:p w14:paraId="6F49EC0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"https://std.samr.gov.cn/gb/search/gbDetailed?id=7AC3075CD354B4B1E05397BE0A0AC4DE" \o "https://std.samr.gov.cn/gb/search/gbDetailed?id=7AC3075CD354B4B1E05397BE0A0AC4DE"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GB36888-2018</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810E03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预拌混凝土单位产品能源消耗限额</w:t>
            </w:r>
          </w:p>
        </w:tc>
      </w:tr>
      <w:tr w14:paraId="27948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00983E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44</w:t>
            </w:r>
          </w:p>
        </w:tc>
        <w:tc>
          <w:tcPr>
            <w:tcW w:w="2032" w:type="dxa"/>
            <w:shd w:val="clear" w:color="auto" w:fill="auto"/>
            <w:vAlign w:val="center"/>
          </w:tcPr>
          <w:p w14:paraId="4187A2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"https://std.samr.gov.cn/gb/search/gbDetailed?id=71F772D826A3D3A7E05397BE0A0AB82A" \o "https://std.samr.gov.cn/gb/search/gbDetailed?id=71F772D826A3D3A7E05397BE0A0AB82A"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GB21370-2017</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BC66DD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炭素单位产品能源消耗限额</w:t>
            </w:r>
          </w:p>
        </w:tc>
      </w:tr>
      <w:tr w14:paraId="578D9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0825613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45</w:t>
            </w:r>
          </w:p>
        </w:tc>
        <w:tc>
          <w:tcPr>
            <w:tcW w:w="2032" w:type="dxa"/>
            <w:shd w:val="clear" w:color="auto" w:fill="auto"/>
            <w:vAlign w:val="center"/>
          </w:tcPr>
          <w:p w14:paraId="2DE7984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"https://std.samr.gov.cn/gb/search/gbDetailed?id=71F772D8191CD3A7E05397BE0A0AB82A" \o "https://std.samr.gov.cn/gb/search/gbDetailed?id=71F772D8191CD3A7E05397BE0A0AB82A"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GB33654-2017</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1A748DF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建筑石膏单位产品能源消耗限额</w:t>
            </w:r>
          </w:p>
        </w:tc>
      </w:tr>
      <w:tr w14:paraId="66E07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E3240E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46</w:t>
            </w:r>
          </w:p>
        </w:tc>
        <w:tc>
          <w:tcPr>
            <w:tcW w:w="2032" w:type="dxa"/>
            <w:shd w:val="clear" w:color="auto" w:fill="auto"/>
            <w:vAlign w:val="center"/>
          </w:tcPr>
          <w:p w14:paraId="7198603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"https://std.samr.gov.cn/gb/search/gbDetailed?id=71F772D80BBDD3A7E05397BE0A0AB82A" \o "https://std.samr.gov.cn/gb/search/gbDetailed?id=71F772D80BBDD3A7E05397BE0A0AB82A"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GB32047-2015</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1C83A2C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啤酒单位产品能源消耗限额</w:t>
            </w:r>
          </w:p>
        </w:tc>
      </w:tr>
      <w:tr w14:paraId="11E1F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C29610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47</w:t>
            </w:r>
          </w:p>
        </w:tc>
        <w:tc>
          <w:tcPr>
            <w:tcW w:w="2032" w:type="dxa"/>
            <w:shd w:val="clear" w:color="auto" w:fill="auto"/>
            <w:vAlign w:val="center"/>
          </w:tcPr>
          <w:p w14:paraId="0C3A6A8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"https://std.samr.gov.cn/gb/search/gbDetailed?id=71F772D80B3AD3A7E05397BE0A0AB82A" \o "https://std.samr.gov.cn/gb/search/gbDetailed?id=71F772D80B3AD3A7E05397BE0A0AB82A"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GB32050-2015</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1C32B198">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电弧炉冶炼单位产品能源消耗限额</w:t>
            </w:r>
          </w:p>
        </w:tc>
      </w:tr>
      <w:tr w14:paraId="08F7F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B33750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48</w:t>
            </w:r>
          </w:p>
        </w:tc>
        <w:tc>
          <w:tcPr>
            <w:tcW w:w="2032" w:type="dxa"/>
            <w:shd w:val="clear" w:color="auto" w:fill="auto"/>
            <w:vAlign w:val="center"/>
          </w:tcPr>
          <w:p w14:paraId="1559210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"https://std.samr.gov.cn/gb/search/gbDetailed?id=71F772D80B37D3A7E05397BE0A0AB82A" \o "https://std.samr.gov.cn/gb/search/gbDetailed?id=71F772D80B37D3A7E05397BE0A0AB82A"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GB32044-2015</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D4174D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糖单位产品能源消耗限额</w:t>
            </w:r>
          </w:p>
        </w:tc>
      </w:tr>
      <w:tr w14:paraId="6111A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1381708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49</w:t>
            </w:r>
          </w:p>
        </w:tc>
        <w:tc>
          <w:tcPr>
            <w:tcW w:w="2032" w:type="dxa"/>
            <w:shd w:val="clear" w:color="auto" w:fill="auto"/>
            <w:vAlign w:val="center"/>
          </w:tcPr>
          <w:p w14:paraId="2845981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"https://std.samr.gov.cn/gb/search/gbDetailed?id=71F772D7F2B5D3A7E05397BE0A0AB82A" \o "https://std.samr.gov.cn/gb/search/gbDetailed?id=71F772D7F2B5D3A7E05397BE0A0AB82A"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GB30183-2013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62A5F7B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岩棉、矿渣棉及其制品单位产品能源消耗限额</w:t>
            </w:r>
          </w:p>
        </w:tc>
      </w:tr>
      <w:tr w14:paraId="733F2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77B856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50</w:t>
            </w:r>
          </w:p>
        </w:tc>
        <w:tc>
          <w:tcPr>
            <w:tcW w:w="2032" w:type="dxa"/>
            <w:shd w:val="clear" w:color="auto" w:fill="auto"/>
            <w:vAlign w:val="center"/>
          </w:tcPr>
          <w:p w14:paraId="255080A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"https://std.samr.gov.cn/gb/search/gbDetailed?id=71F772D7F2B4D3A7E05397BE0A0AB82A" \o "https://std.samr.gov.cn/gb/search/gbDetailed?id=71F772D7F2B4D3A7E05397BE0A0AB82A"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GB30184-2013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4C52B66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沥青基防水卷材单位产品能源消耗限额</w:t>
            </w:r>
          </w:p>
        </w:tc>
      </w:tr>
      <w:tr w14:paraId="2EDEE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0EF480A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51</w:t>
            </w:r>
          </w:p>
        </w:tc>
        <w:tc>
          <w:tcPr>
            <w:tcW w:w="2032" w:type="dxa"/>
            <w:shd w:val="clear" w:color="auto" w:fill="auto"/>
            <w:vAlign w:val="center"/>
          </w:tcPr>
          <w:p w14:paraId="26246C1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"https://std.samr.gov.cn/gb/search/gbDetailed?id=71F772D7EF50D3A7E05397BE0A0AB82A" \o "https://std.samr.gov.cn/gb/search/gbDetailed?id=71F772D7EF50D3A7E05397BE0A0AB82A"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GB30182-2013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2585D1E4">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摩擦材料单位产品能源消耗限额</w:t>
            </w:r>
          </w:p>
        </w:tc>
      </w:tr>
      <w:tr w14:paraId="3561A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505390E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52</w:t>
            </w:r>
          </w:p>
        </w:tc>
        <w:tc>
          <w:tcPr>
            <w:tcW w:w="2032" w:type="dxa"/>
            <w:shd w:val="clear" w:color="auto" w:fill="auto"/>
            <w:vAlign w:val="center"/>
          </w:tcPr>
          <w:p w14:paraId="52FDF73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"https://std.samr.gov.cn/gb/search/gbDetailed?id=71F772D7ECBFD3A7E05397BE0A0AB82A" \o "https://std.samr.gov.cn/gb/search/gbDetailed?id=71F772D7ECBFD3A7E05397BE0A0AB82A"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GB30185-2013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C8757C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铝塑板单位产品能源消耗限额</w:t>
            </w:r>
          </w:p>
        </w:tc>
      </w:tr>
      <w:tr w14:paraId="6133A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3E2CFF3D">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53</w:t>
            </w:r>
          </w:p>
        </w:tc>
        <w:tc>
          <w:tcPr>
            <w:tcW w:w="2032" w:type="dxa"/>
            <w:shd w:val="clear" w:color="auto" w:fill="auto"/>
            <w:vAlign w:val="center"/>
          </w:tcPr>
          <w:p w14:paraId="0416411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"https://std.samr.gov.cn/gb/search/gbDetailed?id=71F772D800ABD3A7E05397BE0A0AB82A" \o "https://std.samr.gov.cn/gb/search/gbDetailed?id=71F772D800ABD3A7E05397BE0A0AB82A"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GB21342-2013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44E07660">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焦炭单位产品能源消耗限额</w:t>
            </w:r>
          </w:p>
        </w:tc>
      </w:tr>
      <w:tr w14:paraId="1589C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4180D03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54</w:t>
            </w:r>
          </w:p>
        </w:tc>
        <w:tc>
          <w:tcPr>
            <w:tcW w:w="2032" w:type="dxa"/>
            <w:shd w:val="clear" w:color="auto" w:fill="auto"/>
            <w:vAlign w:val="center"/>
          </w:tcPr>
          <w:p w14:paraId="0A15CD8F">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"https://std.samr.gov.cn/gb/search/gbDetailed?id=71F772D7E63CD3A7E05397BE0A0AB82A" \o "https://std.samr.gov.cn/gb/search/gbDetailed?id=71F772D7E63CD3A7E05397BE0A0AB82A"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GB21256-2013</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4FB2A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粗钢生产主要工序单位产品能源消耗限额</w:t>
            </w:r>
          </w:p>
        </w:tc>
      </w:tr>
      <w:tr w14:paraId="2748E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6E64394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55</w:t>
            </w:r>
          </w:p>
        </w:tc>
        <w:tc>
          <w:tcPr>
            <w:tcW w:w="2032" w:type="dxa"/>
            <w:shd w:val="clear" w:color="auto" w:fill="auto"/>
            <w:vAlign w:val="center"/>
          </w:tcPr>
          <w:p w14:paraId="2E6A2DD5">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"https://std.samr.gov.cn/gb/search/gbDetailed?id=71F772D801D4D3A7E05397BE0A0AB82A" \o "https://std.samr.gov.cn/gb/search/gbDetailed?id=71F772D801D4D3A7E05397BE0A0AB82A"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GB29444-2012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3AB058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煤炭井工开采单位产品能源消耗限额</w:t>
            </w:r>
          </w:p>
        </w:tc>
      </w:tr>
      <w:tr w14:paraId="5104E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66FE1D6E">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56</w:t>
            </w:r>
          </w:p>
        </w:tc>
        <w:tc>
          <w:tcPr>
            <w:tcW w:w="2032" w:type="dxa"/>
            <w:shd w:val="clear" w:color="auto" w:fill="auto"/>
            <w:vAlign w:val="center"/>
          </w:tcPr>
          <w:p w14:paraId="4A025269">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"https://std.samr.gov.cn/gb/search/gbDetailed?id=71F772D7EC20D3A7E05397BE0A0AB82A" \o "https://std.samr.gov.cn/gb/search/gbDetailed?id=71F772D7EC20D3A7E05397BE0A0AB82A"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GB29438-2012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0FF3F983">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聚甲醛单位产品能源消耗限额</w:t>
            </w:r>
          </w:p>
        </w:tc>
      </w:tr>
      <w:tr w14:paraId="7B1D0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753739E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57</w:t>
            </w:r>
          </w:p>
        </w:tc>
        <w:tc>
          <w:tcPr>
            <w:tcW w:w="2032" w:type="dxa"/>
            <w:shd w:val="clear" w:color="auto" w:fill="auto"/>
            <w:vAlign w:val="center"/>
          </w:tcPr>
          <w:p w14:paraId="58AEBA8C">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"https://std.samr.gov.cn/gb/search/gbDetailed?id=71F772D7E58CD3A7E05397BE0A0AB82A" \o "https://std.samr.gov.cn/gb/search/gbDetailed?id=71F772D7E58CD3A7E05397BE0A0AB82A"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GB29435-2012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5D960211">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稀土冶炼加工企业单位产品能源消耗限额</w:t>
            </w:r>
          </w:p>
        </w:tc>
      </w:tr>
      <w:tr w14:paraId="5D91C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12" w:type="dxa"/>
            <w:shd w:val="clear" w:color="auto" w:fill="auto"/>
            <w:vAlign w:val="center"/>
          </w:tcPr>
          <w:p w14:paraId="49D530A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58</w:t>
            </w:r>
          </w:p>
        </w:tc>
        <w:tc>
          <w:tcPr>
            <w:tcW w:w="2032" w:type="dxa"/>
            <w:shd w:val="clear" w:color="auto" w:fill="auto"/>
            <w:vAlign w:val="center"/>
          </w:tcPr>
          <w:p w14:paraId="6162966A">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"https://std.samr.gov.cn/gb/search/gbDetailed?id=71F772D7E517D3A7E05397BE0A0AB82A" \o "https://std.samr.gov.cn/gb/search/gbDetailed?id=71F772D7E517D3A7E05397BE0A0AB82A"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GB29445-2012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119BADC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煤炭露天开采单位产品能源消耗限额</w:t>
            </w:r>
          </w:p>
        </w:tc>
      </w:tr>
      <w:tr w14:paraId="2C65D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97" w:hRule="atLeast"/>
          <w:jc w:val="center"/>
        </w:trPr>
        <w:tc>
          <w:tcPr>
            <w:tcW w:w="612" w:type="dxa"/>
            <w:shd w:val="clear" w:color="auto" w:fill="auto"/>
            <w:vAlign w:val="center"/>
          </w:tcPr>
          <w:p w14:paraId="0DAFA0A7">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59</w:t>
            </w:r>
          </w:p>
        </w:tc>
        <w:tc>
          <w:tcPr>
            <w:tcW w:w="2032" w:type="dxa"/>
            <w:shd w:val="clear" w:color="auto" w:fill="auto"/>
            <w:vAlign w:val="center"/>
          </w:tcPr>
          <w:p w14:paraId="459A606B">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fldChar w:fldCharType="begin"/>
            </w:r>
            <w:r>
              <w:rPr>
                <w:rFonts w:hint="default" w:ascii="Times New Roman" w:hAnsi="Times New Roman" w:eastAsia="仿宋" w:cs="Times New Roman"/>
                <w:i w:val="0"/>
                <w:iCs w:val="0"/>
                <w:snapToGrid w:val="0"/>
                <w:color w:val="auto"/>
                <w:kern w:val="0"/>
                <w:sz w:val="24"/>
                <w:szCs w:val="24"/>
                <w:u w:val="none"/>
                <w:lang w:val="en-US" w:eastAsia="zh-CN" w:bidi="ar"/>
              </w:rPr>
              <w:instrText xml:space="preserve"> HYPERLINK "https://std.samr.gov.cn/gb/search/gbDetailed?id=71F772D7E509D3A7E05397BE0A0AB82A" \o "https://std.samr.gov.cn/gb/search/gbDetailed?id=71F772D7E509D3A7E05397BE0A0AB82A" </w:instrText>
            </w:r>
            <w:r>
              <w:rPr>
                <w:rFonts w:hint="default" w:ascii="Times New Roman" w:hAnsi="Times New Roman" w:eastAsia="仿宋" w:cs="Times New Roman"/>
                <w:i w:val="0"/>
                <w:iCs w:val="0"/>
                <w:snapToGrid w:val="0"/>
                <w:color w:val="auto"/>
                <w:kern w:val="0"/>
                <w:sz w:val="24"/>
                <w:szCs w:val="24"/>
                <w:u w:val="none"/>
                <w:lang w:val="en-US" w:eastAsia="zh-CN" w:bidi="ar"/>
              </w:rPr>
              <w:fldChar w:fldCharType="separate"/>
            </w:r>
            <w:r>
              <w:rPr>
                <w:rStyle w:val="27"/>
                <w:rFonts w:hint="default" w:ascii="Times New Roman" w:hAnsi="Times New Roman" w:eastAsia="仿宋" w:cs="Times New Roman"/>
                <w:i w:val="0"/>
                <w:iCs w:val="0"/>
                <w:color w:val="auto"/>
                <w:sz w:val="24"/>
                <w:szCs w:val="24"/>
                <w:u w:val="none"/>
              </w:rPr>
              <w:t>GB29450-2012</w:t>
            </w:r>
            <w:r>
              <w:rPr>
                <w:rFonts w:hint="default" w:ascii="Times New Roman" w:hAnsi="Times New Roman" w:eastAsia="仿宋" w:cs="Times New Roman"/>
                <w:i w:val="0"/>
                <w:iCs w:val="0"/>
                <w:snapToGrid w:val="0"/>
                <w:color w:val="auto"/>
                <w:kern w:val="0"/>
                <w:sz w:val="24"/>
                <w:szCs w:val="24"/>
                <w:u w:val="none"/>
                <w:lang w:val="en-US" w:eastAsia="zh-CN" w:bidi="ar"/>
              </w:rPr>
              <w:fldChar w:fldCharType="end"/>
            </w:r>
          </w:p>
        </w:tc>
        <w:tc>
          <w:tcPr>
            <w:tcW w:w="6746" w:type="dxa"/>
            <w:shd w:val="clear" w:color="auto" w:fill="auto"/>
            <w:vAlign w:val="center"/>
          </w:tcPr>
          <w:p w14:paraId="7F96EB32">
            <w:pPr>
              <w:keepNext w:val="0"/>
              <w:keepLines w:val="0"/>
              <w:pageBreakBefore w:val="0"/>
              <w:widowControl w:val="0"/>
              <w:suppressLineNumbers w:val="0"/>
              <w:topLinePunct w:val="0"/>
              <w:bidi w:val="0"/>
              <w:jc w:val="center"/>
              <w:textAlignment w:val="center"/>
              <w:rPr>
                <w:rFonts w:hint="default" w:ascii="Times New Roman" w:hAnsi="Times New Roman" w:eastAsia="仿宋" w:cs="Times New Roman"/>
                <w:i w:val="0"/>
                <w:iCs w:val="0"/>
                <w:color w:val="auto"/>
                <w:sz w:val="24"/>
                <w:szCs w:val="24"/>
                <w:u w:val="none"/>
              </w:rPr>
            </w:pPr>
            <w:r>
              <w:rPr>
                <w:rFonts w:hint="default" w:ascii="Times New Roman" w:hAnsi="Times New Roman" w:eastAsia="仿宋" w:cs="Times New Roman"/>
                <w:i w:val="0"/>
                <w:iCs w:val="0"/>
                <w:snapToGrid w:val="0"/>
                <w:color w:val="auto"/>
                <w:kern w:val="0"/>
                <w:sz w:val="24"/>
                <w:szCs w:val="24"/>
                <w:u w:val="none"/>
                <w:lang w:val="en-US" w:eastAsia="zh-CN" w:bidi="ar"/>
              </w:rPr>
              <w:t>玻璃纤维单位产品能源消耗限额</w:t>
            </w:r>
          </w:p>
        </w:tc>
      </w:tr>
    </w:tbl>
    <w:p w14:paraId="06B30279">
      <w:pPr>
        <w:pStyle w:val="13"/>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p>
    <w:p w14:paraId="2E294BCF">
      <w:pPr>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p>
    <w:p w14:paraId="6EF7A03C">
      <w:pPr>
        <w:pStyle w:val="13"/>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p>
    <w:p w14:paraId="2D43073A">
      <w:pPr>
        <w:keepNext w:val="0"/>
        <w:keepLines w:val="0"/>
        <w:pageBreakBefore w:val="0"/>
        <w:widowControl w:val="0"/>
        <w:topLinePunct w:val="0"/>
        <w:bidi w:val="0"/>
        <w:rPr>
          <w:rFonts w:hint="default" w:ascii="Times New Roman" w:hAnsi="Times New Roman" w:eastAsia="仿宋" w:cs="Times New Roman"/>
          <w:snapToGrid w:val="0"/>
          <w:color w:val="000000"/>
          <w:kern w:val="0"/>
          <w:sz w:val="24"/>
          <w:szCs w:val="24"/>
          <w:vertAlign w:val="baseline"/>
          <w:lang w:val="en-US" w:eastAsia="zh-CN" w:bidi="ar-SA"/>
        </w:rPr>
      </w:pPr>
      <w:bookmarkStart w:id="47" w:name="_GoBack"/>
      <w:bookmarkEnd w:id="47"/>
    </w:p>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67ADAC9F-5B6A-4FB6-8DC0-07E4999ABCD0}"/>
  </w:font>
  <w:font w:name="Arial">
    <w:panose1 w:val="020B0604020202020204"/>
    <w:charset w:val="01"/>
    <w:family w:val="swiss"/>
    <w:pitch w:val="default"/>
    <w:sig w:usb0="E0002EFF" w:usb1="C000785B" w:usb2="00000009" w:usb3="00000000" w:csb0="400001FF" w:csb1="FFFF0000"/>
    <w:embedRegular r:id="rId2" w:fontKey="{ACA8CFCA-42A5-48FE-B06C-1A80294951E5}"/>
  </w:font>
  <w:font w:name="黑体">
    <w:panose1 w:val="02010609060101010101"/>
    <w:charset w:val="86"/>
    <w:family w:val="auto"/>
    <w:pitch w:val="default"/>
    <w:sig w:usb0="800002BF" w:usb1="38CF7CFA" w:usb2="00000016" w:usb3="00000000" w:csb0="00040001" w:csb1="00000000"/>
    <w:embedRegular r:id="rId3" w:fontKey="{AF73166A-F9F4-44D6-91D8-2FC588E381B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4" w:fontKey="{96989977-CC17-4AAC-9A93-860A5F2E944D}"/>
  </w:font>
  <w:font w:name="仿宋">
    <w:panose1 w:val="02010609060101010101"/>
    <w:charset w:val="86"/>
    <w:family w:val="auto"/>
    <w:pitch w:val="default"/>
    <w:sig w:usb0="800002BF" w:usb1="38CF7CFA" w:usb2="00000016" w:usb3="00000000" w:csb0="00040001" w:csb1="00000000"/>
    <w:embedRegular r:id="rId5" w:fontKey="{E4CD5C2C-A1A4-4455-9AEF-07C7658DE53B}"/>
  </w:font>
  <w:font w:name="华文中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A00002BF" w:usb1="38CF7CFA" w:usb2="00082016" w:usb3="00000000" w:csb0="00040001" w:csb1="00000000"/>
  </w:font>
  <w:font w:name="CESI仿宋-GB2312">
    <w:altName w:val="仿宋"/>
    <w:panose1 w:val="02000500000000000000"/>
    <w:charset w:val="86"/>
    <w:family w:val="auto"/>
    <w:pitch w:val="default"/>
    <w:sig w:usb0="00000000" w:usb1="00000000" w:usb2="00000010" w:usb3="00000000" w:csb0="0004000F" w:csb1="00000000"/>
  </w:font>
  <w:font w:name="方正小标宋简体">
    <w:panose1 w:val="03000509000000000000"/>
    <w:charset w:val="86"/>
    <w:family w:val="auto"/>
    <w:pitch w:val="default"/>
    <w:sig w:usb0="00000001" w:usb1="080E0000" w:usb2="00000000" w:usb3="00000000" w:csb0="00040000" w:csb1="00000000"/>
    <w:embedRegular r:id="rId6" w:fontKey="{2156DFFF-7FF9-4006-9FB4-BE402F517155}"/>
  </w:font>
  <w:font w:name="国标黑体">
    <w:altName w:val="黑体"/>
    <w:panose1 w:val="02000500000000000000"/>
    <w:charset w:val="86"/>
    <w:family w:val="auto"/>
    <w:pitch w:val="default"/>
    <w:sig w:usb0="00000000" w:usb1="00000000" w:usb2="00000000" w:usb3="00000000" w:csb0="00060007" w:csb1="00000000"/>
    <w:embedRegular r:id="rId7" w:fontKey="{E35AED34-58A8-4DE4-A01A-B03902ECAADE}"/>
  </w:font>
  <w:font w:name="KSOF7DF6CDC0">
    <w:panose1 w:val="02000500000000000000"/>
    <w:charset w:val="86"/>
    <w:family w:val="auto"/>
    <w:pitch w:val="default"/>
    <w:sig w:usb0="00000001" w:usb1="00000000" w:usb2="00000000" w:usb3="00000000" w:csb0="00040001" w:csb1="00000000"/>
  </w:font>
  <w:font w:name="KSOF7DF7B67E">
    <w:panose1 w:val="020005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9CD7C">
    <w:pPr>
      <w:pStyle w:val="1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86B2E6">
                          <w:pPr>
                            <w:pStyle w:val="17"/>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3086B2E6">
                    <w:pPr>
                      <w:pStyle w:val="17"/>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2D7EB5"/>
    <w:multiLevelType w:val="singleLevel"/>
    <w:tmpl w:val="A62D7EB5"/>
    <w:lvl w:ilvl="0" w:tentative="0">
      <w:start w:val="1"/>
      <w:numFmt w:val="decimal"/>
      <w:suff w:val="nothing"/>
      <w:lvlText w:val="%1"/>
      <w:lvlJc w:val="left"/>
      <w:pPr>
        <w:tabs>
          <w:tab w:val="left" w:pos="397"/>
        </w:tabs>
        <w:ind w:left="454" w:leftChars="0" w:hanging="454" w:firstLineChars="0"/>
      </w:pPr>
      <w:rPr>
        <w:rFonts w:hint="default"/>
      </w:rPr>
    </w:lvl>
  </w:abstractNum>
  <w:abstractNum w:abstractNumId="1">
    <w:nsid w:val="B36F4BB9"/>
    <w:multiLevelType w:val="singleLevel"/>
    <w:tmpl w:val="B36F4BB9"/>
    <w:lvl w:ilvl="0" w:tentative="0">
      <w:start w:val="1"/>
      <w:numFmt w:val="decimal"/>
      <w:suff w:val="nothing"/>
      <w:lvlText w:val="%1"/>
      <w:lvlJc w:val="left"/>
      <w:pPr>
        <w:tabs>
          <w:tab w:val="left" w:pos="397"/>
        </w:tabs>
        <w:ind w:left="454" w:leftChars="0" w:hanging="454" w:firstLineChars="0"/>
      </w:pPr>
      <w:rPr>
        <w:rFonts w:hint="default"/>
      </w:rPr>
    </w:lvl>
  </w:abstractNum>
  <w:abstractNum w:abstractNumId="2">
    <w:nsid w:val="C6DEEEE1"/>
    <w:multiLevelType w:val="singleLevel"/>
    <w:tmpl w:val="C6DEEEE1"/>
    <w:lvl w:ilvl="0" w:tentative="0">
      <w:start w:val="1"/>
      <w:numFmt w:val="decimal"/>
      <w:suff w:val="nothing"/>
      <w:lvlText w:val="%1"/>
      <w:lvlJc w:val="left"/>
      <w:pPr>
        <w:tabs>
          <w:tab w:val="left" w:pos="397"/>
        </w:tabs>
        <w:ind w:left="454" w:leftChars="0" w:hanging="454" w:firstLineChars="0"/>
      </w:pPr>
      <w:rPr>
        <w:rFonts w:hint="default"/>
      </w:rPr>
    </w:lvl>
  </w:abstractNum>
  <w:abstractNum w:abstractNumId="3">
    <w:nsid w:val="E8FFA101"/>
    <w:multiLevelType w:val="multilevel"/>
    <w:tmpl w:val="E8FFA101"/>
    <w:lvl w:ilvl="0" w:tentative="0">
      <w:start w:val="1"/>
      <w:numFmt w:val="decimal"/>
      <w:pStyle w:val="3"/>
      <w:lvlText w:val="%1"/>
      <w:lvlJc w:val="left"/>
      <w:pPr>
        <w:tabs>
          <w:tab w:val="left" w:pos="360"/>
        </w:tabs>
        <w:ind w:left="0" w:firstLine="0"/>
      </w:pPr>
      <w:rPr>
        <w:rFonts w:hint="default" w:ascii="Arial" w:hAnsi="Arial" w:cs="Arial"/>
      </w:rPr>
    </w:lvl>
    <w:lvl w:ilvl="1" w:tentative="0">
      <w:start w:val="1"/>
      <w:numFmt w:val="decimal"/>
      <w:pStyle w:val="4"/>
      <w:isLgl/>
      <w:lvlText w:val="%1.%2"/>
      <w:lvlJc w:val="left"/>
      <w:pPr>
        <w:tabs>
          <w:tab w:val="left" w:pos="360"/>
        </w:tabs>
        <w:ind w:left="0" w:firstLine="0"/>
      </w:pPr>
      <w:rPr>
        <w:rFonts w:hint="eastAsia"/>
      </w:rPr>
    </w:lvl>
    <w:lvl w:ilvl="2" w:tentative="0">
      <w:start w:val="1"/>
      <w:numFmt w:val="decimal"/>
      <w:pStyle w:val="5"/>
      <w:isLgl/>
      <w:lvlText w:val="%1.%2.%3."/>
      <w:lvlJc w:val="left"/>
      <w:pPr>
        <w:tabs>
          <w:tab w:val="left" w:pos="567"/>
        </w:tabs>
        <w:ind w:left="0" w:firstLine="0"/>
      </w:pPr>
      <w:rPr>
        <w:rFonts w:hint="eastAsia"/>
      </w:rPr>
    </w:lvl>
    <w:lvl w:ilvl="3" w:tentative="0">
      <w:start w:val="1"/>
      <w:numFmt w:val="decimal"/>
      <w:pStyle w:val="6"/>
      <w:isLgl/>
      <w:lvlText w:val="%1.%2.%3.%4"/>
      <w:lvlJc w:val="left"/>
      <w:pPr>
        <w:tabs>
          <w:tab w:val="left" w:pos="1080"/>
        </w:tabs>
        <w:ind w:left="0" w:firstLine="0"/>
      </w:pPr>
      <w:rPr>
        <w:rFonts w:hint="eastAsia"/>
      </w:rPr>
    </w:lvl>
    <w:lvl w:ilvl="4" w:tentative="0">
      <w:start w:val="1"/>
      <w:numFmt w:val="decimal"/>
      <w:pStyle w:val="7"/>
      <w:lvlText w:val="5.%2.%3.%4.%5."/>
      <w:lvlJc w:val="left"/>
      <w:pPr>
        <w:tabs>
          <w:tab w:val="left" w:pos="1581"/>
        </w:tabs>
        <w:ind w:left="0" w:firstLine="0"/>
      </w:pPr>
      <w:rPr>
        <w:rFonts w:hint="eastAsia"/>
      </w:rPr>
    </w:lvl>
    <w:lvl w:ilvl="5" w:tentative="0">
      <w:start w:val="1"/>
      <w:numFmt w:val="decimal"/>
      <w:pStyle w:val="8"/>
      <w:lvlText w:val="5.%2.%3.%4.%5.%6."/>
      <w:lvlJc w:val="left"/>
      <w:pPr>
        <w:tabs>
          <w:tab w:val="left" w:pos="1440"/>
        </w:tabs>
        <w:ind w:left="0" w:firstLine="0"/>
      </w:pPr>
      <w:rPr>
        <w:rFonts w:hint="eastAsia"/>
      </w:rPr>
    </w:lvl>
    <w:lvl w:ilvl="6" w:tentative="0">
      <w:start w:val="1"/>
      <w:numFmt w:val="decimal"/>
      <w:pStyle w:val="9"/>
      <w:lvlText w:val="%2.%3.%4.%5.%6.%7."/>
      <w:lvlJc w:val="left"/>
      <w:pPr>
        <w:tabs>
          <w:tab w:val="left" w:pos="1800"/>
        </w:tabs>
        <w:ind w:left="0" w:firstLine="0"/>
      </w:pPr>
      <w:rPr>
        <w:rFonts w:hint="eastAsia"/>
      </w:rPr>
    </w:lvl>
    <w:lvl w:ilvl="7" w:tentative="0">
      <w:start w:val="1"/>
      <w:numFmt w:val="decimal"/>
      <w:lvlRestart w:val="1"/>
      <w:pStyle w:val="10"/>
      <w:isLgl/>
      <w:lvlText w:val="表%1.%2.%3-%8"/>
      <w:lvlJc w:val="left"/>
      <w:pPr>
        <w:tabs>
          <w:tab w:val="left" w:pos="5415"/>
        </w:tabs>
        <w:ind w:left="0" w:firstLine="0"/>
      </w:pPr>
      <w:rPr>
        <w:rFonts w:hint="eastAsia"/>
      </w:rPr>
    </w:lvl>
    <w:lvl w:ilvl="8" w:tentative="0">
      <w:start w:val="1"/>
      <w:numFmt w:val="decimal"/>
      <w:lvlRestart w:val="1"/>
      <w:pStyle w:val="11"/>
      <w:isLgl/>
      <w:lvlText w:val="图%1.%2.%3-%9"/>
      <w:lvlJc w:val="left"/>
      <w:pPr>
        <w:tabs>
          <w:tab w:val="left" w:pos="2520"/>
        </w:tabs>
        <w:ind w:left="0" w:firstLine="0"/>
      </w:pPr>
      <w:rPr>
        <w:rFonts w:hint="eastAsia"/>
      </w:rPr>
    </w:lvl>
  </w:abstractNum>
  <w:abstractNum w:abstractNumId="4">
    <w:nsid w:val="1ED0830C"/>
    <w:multiLevelType w:val="singleLevel"/>
    <w:tmpl w:val="1ED0830C"/>
    <w:lvl w:ilvl="0" w:tentative="0">
      <w:start w:val="1"/>
      <w:numFmt w:val="decimal"/>
      <w:suff w:val="nothing"/>
      <w:lvlText w:val="%1"/>
      <w:lvlJc w:val="left"/>
      <w:pPr>
        <w:tabs>
          <w:tab w:val="left" w:pos="397"/>
        </w:tabs>
        <w:ind w:left="454" w:leftChars="0" w:hanging="454" w:firstLineChars="0"/>
      </w:pPr>
      <w:rPr>
        <w:rFonts w:hint="default"/>
      </w:rPr>
    </w:lvl>
  </w:abstractNum>
  <w:abstractNum w:abstractNumId="5">
    <w:nsid w:val="2A8F7113"/>
    <w:multiLevelType w:val="multilevel"/>
    <w:tmpl w:val="2A8F7113"/>
    <w:lvl w:ilvl="0" w:tentative="0">
      <w:start w:val="1"/>
      <w:numFmt w:val="upperLetter"/>
      <w:suff w:val="space"/>
      <w:lvlText w:val="%1"/>
      <w:lvlJc w:val="left"/>
      <w:pPr>
        <w:ind w:left="623" w:hanging="425"/>
      </w:pPr>
      <w:rPr>
        <w:rFonts w:hint="eastAsia"/>
      </w:rPr>
    </w:lvl>
    <w:lvl w:ilvl="1" w:tentative="0">
      <w:start w:val="1"/>
      <w:numFmt w:val="decimal"/>
      <w:pStyle w:val="35"/>
      <w:suff w:val="nothing"/>
      <w:lvlText w:val="图%1.%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6">
    <w:nsid w:val="657D3FBC"/>
    <w:multiLevelType w:val="multilevel"/>
    <w:tmpl w:val="657D3FBC"/>
    <w:lvl w:ilvl="0" w:tentative="0">
      <w:start w:val="1"/>
      <w:numFmt w:val="upperLetter"/>
      <w:suff w:val="nothing"/>
      <w:lvlText w:val="附　录　%1"/>
      <w:lvlJc w:val="left"/>
      <w:pPr>
        <w:ind w:left="4679" w:firstLine="0"/>
      </w:pPr>
      <w:rPr>
        <w:rFonts w:hint="eastAsia" w:ascii="黑体" w:hAnsi="Times New Roman" w:eastAsia="黑体"/>
        <w:b w:val="0"/>
        <w:i w:val="0"/>
        <w:spacing w:val="0"/>
        <w:w w:val="100"/>
        <w:sz w:val="21"/>
      </w:rPr>
    </w:lvl>
    <w:lvl w:ilvl="1" w:tentative="0">
      <w:start w:val="1"/>
      <w:numFmt w:val="decimal"/>
      <w:pStyle w:val="28"/>
      <w:suff w:val="nothing"/>
      <w:lvlText w:val="%1.%2　"/>
      <w:lvlJc w:val="left"/>
      <w:pPr>
        <w:ind w:left="4679"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4679" w:firstLine="0"/>
      </w:pPr>
      <w:rPr>
        <w:rFonts w:hint="eastAsia" w:ascii="黑体" w:hAnsi="Times New Roman" w:eastAsia="黑体"/>
        <w:b w:val="0"/>
        <w:i w:val="0"/>
        <w:sz w:val="21"/>
      </w:rPr>
    </w:lvl>
    <w:lvl w:ilvl="3" w:tentative="0">
      <w:start w:val="1"/>
      <w:numFmt w:val="decimal"/>
      <w:suff w:val="nothing"/>
      <w:lvlText w:val="%1.%2.%3.%4　"/>
      <w:lvlJc w:val="left"/>
      <w:pPr>
        <w:ind w:left="4679" w:firstLine="0"/>
      </w:pPr>
      <w:rPr>
        <w:rFonts w:hint="eastAsia" w:ascii="黑体" w:hAnsi="Times New Roman" w:eastAsia="黑体"/>
        <w:b w:val="0"/>
        <w:i w:val="0"/>
        <w:sz w:val="21"/>
      </w:rPr>
    </w:lvl>
    <w:lvl w:ilvl="4" w:tentative="0">
      <w:start w:val="1"/>
      <w:numFmt w:val="decimal"/>
      <w:suff w:val="nothing"/>
      <w:lvlText w:val="%1.%2.%3.%4.%5　"/>
      <w:lvlJc w:val="left"/>
      <w:pPr>
        <w:ind w:left="4679" w:firstLine="0"/>
      </w:pPr>
      <w:rPr>
        <w:rFonts w:hint="eastAsia" w:ascii="黑体" w:hAnsi="Times New Roman" w:eastAsia="黑体"/>
        <w:b w:val="0"/>
        <w:i w:val="0"/>
        <w:sz w:val="21"/>
      </w:rPr>
    </w:lvl>
    <w:lvl w:ilvl="5" w:tentative="0">
      <w:start w:val="1"/>
      <w:numFmt w:val="decimal"/>
      <w:suff w:val="nothing"/>
      <w:lvlText w:val="%1.%2.%3.%4.%5.%6　"/>
      <w:lvlJc w:val="left"/>
      <w:pPr>
        <w:ind w:left="4679" w:firstLine="0"/>
      </w:pPr>
      <w:rPr>
        <w:rFonts w:hint="eastAsia" w:ascii="黑体" w:hAnsi="Times New Roman" w:eastAsia="黑体"/>
        <w:b w:val="0"/>
        <w:i w:val="0"/>
        <w:sz w:val="21"/>
      </w:rPr>
    </w:lvl>
    <w:lvl w:ilvl="6" w:tentative="0">
      <w:start w:val="1"/>
      <w:numFmt w:val="decimal"/>
      <w:suff w:val="nothing"/>
      <w:lvlText w:val="%1.%2.%3.%4.%5.%6.%7　"/>
      <w:lvlJc w:val="left"/>
      <w:pPr>
        <w:ind w:left="4679" w:firstLine="0"/>
      </w:pPr>
      <w:rPr>
        <w:rFonts w:hint="eastAsia" w:ascii="黑体" w:hAnsi="Times New Roman" w:eastAsia="黑体"/>
        <w:b w:val="0"/>
        <w:i w:val="0"/>
        <w:sz w:val="21"/>
      </w:rPr>
    </w:lvl>
    <w:lvl w:ilvl="7" w:tentative="0">
      <w:start w:val="1"/>
      <w:numFmt w:val="decimal"/>
      <w:lvlText w:val="%1.%2.%3.%4.%5.%6.%7.%8"/>
      <w:lvlJc w:val="left"/>
      <w:pPr>
        <w:tabs>
          <w:tab w:val="left" w:pos="9073"/>
        </w:tabs>
        <w:ind w:left="9073" w:hanging="1418"/>
      </w:pPr>
      <w:rPr>
        <w:rFonts w:hint="eastAsia"/>
      </w:rPr>
    </w:lvl>
    <w:lvl w:ilvl="8" w:tentative="0">
      <w:start w:val="1"/>
      <w:numFmt w:val="decimal"/>
      <w:lvlText w:val="%1.%2.%3.%4.%5.%6.%7.%8.%9"/>
      <w:lvlJc w:val="left"/>
      <w:pPr>
        <w:tabs>
          <w:tab w:val="left" w:pos="9781"/>
        </w:tabs>
        <w:ind w:left="9781" w:hanging="1700"/>
      </w:pPr>
      <w:rPr>
        <w:rFonts w:hint="eastAsia"/>
      </w:rPr>
    </w:lvl>
  </w:abstractNum>
  <w:num w:numId="1">
    <w:abstractNumId w:val="3"/>
  </w:num>
  <w:num w:numId="2">
    <w:abstractNumId w:val="6"/>
  </w:num>
  <w:num w:numId="3">
    <w:abstractNumId w:val="5"/>
  </w:num>
  <w:num w:numId="4">
    <w:abstractNumId w:val="2"/>
  </w:num>
  <w:num w:numId="5">
    <w:abstractNumId w:val="4"/>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B75F5"/>
    <w:rsid w:val="0296376F"/>
    <w:rsid w:val="033E6A15"/>
    <w:rsid w:val="03D900D1"/>
    <w:rsid w:val="03FF9F54"/>
    <w:rsid w:val="04B11F8D"/>
    <w:rsid w:val="065163F0"/>
    <w:rsid w:val="07366B8B"/>
    <w:rsid w:val="07A3784A"/>
    <w:rsid w:val="0802143B"/>
    <w:rsid w:val="0804122A"/>
    <w:rsid w:val="08316AA1"/>
    <w:rsid w:val="099C6A2F"/>
    <w:rsid w:val="09CA1E71"/>
    <w:rsid w:val="0AAE0A80"/>
    <w:rsid w:val="0C9E2ECD"/>
    <w:rsid w:val="0CB86513"/>
    <w:rsid w:val="0D2363CA"/>
    <w:rsid w:val="0D701D22"/>
    <w:rsid w:val="0EF6CA4A"/>
    <w:rsid w:val="1037094B"/>
    <w:rsid w:val="10F60887"/>
    <w:rsid w:val="11E731C3"/>
    <w:rsid w:val="12414F16"/>
    <w:rsid w:val="13594B35"/>
    <w:rsid w:val="13F866C4"/>
    <w:rsid w:val="14DE3B0C"/>
    <w:rsid w:val="15CB52C4"/>
    <w:rsid w:val="16D71911"/>
    <w:rsid w:val="17712A16"/>
    <w:rsid w:val="17EA54F0"/>
    <w:rsid w:val="1ADD26D3"/>
    <w:rsid w:val="1B012302"/>
    <w:rsid w:val="1CF71C0F"/>
    <w:rsid w:val="1DFDBDFA"/>
    <w:rsid w:val="1E8F35A8"/>
    <w:rsid w:val="1EFD1AF1"/>
    <w:rsid w:val="1F3772C2"/>
    <w:rsid w:val="1FF56035"/>
    <w:rsid w:val="23F62E19"/>
    <w:rsid w:val="26AD2D6D"/>
    <w:rsid w:val="270F224B"/>
    <w:rsid w:val="27771410"/>
    <w:rsid w:val="2A5656A8"/>
    <w:rsid w:val="2C36376B"/>
    <w:rsid w:val="2C787951"/>
    <w:rsid w:val="2E0943BD"/>
    <w:rsid w:val="2E5A1FFE"/>
    <w:rsid w:val="2F195A15"/>
    <w:rsid w:val="2FA7475A"/>
    <w:rsid w:val="2FD0137B"/>
    <w:rsid w:val="323E5AD5"/>
    <w:rsid w:val="335A12C0"/>
    <w:rsid w:val="37CCA0AF"/>
    <w:rsid w:val="37D54C7F"/>
    <w:rsid w:val="37FB20A7"/>
    <w:rsid w:val="38201C94"/>
    <w:rsid w:val="39FCCD91"/>
    <w:rsid w:val="3A4D35D1"/>
    <w:rsid w:val="3A4E7498"/>
    <w:rsid w:val="3A5A09A0"/>
    <w:rsid w:val="3B5765D2"/>
    <w:rsid w:val="3B5D53A4"/>
    <w:rsid w:val="3B6A7F86"/>
    <w:rsid w:val="3D0F4B7A"/>
    <w:rsid w:val="3D5D864D"/>
    <w:rsid w:val="3DBDA271"/>
    <w:rsid w:val="3DFB2CD7"/>
    <w:rsid w:val="3DFD24E9"/>
    <w:rsid w:val="3EED6951"/>
    <w:rsid w:val="3FA024D2"/>
    <w:rsid w:val="40107D2A"/>
    <w:rsid w:val="40972DE9"/>
    <w:rsid w:val="416313CC"/>
    <w:rsid w:val="429522B1"/>
    <w:rsid w:val="44DC1567"/>
    <w:rsid w:val="47A0718D"/>
    <w:rsid w:val="47F24BFD"/>
    <w:rsid w:val="48D14818"/>
    <w:rsid w:val="48EC582F"/>
    <w:rsid w:val="496B6B7E"/>
    <w:rsid w:val="49B26D3A"/>
    <w:rsid w:val="4A0B0FF8"/>
    <w:rsid w:val="4AE743D1"/>
    <w:rsid w:val="4B7778F3"/>
    <w:rsid w:val="4C7D4F77"/>
    <w:rsid w:val="4FD668C8"/>
    <w:rsid w:val="4FDA22BC"/>
    <w:rsid w:val="4FFF9030"/>
    <w:rsid w:val="54366196"/>
    <w:rsid w:val="55A3FC64"/>
    <w:rsid w:val="56C30186"/>
    <w:rsid w:val="56D74E05"/>
    <w:rsid w:val="57913F1C"/>
    <w:rsid w:val="57B56387"/>
    <w:rsid w:val="57E5652D"/>
    <w:rsid w:val="5BDC04FE"/>
    <w:rsid w:val="5D77151A"/>
    <w:rsid w:val="5E3A5310"/>
    <w:rsid w:val="5F47490B"/>
    <w:rsid w:val="5F7E259C"/>
    <w:rsid w:val="5F88139F"/>
    <w:rsid w:val="5FCBD234"/>
    <w:rsid w:val="5FEFFD28"/>
    <w:rsid w:val="5FFC55B3"/>
    <w:rsid w:val="649D3743"/>
    <w:rsid w:val="66064385"/>
    <w:rsid w:val="66A8494F"/>
    <w:rsid w:val="66BDD775"/>
    <w:rsid w:val="67F83777"/>
    <w:rsid w:val="69BA2884"/>
    <w:rsid w:val="6A4B221F"/>
    <w:rsid w:val="6B2365BF"/>
    <w:rsid w:val="6C2B40DA"/>
    <w:rsid w:val="6DCF7DEB"/>
    <w:rsid w:val="6F6FB235"/>
    <w:rsid w:val="701E5854"/>
    <w:rsid w:val="707A2A49"/>
    <w:rsid w:val="707E1935"/>
    <w:rsid w:val="70FF3D63"/>
    <w:rsid w:val="71430F73"/>
    <w:rsid w:val="71630302"/>
    <w:rsid w:val="718D5813"/>
    <w:rsid w:val="71B30984"/>
    <w:rsid w:val="722D1045"/>
    <w:rsid w:val="72D2626B"/>
    <w:rsid w:val="735A76EC"/>
    <w:rsid w:val="73C05740"/>
    <w:rsid w:val="73E77F49"/>
    <w:rsid w:val="74DA0D6F"/>
    <w:rsid w:val="7556644F"/>
    <w:rsid w:val="75796011"/>
    <w:rsid w:val="75AC585F"/>
    <w:rsid w:val="75AD5420"/>
    <w:rsid w:val="76852F5D"/>
    <w:rsid w:val="776F157E"/>
    <w:rsid w:val="77750B91"/>
    <w:rsid w:val="77C4048F"/>
    <w:rsid w:val="793901AD"/>
    <w:rsid w:val="79835625"/>
    <w:rsid w:val="79EBF740"/>
    <w:rsid w:val="7AF9599C"/>
    <w:rsid w:val="7AFCF569"/>
    <w:rsid w:val="7B7FA67E"/>
    <w:rsid w:val="7BA668E2"/>
    <w:rsid w:val="7BE5D47C"/>
    <w:rsid w:val="7BF732CE"/>
    <w:rsid w:val="7BFF4997"/>
    <w:rsid w:val="7BFFB5F3"/>
    <w:rsid w:val="7C313C59"/>
    <w:rsid w:val="7C493D2B"/>
    <w:rsid w:val="7DEF4878"/>
    <w:rsid w:val="7EF7C012"/>
    <w:rsid w:val="7EF7C629"/>
    <w:rsid w:val="7EFCFAA3"/>
    <w:rsid w:val="7F20791F"/>
    <w:rsid w:val="7F7B46EA"/>
    <w:rsid w:val="7FED312A"/>
    <w:rsid w:val="7FEF5071"/>
    <w:rsid w:val="7FF72316"/>
    <w:rsid w:val="7FFC429C"/>
    <w:rsid w:val="7FFFEEE2"/>
    <w:rsid w:val="8BBF2D03"/>
    <w:rsid w:val="97FF629B"/>
    <w:rsid w:val="AF5F7C47"/>
    <w:rsid w:val="B6F69FE6"/>
    <w:rsid w:val="B6FD5BB3"/>
    <w:rsid w:val="BBCE5E2E"/>
    <w:rsid w:val="CDEFCD95"/>
    <w:rsid w:val="D2DD09CA"/>
    <w:rsid w:val="DEFD2D70"/>
    <w:rsid w:val="DFD7BDE7"/>
    <w:rsid w:val="EEF60FF4"/>
    <w:rsid w:val="EF57B12C"/>
    <w:rsid w:val="EFDEF8D4"/>
    <w:rsid w:val="F07FC2B8"/>
    <w:rsid w:val="F6BF1EC6"/>
    <w:rsid w:val="F6FFDDAF"/>
    <w:rsid w:val="F7F52BFF"/>
    <w:rsid w:val="F7FD0A05"/>
    <w:rsid w:val="F7FE7FA7"/>
    <w:rsid w:val="FB7FA1F0"/>
    <w:rsid w:val="FBB60DFA"/>
    <w:rsid w:val="FBCFEE64"/>
    <w:rsid w:val="FCDF1C72"/>
    <w:rsid w:val="FE72B781"/>
    <w:rsid w:val="FEF76011"/>
    <w:rsid w:val="FF7E4DD0"/>
    <w:rsid w:val="FF9F5F86"/>
    <w:rsid w:val="FFAB81A0"/>
    <w:rsid w:val="FFBEE313"/>
    <w:rsid w:val="FFBF4B47"/>
    <w:rsid w:val="FFBFF7A5"/>
    <w:rsid w:val="FFCBE6D1"/>
    <w:rsid w:val="FFE37F66"/>
    <w:rsid w:val="FFED349A"/>
    <w:rsid w:val="FFEF4037"/>
    <w:rsid w:val="FFFDC8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3">
    <w:name w:val="heading 1"/>
    <w:basedOn w:val="1"/>
    <w:next w:val="1"/>
    <w:qFormat/>
    <w:uiPriority w:val="0"/>
    <w:pPr>
      <w:keepNext/>
      <w:keepLines/>
      <w:numPr>
        <w:ilvl w:val="0"/>
        <w:numId w:val="1"/>
      </w:numPr>
      <w:spacing w:beforeLines="0" w:beforeAutospacing="0" w:afterLines="0" w:afterAutospacing="0" w:line="600" w:lineRule="exact"/>
      <w:ind w:firstLine="0" w:firstLineChars="0"/>
      <w:outlineLvl w:val="0"/>
    </w:pPr>
    <w:rPr>
      <w:rFonts w:ascii="Arial" w:hAnsi="Arial" w:eastAsia="宋体" w:cs="宋体"/>
      <w:snapToGrid w:val="0"/>
      <w:color w:val="000000"/>
      <w:kern w:val="44"/>
      <w:sz w:val="28"/>
      <w:szCs w:val="28"/>
      <w:lang w:eastAsia="en-US"/>
    </w:rPr>
  </w:style>
  <w:style w:type="paragraph" w:styleId="4">
    <w:name w:val="heading 2"/>
    <w:basedOn w:val="1"/>
    <w:next w:val="1"/>
    <w:semiHidden/>
    <w:unhideWhenUsed/>
    <w:qFormat/>
    <w:uiPriority w:val="0"/>
    <w:pPr>
      <w:keepNext/>
      <w:keepLines/>
      <w:numPr>
        <w:ilvl w:val="1"/>
        <w:numId w:val="1"/>
      </w:numPr>
      <w:spacing w:line="600" w:lineRule="exact"/>
      <w:ind w:left="0" w:firstLine="0" w:firstLineChars="0"/>
      <w:jc w:val="left"/>
      <w:outlineLvl w:val="1"/>
    </w:pPr>
    <w:rPr>
      <w:rFonts w:ascii="Arial" w:hAnsi="Arial" w:eastAsia="宋体" w:cs="Arial"/>
      <w:snapToGrid w:val="0"/>
      <w:color w:val="000000"/>
      <w:kern w:val="0"/>
      <w:sz w:val="28"/>
      <w:szCs w:val="21"/>
      <w:lang w:eastAsia="en-US"/>
    </w:rPr>
  </w:style>
  <w:style w:type="paragraph" w:styleId="5">
    <w:name w:val="heading 3"/>
    <w:basedOn w:val="1"/>
    <w:next w:val="1"/>
    <w:semiHidden/>
    <w:unhideWhenUsed/>
    <w:qFormat/>
    <w:uiPriority w:val="0"/>
    <w:pPr>
      <w:keepNext/>
      <w:keepLines/>
      <w:numPr>
        <w:ilvl w:val="2"/>
        <w:numId w:val="1"/>
      </w:numPr>
      <w:spacing w:before="260" w:beforeLines="0" w:beforeAutospacing="0" w:after="260" w:afterLines="0" w:afterAutospacing="0" w:line="413" w:lineRule="auto"/>
      <w:outlineLvl w:val="2"/>
    </w:pPr>
    <w:rPr>
      <w:b/>
      <w:sz w:val="32"/>
    </w:rPr>
  </w:style>
  <w:style w:type="paragraph" w:styleId="6">
    <w:name w:val="heading 4"/>
    <w:basedOn w:val="1"/>
    <w:next w:val="1"/>
    <w:semiHidden/>
    <w:unhideWhenUsed/>
    <w:qFormat/>
    <w:uiPriority w:val="0"/>
    <w:pPr>
      <w:keepNext/>
      <w:keepLines/>
      <w:numPr>
        <w:ilvl w:val="3"/>
        <w:numId w:val="1"/>
      </w:numPr>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semiHidden/>
    <w:unhideWhenUsed/>
    <w:qFormat/>
    <w:uiPriority w:val="0"/>
    <w:pPr>
      <w:keepNext/>
      <w:keepLines/>
      <w:numPr>
        <w:ilvl w:val="4"/>
        <w:numId w:val="1"/>
      </w:numPr>
      <w:spacing w:before="280" w:beforeLines="0" w:beforeAutospacing="0" w:after="290" w:afterLines="0" w:afterAutospacing="0" w:line="372" w:lineRule="auto"/>
      <w:outlineLvl w:val="4"/>
    </w:pPr>
    <w:rPr>
      <w:b/>
      <w:sz w:val="28"/>
    </w:rPr>
  </w:style>
  <w:style w:type="paragraph" w:styleId="8">
    <w:name w:val="heading 6"/>
    <w:basedOn w:val="1"/>
    <w:next w:val="1"/>
    <w:semiHidden/>
    <w:unhideWhenUsed/>
    <w:qFormat/>
    <w:uiPriority w:val="0"/>
    <w:pPr>
      <w:keepNext/>
      <w:keepLines/>
      <w:numPr>
        <w:ilvl w:val="5"/>
        <w:numId w:val="1"/>
      </w:numPr>
      <w:spacing w:before="240" w:beforeLines="0" w:beforeAutospacing="0" w:after="64" w:afterLines="0" w:afterAutospacing="0" w:line="317" w:lineRule="auto"/>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1"/>
      </w:numPr>
      <w:spacing w:before="240" w:beforeLines="0" w:beforeAutospacing="0" w:after="64" w:afterLines="0" w:afterAutospacing="0" w:line="317" w:lineRule="auto"/>
      <w:outlineLvl w:val="6"/>
    </w:pPr>
    <w:rPr>
      <w:b/>
      <w:sz w:val="24"/>
    </w:rPr>
  </w:style>
  <w:style w:type="paragraph" w:styleId="10">
    <w:name w:val="heading 8"/>
    <w:basedOn w:val="1"/>
    <w:next w:val="1"/>
    <w:semiHidden/>
    <w:unhideWhenUsed/>
    <w:qFormat/>
    <w:uiPriority w:val="0"/>
    <w:pPr>
      <w:keepNext/>
      <w:keepLines/>
      <w:numPr>
        <w:ilvl w:val="7"/>
        <w:numId w:val="1"/>
      </w:numPr>
      <w:spacing w:before="240" w:beforeLines="0" w:beforeAutospacing="0" w:after="64" w:afterLines="0" w:afterAutospacing="0" w:line="317" w:lineRule="auto"/>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1"/>
      </w:numPr>
      <w:spacing w:before="240" w:beforeLines="0" w:beforeAutospacing="0" w:after="64" w:afterLines="0" w:afterAutospacing="0" w:line="317" w:lineRule="auto"/>
      <w:outlineLvl w:val="8"/>
    </w:pPr>
    <w:rPr>
      <w:rFonts w:ascii="Arial" w:hAnsi="Arial" w:eastAsia="黑体"/>
      <w:sz w:val="21"/>
    </w:rPr>
  </w:style>
  <w:style w:type="character" w:default="1" w:styleId="26">
    <w:name w:val="Default Paragraph Font"/>
    <w:semiHidden/>
    <w:qFormat/>
    <w:uiPriority w:val="0"/>
  </w:style>
  <w:style w:type="table" w:default="1" w:styleId="24">
    <w:name w:val="Normal Table"/>
    <w:semiHidden/>
    <w:qFormat/>
    <w:uiPriority w:val="0"/>
    <w:tblPr>
      <w:tblCellMar>
        <w:top w:w="0" w:type="dxa"/>
        <w:left w:w="108" w:type="dxa"/>
        <w:bottom w:w="0" w:type="dxa"/>
        <w:right w:w="108" w:type="dxa"/>
      </w:tblCellMar>
    </w:tblPr>
  </w:style>
  <w:style w:type="paragraph" w:styleId="2">
    <w:name w:val="Block Text"/>
    <w:basedOn w:val="1"/>
    <w:next w:val="1"/>
    <w:qFormat/>
    <w:uiPriority w:val="0"/>
    <w:pPr>
      <w:spacing w:after="120"/>
      <w:ind w:left="1440" w:leftChars="700" w:right="1440" w:rightChars="700"/>
    </w:pPr>
  </w:style>
  <w:style w:type="paragraph" w:styleId="12">
    <w:name w:val="annotation text"/>
    <w:basedOn w:val="1"/>
    <w:qFormat/>
    <w:uiPriority w:val="0"/>
    <w:pPr>
      <w:jc w:val="left"/>
    </w:pPr>
  </w:style>
  <w:style w:type="paragraph" w:styleId="13">
    <w:name w:val="Body Text"/>
    <w:basedOn w:val="1"/>
    <w:semiHidden/>
    <w:qFormat/>
    <w:uiPriority w:val="0"/>
    <w:rPr>
      <w:rFonts w:ascii="Arial" w:hAnsi="Arial" w:eastAsia="Arial" w:cs="Arial"/>
      <w:sz w:val="21"/>
      <w:szCs w:val="21"/>
      <w:lang w:val="en-US" w:eastAsia="en-US" w:bidi="ar-SA"/>
    </w:rPr>
  </w:style>
  <w:style w:type="paragraph" w:styleId="14">
    <w:name w:val="Body Text Indent"/>
    <w:basedOn w:val="1"/>
    <w:unhideWhenUsed/>
    <w:qFormat/>
    <w:uiPriority w:val="99"/>
    <w:pPr>
      <w:spacing w:after="120"/>
      <w:ind w:left="420" w:leftChars="200"/>
    </w:pPr>
  </w:style>
  <w:style w:type="paragraph" w:styleId="15">
    <w:name w:val="toc 5"/>
    <w:basedOn w:val="1"/>
    <w:next w:val="1"/>
    <w:qFormat/>
    <w:uiPriority w:val="0"/>
    <w:pPr>
      <w:spacing w:line="580" w:lineRule="exact"/>
      <w:ind w:left="1200" w:leftChars="400"/>
    </w:pPr>
    <w:rPr>
      <w:rFonts w:ascii="仿宋_GB2312" w:hAnsi="仿宋_GB2312" w:eastAsia="仿宋_GB2312"/>
      <w:sz w:val="30"/>
      <w:szCs w:val="32"/>
    </w:rPr>
  </w:style>
  <w:style w:type="paragraph" w:styleId="16">
    <w:name w:val="toc 3"/>
    <w:basedOn w:val="1"/>
    <w:next w:val="1"/>
    <w:qFormat/>
    <w:uiPriority w:val="0"/>
    <w:pPr>
      <w:spacing w:line="580" w:lineRule="exact"/>
      <w:ind w:left="600" w:leftChars="200"/>
    </w:pPr>
    <w:rPr>
      <w:rFonts w:ascii="仿宋_GB2312" w:hAnsi="仿宋_GB2312" w:eastAsia="仿宋"/>
      <w:sz w:val="30"/>
      <w:szCs w:val="32"/>
    </w:rPr>
  </w:style>
  <w:style w:type="paragraph" w:styleId="17">
    <w:name w:val="footer"/>
    <w:basedOn w:val="1"/>
    <w:qFormat/>
    <w:uiPriority w:val="0"/>
    <w:pPr>
      <w:tabs>
        <w:tab w:val="center" w:pos="4153"/>
        <w:tab w:val="right" w:pos="8306"/>
      </w:tabs>
      <w:snapToGrid w:val="0"/>
      <w:jc w:val="left"/>
    </w:pPr>
    <w:rPr>
      <w:sz w:val="18"/>
    </w:rPr>
  </w:style>
  <w:style w:type="paragraph" w:styleId="1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9">
    <w:name w:val="toc 1"/>
    <w:basedOn w:val="1"/>
    <w:next w:val="1"/>
    <w:qFormat/>
    <w:uiPriority w:val="0"/>
    <w:pPr>
      <w:tabs>
        <w:tab w:val="right" w:leader="dot" w:pos="8296"/>
      </w:tabs>
      <w:spacing w:line="580" w:lineRule="exact"/>
    </w:pPr>
    <w:rPr>
      <w:rFonts w:ascii="黑体" w:hAnsi="黑体" w:eastAsia="黑体" w:cs="Times New Roman"/>
      <w:sz w:val="30"/>
      <w:szCs w:val="30"/>
    </w:rPr>
  </w:style>
  <w:style w:type="paragraph" w:styleId="20">
    <w:name w:val="toc 4"/>
    <w:basedOn w:val="1"/>
    <w:next w:val="1"/>
    <w:qFormat/>
    <w:uiPriority w:val="0"/>
    <w:pPr>
      <w:spacing w:line="580" w:lineRule="exact"/>
      <w:ind w:left="900" w:leftChars="300"/>
    </w:pPr>
    <w:rPr>
      <w:rFonts w:ascii="仿宋_GB2312" w:hAnsi="仿宋_GB2312" w:eastAsia="仿宋_GB2312"/>
      <w:sz w:val="30"/>
      <w:szCs w:val="32"/>
    </w:rPr>
  </w:style>
  <w:style w:type="paragraph" w:styleId="21">
    <w:name w:val="toc 2"/>
    <w:basedOn w:val="1"/>
    <w:next w:val="1"/>
    <w:qFormat/>
    <w:uiPriority w:val="0"/>
    <w:pPr>
      <w:spacing w:line="580" w:lineRule="exact"/>
      <w:ind w:left="420" w:leftChars="200"/>
    </w:pPr>
    <w:rPr>
      <w:rFonts w:ascii="Calibri" w:hAnsi="Calibri" w:eastAsia="宋体" w:cs="Times New Roman"/>
      <w:sz w:val="30"/>
      <w:szCs w:val="22"/>
    </w:rPr>
  </w:style>
  <w:style w:type="paragraph" w:styleId="22">
    <w:name w:val="Normal (Web)"/>
    <w:qFormat/>
    <w:uiPriority w:val="0"/>
    <w:pPr>
      <w:widowControl w:val="0"/>
      <w:spacing w:beforeAutospacing="1" w:afterAutospacing="1"/>
      <w:jc w:val="left"/>
    </w:pPr>
    <w:rPr>
      <w:rFonts w:cs="Times New Roman" w:asciiTheme="minorHAnsi" w:hAnsiTheme="minorHAnsi" w:eastAsiaTheme="minorEastAsia"/>
      <w:kern w:val="0"/>
      <w:sz w:val="24"/>
      <w:szCs w:val="24"/>
      <w:lang w:val="en-US" w:eastAsia="zh-CN" w:bidi="ar-SA"/>
    </w:rPr>
  </w:style>
  <w:style w:type="paragraph" w:styleId="23">
    <w:name w:val="Body Text First Indent 2"/>
    <w:basedOn w:val="14"/>
    <w:next w:val="1"/>
    <w:unhideWhenUsed/>
    <w:qFormat/>
    <w:uiPriority w:val="99"/>
    <w:pPr>
      <w:ind w:firstLine="420"/>
    </w:p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qFormat/>
    <w:uiPriority w:val="0"/>
    <w:rPr>
      <w:color w:val="0000FF"/>
      <w:u w:val="single"/>
    </w:rPr>
  </w:style>
  <w:style w:type="paragraph" w:customStyle="1" w:styleId="28">
    <w:name w:val="附录章标题"/>
    <w:next w:val="29"/>
    <w:qFormat/>
    <w:uiPriority w:val="0"/>
    <w:pPr>
      <w:numPr>
        <w:ilvl w:val="1"/>
        <w:numId w:val="2"/>
      </w:numPr>
      <w:tabs>
        <w:tab w:val="left" w:pos="360"/>
      </w:tabs>
      <w:wordWrap w:val="0"/>
      <w:overflowPunct w:val="0"/>
      <w:autoSpaceDE w:val="0"/>
      <w:spacing w:before="100" w:beforeLines="100" w:after="100" w:afterLines="100"/>
      <w:ind w:left="0"/>
      <w:jc w:val="both"/>
      <w:textAlignment w:val="baseline"/>
      <w:outlineLvl w:val="1"/>
    </w:pPr>
    <w:rPr>
      <w:rFonts w:ascii="黑体" w:hAnsi="Times New Roman" w:eastAsia="黑体" w:cs="Times New Roman"/>
      <w:kern w:val="21"/>
      <w:sz w:val="21"/>
      <w:lang w:val="en-US" w:eastAsia="zh-CN" w:bidi="ar-SA"/>
    </w:rPr>
  </w:style>
  <w:style w:type="paragraph" w:customStyle="1" w:styleId="29">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30">
    <w:name w:val="font41"/>
    <w:basedOn w:val="26"/>
    <w:qFormat/>
    <w:uiPriority w:val="0"/>
    <w:rPr>
      <w:rFonts w:ascii="黑体" w:hAnsi="宋体" w:eastAsia="黑体" w:cs="黑体"/>
      <w:b/>
      <w:bCs/>
      <w:color w:val="000000"/>
      <w:sz w:val="32"/>
      <w:szCs w:val="32"/>
      <w:u w:val="none"/>
    </w:rPr>
  </w:style>
  <w:style w:type="character" w:customStyle="1" w:styleId="31">
    <w:name w:val="font51"/>
    <w:basedOn w:val="26"/>
    <w:qFormat/>
    <w:uiPriority w:val="0"/>
    <w:rPr>
      <w:rFonts w:ascii="宋体" w:hAnsi="宋体" w:eastAsia="宋体" w:cs="宋体"/>
      <w:color w:val="000000"/>
      <w:sz w:val="22"/>
      <w:szCs w:val="22"/>
      <w:u w:val="none"/>
    </w:rPr>
  </w:style>
  <w:style w:type="character" w:customStyle="1" w:styleId="32">
    <w:name w:val="font61"/>
    <w:basedOn w:val="26"/>
    <w:qFormat/>
    <w:uiPriority w:val="0"/>
    <w:rPr>
      <w:rFonts w:ascii="黑体" w:hAnsi="宋体" w:eastAsia="黑体" w:cs="黑体"/>
      <w:color w:val="000000"/>
      <w:sz w:val="22"/>
      <w:szCs w:val="22"/>
      <w:u w:val="none"/>
    </w:rPr>
  </w:style>
  <w:style w:type="character" w:customStyle="1" w:styleId="33">
    <w:name w:val="font71"/>
    <w:basedOn w:val="26"/>
    <w:qFormat/>
    <w:uiPriority w:val="0"/>
    <w:rPr>
      <w:rFonts w:hint="default" w:ascii="Arial" w:hAnsi="Arial" w:cs="Arial"/>
      <w:color w:val="000000"/>
      <w:sz w:val="22"/>
      <w:szCs w:val="22"/>
      <w:u w:val="none"/>
    </w:rPr>
  </w:style>
  <w:style w:type="character" w:customStyle="1" w:styleId="34">
    <w:name w:val="font21"/>
    <w:basedOn w:val="26"/>
    <w:qFormat/>
    <w:uiPriority w:val="0"/>
    <w:rPr>
      <w:rFonts w:ascii="宋体" w:hAnsi="宋体" w:eastAsia="宋体" w:cs="宋体"/>
      <w:color w:val="000000"/>
      <w:sz w:val="22"/>
      <w:szCs w:val="22"/>
      <w:u w:val="none"/>
    </w:rPr>
  </w:style>
  <w:style w:type="paragraph" w:customStyle="1" w:styleId="35">
    <w:name w:val="附录图标题"/>
    <w:basedOn w:val="1"/>
    <w:next w:val="29"/>
    <w:qFormat/>
    <w:uiPriority w:val="0"/>
    <w:pPr>
      <w:numPr>
        <w:ilvl w:val="1"/>
        <w:numId w:val="3"/>
      </w:numPr>
      <w:tabs>
        <w:tab w:val="left" w:pos="363"/>
      </w:tabs>
      <w:spacing w:beforeLines="50" w:afterLines="50"/>
      <w:ind w:left="0" w:firstLine="0"/>
      <w:jc w:val="center"/>
    </w:pPr>
    <w:rPr>
      <w:rFonts w:ascii="黑体" w:eastAsia="黑体"/>
      <w:szCs w:val="21"/>
    </w:rPr>
  </w:style>
  <w:style w:type="character" w:customStyle="1" w:styleId="36">
    <w:name w:val="font31"/>
    <w:basedOn w:val="26"/>
    <w:qFormat/>
    <w:uiPriority w:val="0"/>
    <w:rPr>
      <w:rFonts w:hint="eastAsia" w:ascii="宋体" w:hAnsi="宋体" w:eastAsia="宋体" w:cs="宋体"/>
      <w:color w:val="000000"/>
      <w:sz w:val="22"/>
      <w:szCs w:val="22"/>
      <w:u w:val="none"/>
    </w:rPr>
  </w:style>
  <w:style w:type="table" w:customStyle="1" w:styleId="37">
    <w:name w:val="Table Normal"/>
    <w:semiHidden/>
    <w:unhideWhenUsed/>
    <w:qFormat/>
    <w:uiPriority w:val="0"/>
    <w:tblPr>
      <w:tblCellMar>
        <w:top w:w="0" w:type="dxa"/>
        <w:left w:w="0" w:type="dxa"/>
        <w:bottom w:w="0" w:type="dxa"/>
        <w:right w:w="0" w:type="dxa"/>
      </w:tblCellMar>
    </w:tblPr>
  </w:style>
  <w:style w:type="paragraph" w:customStyle="1" w:styleId="38">
    <w:name w:val="Body Text First Indent 21"/>
    <w:basedOn w:val="39"/>
    <w:qFormat/>
    <w:uiPriority w:val="99"/>
    <w:pPr>
      <w:ind w:firstLine="420"/>
    </w:pPr>
  </w:style>
  <w:style w:type="paragraph" w:customStyle="1" w:styleId="39">
    <w:name w:val="Body Text Indent1"/>
    <w:basedOn w:val="1"/>
    <w:qFormat/>
    <w:uiPriority w:val="99"/>
    <w:pPr>
      <w:spacing w:line="360" w:lineRule="auto"/>
      <w:ind w:firstLine="200" w:firstLineChars="200"/>
      <w:textAlignment w:val="baseline"/>
    </w:pPr>
    <w:rPr>
      <w:sz w:val="24"/>
      <w:szCs w:val="24"/>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1.wmf"/><Relationship Id="rId7" Type="http://schemas.openxmlformats.org/officeDocument/2006/relationships/oleObject" Target="embeddings/oleObject1.bin"/><Relationship Id="rId6" Type="http://schemas.openxmlformats.org/officeDocument/2006/relationships/theme" Target="theme/theme1.xml"/><Relationship Id="rId5" Type="http://schemas.openxmlformats.org/officeDocument/2006/relationships/footer" Target="footer1.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oleObject" Target="embeddings/oleObject16.bin"/><Relationship Id="rId37" Type="http://schemas.openxmlformats.org/officeDocument/2006/relationships/image" Target="media/image16.wmf"/><Relationship Id="rId36" Type="http://schemas.openxmlformats.org/officeDocument/2006/relationships/oleObject" Target="embeddings/oleObject15.bin"/><Relationship Id="rId35" Type="http://schemas.openxmlformats.org/officeDocument/2006/relationships/image" Target="media/image15.wmf"/><Relationship Id="rId34" Type="http://schemas.openxmlformats.org/officeDocument/2006/relationships/oleObject" Target="embeddings/oleObject14.bin"/><Relationship Id="rId33" Type="http://schemas.openxmlformats.org/officeDocument/2006/relationships/image" Target="media/image14.wmf"/><Relationship Id="rId32" Type="http://schemas.openxmlformats.org/officeDocument/2006/relationships/oleObject" Target="embeddings/oleObject13.bin"/><Relationship Id="rId31" Type="http://schemas.openxmlformats.org/officeDocument/2006/relationships/image" Target="media/image13.wmf"/><Relationship Id="rId30" Type="http://schemas.openxmlformats.org/officeDocument/2006/relationships/oleObject" Target="embeddings/oleObject12.bin"/><Relationship Id="rId3" Type="http://schemas.openxmlformats.org/officeDocument/2006/relationships/footnotes" Target="footnotes.xml"/><Relationship Id="rId29" Type="http://schemas.openxmlformats.org/officeDocument/2006/relationships/image" Target="media/image12.png"/><Relationship Id="rId28" Type="http://schemas.openxmlformats.org/officeDocument/2006/relationships/image" Target="media/image11.wmf"/><Relationship Id="rId27" Type="http://schemas.openxmlformats.org/officeDocument/2006/relationships/oleObject" Target="embeddings/oleObject11.bin"/><Relationship Id="rId26" Type="http://schemas.openxmlformats.org/officeDocument/2006/relationships/image" Target="media/image10.wmf"/><Relationship Id="rId25" Type="http://schemas.openxmlformats.org/officeDocument/2006/relationships/oleObject" Target="embeddings/oleObject10.bin"/><Relationship Id="rId24" Type="http://schemas.openxmlformats.org/officeDocument/2006/relationships/image" Target="media/image9.wmf"/><Relationship Id="rId23" Type="http://schemas.openxmlformats.org/officeDocument/2006/relationships/oleObject" Target="embeddings/oleObject9.bin"/><Relationship Id="rId22" Type="http://schemas.openxmlformats.org/officeDocument/2006/relationships/image" Target="media/image8.wmf"/><Relationship Id="rId21" Type="http://schemas.openxmlformats.org/officeDocument/2006/relationships/oleObject" Target="embeddings/oleObject8.bin"/><Relationship Id="rId20" Type="http://schemas.openxmlformats.org/officeDocument/2006/relationships/image" Target="media/image7.wmf"/><Relationship Id="rId2" Type="http://schemas.openxmlformats.org/officeDocument/2006/relationships/settings" Target="settings.xml"/><Relationship Id="rId19" Type="http://schemas.openxmlformats.org/officeDocument/2006/relationships/oleObject" Target="embeddings/oleObject7.bin"/><Relationship Id="rId18" Type="http://schemas.openxmlformats.org/officeDocument/2006/relationships/image" Target="media/image6.wmf"/><Relationship Id="rId17" Type="http://schemas.openxmlformats.org/officeDocument/2006/relationships/oleObject" Target="embeddings/oleObject6.bin"/><Relationship Id="rId16" Type="http://schemas.openxmlformats.org/officeDocument/2006/relationships/image" Target="media/image5.wmf"/><Relationship Id="rId15" Type="http://schemas.openxmlformats.org/officeDocument/2006/relationships/oleObject" Target="embeddings/oleObject5.bin"/><Relationship Id="rId14" Type="http://schemas.openxmlformats.org/officeDocument/2006/relationships/image" Target="media/image4.wmf"/><Relationship Id="rId13" Type="http://schemas.openxmlformats.org/officeDocument/2006/relationships/oleObject" Target="embeddings/oleObject4.bin"/><Relationship Id="rId12" Type="http://schemas.openxmlformats.org/officeDocument/2006/relationships/image" Target="media/image3.wmf"/><Relationship Id="rId11" Type="http://schemas.openxmlformats.org/officeDocument/2006/relationships/oleObject" Target="embeddings/oleObject3.bin"/><Relationship Id="rId10" Type="http://schemas.openxmlformats.org/officeDocument/2006/relationships/image" Target="media/image2.wmf"/><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C7EDCC"/>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xmlns="http://schemas.wps.cn/vas-ai-hub/contract-review">
    <reviewItem xmlns="http://schemas.wps.cn/vas-ai-hub/contract-review">
      <errorID xmlns="http://schemas.wps.cn/vas-ai-hub/contract-review">3993d09f-32e1-4af5-9cbc-404399b50b83</errorID>
      <errorWord xmlns="http://schemas.wps.cn/vas-ai-hub/contract-review">（</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（加</item>
      </candidateList>
      <explain xmlns="http://schemas.wps.cn/vas-ai-hub/contract-review"/>
      <paraID xmlns="http://schemas.wps.cn/vas-ai-hub/contract-review"> B6E8833</paraID>
      <start xmlns="http://schemas.wps.cn/vas-ai-hub/contract-review">50</start>
      <end xmlns="http://schemas.wps.cn/vas-ai-hub/contract-review">51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9b0f6662-4617-4654-a5cd-34d54063a401</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
      <paraID xmlns="http://schemas.wps.cn/vas-ai-hub/contract-review">1D30252A</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4eb8b97e-7bb3-4512-a71d-1c0bb1df7c86</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
      <paraID xmlns="http://schemas.wps.cn/vas-ai-hub/contract-review">768E7FE9</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5d219806-c264-45ed-9d25-d6d7377233f6</errorID>
      <errorWord xmlns="http://schemas.wps.cn/vas-ai-hub/contract-review">一、企业基本信息表</errorWord>
      <group xmlns="http://schemas.wps.cn/vas-ai-hub/contract-review">L1_AI</group>
      <groupName xmlns="http://schemas.wps.cn/vas-ai-hub/contract-review">深度校对</groupName>
      <ability xmlns="http://schemas.wps.cn/vas-ai-hub/contract-review">L2_AI_Title</ability>
      <abilityName xmlns="http://schemas.wps.cn/vas-ai-hub/contract-review">标题检查</abilityName>
      <candidateList xmlns="http://schemas.wps.cn/vas-ai-hub/contract-review"/>
      <explain xmlns="http://schemas.wps.cn/vas-ai-hub/contract-review">相邻标题序号不连续。前文已有一级标题“一、请各县（市、区）工信部门对照石家庄市国家级、省级绿色制造名单统计表（见附件1），深入剖析补短板，凝心聚力促提升。”至“四、请各县（市、区）工业和信息化主管部门对申报企业的有关情况、资料进行初审，于3月31日前将推荐意见（盖公章）、推荐汇总表（见附件4）、石家庄市绿色工厂申报材料（纸质装订版一份，附电子版U盘）报市工业和信息化局（节能与综合利用科）。”，此处一级标题应从“五、”开始，而直接出现“一、企业基本信息表”，序号不连续。后续一级标题‘二、基本要求’、‘三、评价指标表’、‘四、真实性声明’、‘五、附件’均存在此问题。</explain>
      <paraID xmlns="http://schemas.wps.cn/vas-ai-hub/contract-review">2E919EA3</paraID>
      <start xmlns="http://schemas.wps.cn/vas-ai-hub/contract-review">0</start>
      <end xmlns="http://schemas.wps.cn/vas-ai-hub/contract-review">9</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5d1b4f0a-bd33-4771-8dbb-54c1e4138d03</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item xmlns="http://schemas.wps.cn/vas-ai-hub/contract-review">“</item>
      </candidateList>
      <explain xmlns="http://schemas.wps.cn/vas-ai-hub/contract-review"/>
      <paraID xmlns="http://schemas.wps.cn/vas-ai-hub/contract-review">76FC3D28</paraID>
      <start xmlns="http://schemas.wps.cn/vas-ai-hub/contract-review">15</start>
      <end xmlns="http://schemas.wps.cn/vas-ai-hub/contract-review">17</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bbbd3578-9f5f-45dc-b467-48621e61d88d</errorID>
      <errorWord xmlns="http://schemas.wps.cn/vas-ai-hub/contract-review">三以内</errorWord>
      <group xmlns="http://schemas.wps.cn/vas-ai-hub/contract-review">L1_AI</group>
      <groupName xmlns="http://schemas.wps.cn/vas-ai-hub/contract-review">深度校对</groupName>
      <ability xmlns="http://schemas.wps.cn/vas-ai-hub/contract-review">L2_AI_Grammar</ability>
      <abilityName xmlns="http://schemas.wps.cn/vas-ai-hub/contract-review">语法纠错</abilityName>
      <candidateList xmlns="http://schemas.wps.cn/vas-ai-hub/contract-review">
        <item xmlns="http://schemas.wps.cn/vas-ai-hub/contract-review">三</item>
      </candidateList>
      <explain xmlns="http://schemas.wps.cn/vas-ai-hub/contract-review"/>
      <paraID xmlns="http://schemas.wps.cn/vas-ai-hub/contract-review">7DFBE160</paraID>
      <start xmlns="http://schemas.wps.cn/vas-ai-hub/contract-review">51</start>
      <end xmlns="http://schemas.wps.cn/vas-ai-hub/contract-review">54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275569f5-873f-4b0a-96bd-29b31a01c454</errorID>
      <errorWord xmlns="http://schemas.wps.cn/vas-ai-hub/contract-review">产品三</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产品</item>
      </candidateList>
      <explain xmlns="http://schemas.wps.cn/vas-ai-hub/contract-review">〈名〉生产出来的物品：农～｜畜～｜～出厂都要经过检验。</explain>
      <paraID xmlns="http://schemas.wps.cn/vas-ai-hub/contract-review">3ABEB0FD</paraID>
      <start xmlns="http://schemas.wps.cn/vas-ai-hub/contract-review">1</start>
      <end xmlns="http://schemas.wps.cn/vas-ai-hub/contract-review">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6353be72-5dd4-4b08-979d-28a83aa03489</errorID>
      <errorWord xmlns="http://schemas.wps.cn/vas-ai-hub/contract-review">三以内</errorWord>
      <group xmlns="http://schemas.wps.cn/vas-ai-hub/contract-review">L1_AI</group>
      <groupName xmlns="http://schemas.wps.cn/vas-ai-hub/contract-review">深度校对</groupName>
      <ability xmlns="http://schemas.wps.cn/vas-ai-hub/contract-review">L2_AI_Grammar</ability>
      <abilityName xmlns="http://schemas.wps.cn/vas-ai-hub/contract-review">语法纠错</abilityName>
      <candidateList xmlns="http://schemas.wps.cn/vas-ai-hub/contract-review">
        <item xmlns="http://schemas.wps.cn/vas-ai-hub/contract-review">三</item>
      </candidateList>
      <explain xmlns="http://schemas.wps.cn/vas-ai-hub/contract-review"/>
      <paraID xmlns="http://schemas.wps.cn/vas-ai-hub/contract-review">2FB6C39B</paraID>
      <start xmlns="http://schemas.wps.cn/vas-ai-hub/contract-review">46</start>
      <end xmlns="http://schemas.wps.cn/vas-ai-hub/contract-review">49</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16f43f96-1a6d-4622-8f56-a63a14501e3a</errorID>
      <errorWord xmlns="http://schemas.wps.cn/vas-ai-hub/contract-review">产品三</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产品</item>
      </candidateList>
      <explain xmlns="http://schemas.wps.cn/vas-ai-hub/contract-review">〈名〉生产出来的物品：农～｜畜～｜～出厂都要经过检验。</explain>
      <paraID xmlns="http://schemas.wps.cn/vas-ai-hub/contract-review"> B5C9CF2</paraID>
      <start xmlns="http://schemas.wps.cn/vas-ai-hub/contract-review">1</start>
      <end xmlns="http://schemas.wps.cn/vas-ai-hub/contract-review">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e797a1c6-ee5f-45a2-82db-7e995ee71e59</errorID>
      <errorWord xmlns="http://schemas.wps.cn/vas-ai-hub/contract-review">（一）基本要求附件</errorWord>
      <group xmlns="http://schemas.wps.cn/vas-ai-hub/contract-review">L1_AI</group>
      <groupName xmlns="http://schemas.wps.cn/vas-ai-hub/contract-review">深度校对</groupName>
      <ability xmlns="http://schemas.wps.cn/vas-ai-hub/contract-review">L2_AI_Title</ability>
      <abilityName xmlns="http://schemas.wps.cn/vas-ai-hub/contract-review">标题检查</abilityName>
      <candidateList xmlns="http://schemas.wps.cn/vas-ai-hub/contract-review"/>
      <explain xmlns="http://schemas.wps.cn/vas-ai-hub/contract-review">相邻标题序号不连续。前文未出现过二级标题，此处二级标题‘（一）基本要求附件’序号无前文衔接，且后续出现的‘0.1.1企业营业执照’等标题序号格式与‘（一）基本要求附件’不一致，同时‘0.1.1企业营业执照’等标题序号也无合理的层级逻辑和前文衔接。</explain>
      <paraID xmlns="http://schemas.wps.cn/vas-ai-hub/contract-review">2836F135</paraID>
      <start xmlns="http://schemas.wps.cn/vas-ai-hub/contract-review">0</start>
      <end xmlns="http://schemas.wps.cn/vas-ai-hub/contract-review">9</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5edd22b0-7bb3-47d6-a8a6-76cb105e2730</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item xmlns="http://schemas.wps.cn/vas-ai-hub/contract-review">）</item>
      </candidateList>
      <explain xmlns="http://schemas.wps.cn/vas-ai-hub/contract-review"/>
      <paraID xmlns="http://schemas.wps.cn/vas-ai-hub/contract-review">52F4D0AA</paraID>
      <start xmlns="http://schemas.wps.cn/vas-ai-hub/contract-review">40</start>
      <end xmlns="http://schemas.wps.cn/vas-ai-hub/contract-review">42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e0f80aba-d0f7-4095-a11b-b106681cf8c3</errorID>
      <errorWord xmlns="http://schemas.wps.cn/vas-ai-hub/contract-review">年</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年度</item>
      </candidateList>
      <explain xmlns="http://schemas.wps.cn/vas-ai-hub/contract-review"/>
      <paraID xmlns="http://schemas.wps.cn/vas-ai-hub/contract-review">5DB3065D</paraID>
      <start xmlns="http://schemas.wps.cn/vas-ai-hub/contract-review">7</start>
      <end xmlns="http://schemas.wps.cn/vas-ai-hub/contract-review">8</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fea6652e-5bd2-4ecf-8073-d9fa46331cea</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同一形式括号套用。</explain>
      <paraID xmlns="http://schemas.wps.cn/vas-ai-hub/contract-review">26A0320B</paraID>
      <start xmlns="http://schemas.wps.cn/vas-ai-hub/contract-review">111</start>
      <end xmlns="http://schemas.wps.cn/vas-ai-hub/contract-review">112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4124a990-1142-4fe4-b106-8291dcdcaea9</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同一形式括号套用。</explain>
      <paraID xmlns="http://schemas.wps.cn/vas-ai-hub/contract-review">26A0320B</paraID>
      <start xmlns="http://schemas.wps.cn/vas-ai-hub/contract-review">187</start>
      <end xmlns="http://schemas.wps.cn/vas-ai-hub/contract-review">188</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9547ebc7-67b4-4da7-a33a-0b6e554795da</errorID>
      <errorWord xmlns="http://schemas.wps.cn/vas-ai-hub/contract-review">）</errorWord>
      <group xmlns="http://schemas.wps.cn/vas-ai-hub/contract-review">L1_Punc</group>
      <groupName xmlns="http://schemas.wps.cn/vas-ai-hub/contract-review">标点问题</groupName>
      <ability xmlns="http://schemas.wps.cn/vas-ai-hub/contract-review">L2_Punc</ability>
      <abilityName xmlns="http://schemas.wps.cn/vas-ai-hub/contract-review">标点符号检查</abilityName>
      <candidateList xmlns="http://schemas.wps.cn/vas-ai-hub/contract-review"/>
      <explain xmlns="http://schemas.wps.cn/vas-ai-hub/contract-review">同一形式括号套用。</explain>
      <paraID xmlns="http://schemas.wps.cn/vas-ai-hub/contract-review">26A0320B</paraID>
      <start xmlns="http://schemas.wps.cn/vas-ai-hub/contract-review">191</start>
      <end xmlns="http://schemas.wps.cn/vas-ai-hub/contract-review">192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2fa3c556-3a7c-46ad-870d-d52426797898</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3AD86A7B</paraID>
      <start xmlns="http://schemas.wps.cn/vas-ai-hub/contract-review">4</start>
      <end xmlns="http://schemas.wps.cn/vas-ai-hub/contract-review">5</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5392540c-c20a-42a7-976e-196bdf0ec7ff</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1CD9F0B5</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7d471747-1d9d-4cdc-9003-9523d36df3c5</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1CD9F0B5</paraID>
      <start xmlns="http://schemas.wps.cn/vas-ai-hub/contract-review">4</start>
      <end xmlns="http://schemas.wps.cn/vas-ai-hub/contract-review">5</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35509348-4323-42e9-aeb6-71d2620d2fd9</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7CD9F2FD</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7b173c99-eb43-4172-b987-1abeb64b5215</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7CD9F2FD</paraID>
      <start xmlns="http://schemas.wps.cn/vas-ai-hub/contract-review">4</start>
      <end xmlns="http://schemas.wps.cn/vas-ai-hub/contract-review">5</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334d7d40-eef7-466e-865c-1bc9375d72f7</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2B623EB0</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a0e64d89-dc4f-469e-aab2-f1ceaa7ad733</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2B623EB0</paraID>
      <start xmlns="http://schemas.wps.cn/vas-ai-hub/contract-review">4</start>
      <end xmlns="http://schemas.wps.cn/vas-ai-hub/contract-review">5</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d6116071-3710-4351-8b9e-3d6798d59019</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7216F384</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8e9cb873-ebca-4727-8491-9fa0c23e05ba</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7216F384</paraID>
      <start xmlns="http://schemas.wps.cn/vas-ai-hub/contract-review">3</start>
      <end xmlns="http://schemas.wps.cn/vas-ai-hub/contract-review">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e2e5f1a6-d730-4056-adbe-bc07a1559a75</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 376121B</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e935198b-970e-4ff7-b7a0-c4f50a91fe01</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 376121B</paraID>
      <start xmlns="http://schemas.wps.cn/vas-ai-hub/contract-review">3</start>
      <end xmlns="http://schemas.wps.cn/vas-ai-hub/contract-review">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c1e01545-8d8e-433e-aa96-fa43b2b60757</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1741111D</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ab53c73d-6491-4572-867d-f79a8b3669a2</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1741111D</paraID>
      <start xmlns="http://schemas.wps.cn/vas-ai-hub/contract-review">3</start>
      <end xmlns="http://schemas.wps.cn/vas-ai-hub/contract-review">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74fe2f65-1012-44a5-a6e2-744e5fec2e3b</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50122151</paraID>
      <start xmlns="http://schemas.wps.cn/vas-ai-hub/contract-review">0</start>
      <end xmlns="http://schemas.wps.cn/vas-ai-hub/contract-review">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d486990d-41b8-412f-9d6f-9481578e21a2</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50122151</paraID>
      <start xmlns="http://schemas.wps.cn/vas-ai-hub/contract-review">3</start>
      <end xmlns="http://schemas.wps.cn/vas-ai-hub/contract-review">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ed872f4d-0799-4c5d-a88b-efcdf3b59175</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64863931</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1d4df9fc-7ff2-465b-a986-dc0fa878cd36</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64863931</paraID>
      <start xmlns="http://schemas.wps.cn/vas-ai-hub/contract-review">7</start>
      <end xmlns="http://schemas.wps.cn/vas-ai-hub/contract-review">8</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4100a3e1-bdc6-4056-86f3-3fb66c5de53b</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 5F1269E</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9b9f2cd9-4427-4e9f-b850-0ddabc27bd0e</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6ED07CE8</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a7d7394a-c040-42a8-91b4-f504eace90eb</errorID>
      <errorWord xmlns="http://schemas.wps.cn/vas-ai-hub/contract-review">2、</errorWord>
      <group xmlns="http://schemas.wps.cn/vas-ai-hub/contract-review">L1_Format</group>
      <groupName xmlns="http://schemas.wps.cn/vas-ai-hub/contract-review">格式问题</groupName>
      <ability xmlns="http://schemas.wps.cn/vas-ai-hub/contract-review">L2_Ordinal</ability>
      <abilityName xmlns="http://schemas.wps.cn/vas-ai-hub/contract-review">序号格式</abilityName>
      <candidateList xmlns="http://schemas.wps.cn/vas-ai-hub/contract-review">
        <item xmlns="http://schemas.wps.cn/vas-ai-hub/contract-review">2.</item>
      </candidateList>
      <explain xmlns="http://schemas.wps.cn/vas-ai-hub/contract-review">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xmlns="http://schemas.wps.cn/vas-ai-hub/contract-review">7F4D9DA5</paraID>
      <start xmlns="http://schemas.wps.cn/vas-ai-hub/contract-review">0</start>
      <end xmlns="http://schemas.wps.cn/vas-ai-hub/contract-review">2</end>
      <status xmlns="http://schemas.wps.cn/vas-ai-hub/contract-review">modified</status>
      <modifiedWord xmlns="http://schemas.wps.cn/vas-ai-hub/contract-review">2.</modifiedWord>
      <trackRevisions xmlns="http://schemas.wps.cn/vas-ai-hub/contract-review">false</trackRevisions>
    </reviewItem>
    <reviewItem xmlns="http://schemas.wps.cn/vas-ai-hub/contract-review">
      <errorID xmlns="http://schemas.wps.cn/vas-ai-hub/contract-review">322ae4fd-ef7b-4a01-a112-40a77b4a0f6f</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3AB7FBDF</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99c8d0e2-c728-448c-b7e6-d31ef1c4d031</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7849D347</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a81ff73d-db28-41b9-8734-d6f3ee730e4a</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717810F8</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e6098a60-6709-472e-a25e-15e173f46d14</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3E462F80</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13b0ad1c-3046-4c49-ba19-96d642d465c5</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5045B2C9</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d17d9950-b32f-45cd-80ba-8e3691e69c97</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6C712C73</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d3442fc2-906f-49bf-bc8e-0152dec1aef1</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379CEC1B</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117b4fc4-110e-453c-a7c1-5d17af6d8919</errorID>
      <errorWord xmlns="http://schemas.wps.cn/vas-ai-hub/contract-review">运</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运站</item>
      </candidateList>
      <explain xmlns="http://schemas.wps.cn/vas-ai-hub/contract-review"/>
      <paraID xmlns="http://schemas.wps.cn/vas-ai-hub/contract-review">4A8CB781</paraID>
      <start xmlns="http://schemas.wps.cn/vas-ai-hub/contract-review">91</start>
      <end xmlns="http://schemas.wps.cn/vas-ai-hub/contract-review">92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81ffafd3-6f50-46ab-9572-2be7b4c14093</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77C52853</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fed60600-d3ea-4c1b-9756-2d12bb23da9d</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35295BEF</paraID>
      <start xmlns="http://schemas.wps.cn/vas-ai-hub/contract-review">1</start>
      <end xmlns="http://schemas.wps.cn/vas-ai-hub/contract-review">2</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8967dab6-9763-4970-a6b1-55e84680a88f</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29858CD9</paraID>
      <start xmlns="http://schemas.wps.cn/vas-ai-hub/contract-review">2</start>
      <end xmlns="http://schemas.wps.cn/vas-ai-hub/contract-review">3</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f9c6c8ca-7109-4386-93da-069036a8326c</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1D5F56B7</paraID>
      <start xmlns="http://schemas.wps.cn/vas-ai-hub/contract-review">2</start>
      <end xmlns="http://schemas.wps.cn/vas-ai-hub/contract-review">3</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10955c8c-4041-4ebb-a0ea-306d6e57e79b</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3C1A3B5F</paraID>
      <start xmlns="http://schemas.wps.cn/vas-ai-hub/contract-review">3</start>
      <end xmlns="http://schemas.wps.cn/vas-ai-hub/contract-review">4</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8339fc83-1cfa-4e75-b5e7-40ad248df4c5</errorID>
      <errorWord xmlns="http://schemas.wps.cn/vas-ai-hub/contract-review">排</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排放</item>
      </candidateList>
      <explain xmlns="http://schemas.wps.cn/vas-ai-hub/contract-review"/>
      <paraID xmlns="http://schemas.wps.cn/vas-ai-hub/contract-review">207A359F</paraID>
      <start xmlns="http://schemas.wps.cn/vas-ai-hub/contract-review">30</start>
      <end xmlns="http://schemas.wps.cn/vas-ai-hub/contract-review">31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125d5948-fe6c-477b-b311-24232e996219</errorID>
      <errorWord xmlns="http://schemas.wps.cn/vas-ai-hub/contract-review">，有</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item>
      </candidateList>
      <explain xmlns="http://schemas.wps.cn/vas-ai-hub/contract-review"/>
      <paraID xmlns="http://schemas.wps.cn/vas-ai-hub/contract-review">1F22A5E0</paraID>
      <start xmlns="http://schemas.wps.cn/vas-ai-hub/contract-review">77</start>
      <end xmlns="http://schemas.wps.cn/vas-ai-hub/contract-review">79</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053a62cf-1489-45f6-b177-278935ec4691</errorID>
      <errorWord xmlns="http://schemas.wps.cn/vas-ai-hub/contract-review">自行添加行</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自行添加</item>
      </candidateList>
      <explain xmlns="http://schemas.wps.cn/vas-ai-hub/contract-review"/>
      <paraID xmlns="http://schemas.wps.cn/vas-ai-hub/contract-review"> 7E1042A</paraID>
      <start xmlns="http://schemas.wps.cn/vas-ai-hub/contract-review">16</start>
      <end xmlns="http://schemas.wps.cn/vas-ai-hub/contract-review">21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a4ff51d4-f2e1-4272-888a-a1b595561fa9</errorID>
      <errorWord xmlns="http://schemas.wps.cn/vas-ai-hub/contract-review">自行添加行</errorWord>
      <group xmlns="http://schemas.wps.cn/vas-ai-hub/contract-review">L1_Word</group>
      <groupName xmlns="http://schemas.wps.cn/vas-ai-hub/contract-review">字词问题</groupName>
      <ability xmlns="http://schemas.wps.cn/vas-ai-hub/contract-review">L2_Typo</ability>
      <abilityName xmlns="http://schemas.wps.cn/vas-ai-hub/contract-review">字词错误</abilityName>
      <candidateList xmlns="http://schemas.wps.cn/vas-ai-hub/contract-review">
        <item xmlns="http://schemas.wps.cn/vas-ai-hub/contract-review">自行添加</item>
      </candidateList>
      <explain xmlns="http://schemas.wps.cn/vas-ai-hub/contract-review"/>
      <paraID xmlns="http://schemas.wps.cn/vas-ai-hub/contract-review">72C59665</paraID>
      <start xmlns="http://schemas.wps.cn/vas-ai-hub/contract-review">16</start>
      <end xmlns="http://schemas.wps.cn/vas-ai-hub/contract-review">21</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2d88a59d-4709-494d-9208-fc314ffeaa06</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13BDEC6A</paraID>
      <start xmlns="http://schemas.wps.cn/vas-ai-hub/contract-review">10</start>
      <end xmlns="http://schemas.wps.cn/vas-ai-hub/contract-review">10</end>
      <status xmlns="http://schemas.wps.cn/vas-ai-hub/contract-review">ignored</status>
      <modifiedWord xmlns="http://schemas.wps.cn/vas-ai-hub/contract-review"/>
      <trackRevisions xmlns="http://schemas.wps.cn/vas-ai-hub/contract-review">false</trackRevisions>
    </reviewItem>
    <reviewItem xmlns="http://schemas.wps.cn/vas-ai-hub/contract-review">
      <errorID xmlns="http://schemas.wps.cn/vas-ai-hub/contract-review">8b66d7d4-aca9-4b61-aad3-ff41ee1bec75</errorID>
      <errorWord xmlns="http://schemas.wps.cn/vas-ai-hub/contract-review">:</errorWord>
      <group xmlns="http://schemas.wps.cn/vas-ai-hub/contract-review">L1_Format</group>
      <groupName xmlns="http://schemas.wps.cn/vas-ai-hub/contract-review">格式问题</groupName>
      <ability xmlns="http://schemas.wps.cn/vas-ai-hub/contract-review">L2_HalfPunc</ability>
      <abilityName xmlns="http://schemas.wps.cn/vas-ai-hub/contract-review">全半角检查</abilityName>
      <candidateList xmlns="http://schemas.wps.cn/vas-ai-hub/contract-review">
        <item xmlns="http://schemas.wps.cn/vas-ai-hub/contract-review">：</item>
      </candidateList>
      <explain xmlns="http://schemas.wps.cn/vas-ai-hub/contract-review">文本全半角错误。</explain>
      <paraID xmlns="http://schemas.wps.cn/vas-ai-hub/contract-review">5DE52D78</paraID>
      <start xmlns="http://schemas.wps.cn/vas-ai-hub/contract-review">10</start>
      <end xmlns="http://schemas.wps.cn/vas-ai-hub/contract-review">10</end>
      <status xmlns="http://schemas.wps.cn/vas-ai-hub/contract-review">ignored</status>
      <modifiedWord xmlns="http://schemas.wps.cn/vas-ai-hub/contract-review"/>
      <trackRevisions xmlns="http://schemas.wps.cn/vas-ai-hub/contract-review">false</trackRevisions>
    </reviewItem>
  </reviewItems>
  <config xmlns="http://schemas.wps.cn/vas-ai-hub/contract-review"/>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064d220-2bf6-4cca-bcfd-d9b480ee040a}">
  <ds:schemaRefs/>
</ds:datastoreItem>
</file>

<file path=docProps/app.xml><?xml version="1.0" encoding="utf-8"?>
<Properties xmlns="http://schemas.openxmlformats.org/officeDocument/2006/extended-properties" xmlns:vt="http://schemas.openxmlformats.org/officeDocument/2006/docPropsVTypes">
  <Template>Normal.dotm</Template>
  <Pages>42</Pages>
  <Words>5204</Words>
  <Characters>5606</Characters>
  <Lines>0</Lines>
  <Paragraphs>0</Paragraphs>
  <TotalTime>4</TotalTime>
  <ScaleCrop>false</ScaleCrop>
  <LinksUpToDate>false</LinksUpToDate>
  <CharactersWithSpaces>5768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2025-04-19T13:32:00Z</dcterms:created>
  <dc:creator>Administrator</dc:creator>
  <cp:lastModifiedBy>°</cp:lastModifiedBy>
  <cp:lastPrinted>2025-12-09T03:06:00Z</cp:lastPrinted>
  <dcterms:modified xsi:type="dcterms:W3CDTF">2025-12-09T08:02:28Z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7FFA321F67074F54A773D92BA73872EA_13</vt:lpwstr>
  </property>
  <property fmtid="{D5CDD505-2E9C-101B-9397-08002B2CF9AE}" pid="4" name="KSOTemplateDocerSaveRecord">
    <vt:lpwstr>eyJoZGlkIjoiNTg3YTExYTdmN2I4MGE0NWI2NzllMmJjYTE3NGRlNTEiLCJ1c2VySWQiOiIxMDI1Mzg2MzE0In0=</vt:lpwstr>
  </property>
</Properties>
</file>