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441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：石家庄国际生物医药园管理委员会</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0B3689D6">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石家庄国际生物医药园管理委员会</w:t>
      </w:r>
    </w:p>
    <w:p w14:paraId="3E69451E">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76D950FE">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石家庄国际生物医药园管理委员会(单位名称，加盖公章）</w:t>
      </w:r>
    </w:p>
    <w:p w14:paraId="4E574E14">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562EA6A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0463692A">
      <w:pPr>
        <w:widowControl/>
        <w:spacing w:after="160" w:line="580" w:lineRule="exact"/>
        <w:ind w:firstLine="640" w:firstLineChars="200"/>
        <w:rPr>
          <w:rFonts w:ascii="Times New Roman" w:hAnsi="Times New Roman" w:eastAsia="黑体" w:cs="Times New Roman"/>
          <w:sz w:val="32"/>
          <w:szCs w:val="32"/>
        </w:rPr>
      </w:pPr>
    </w:p>
    <w:p w14:paraId="32D11909">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14:paraId="1C39281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362F899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6C117765">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6ACCEEB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6330522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BA1A5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0A0C6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0FEAE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469047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0727ABF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469A9C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5BC727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001CA5E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10EB882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4DB112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37ADA7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D6CA49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600DE9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7CBDA6D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074C6B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2FB198C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33923D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1106BC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5F1E89F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0843A2F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14:paraId="7FE403C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14CEF8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（一）贯彻落实党的方针、政策和工委、管委的决议。​ ​</w:t>
      </w:r>
    </w:p>
    <w:p w14:paraId="6DAD31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（二）负责研究制定全区生物医药发展战略、产业规划、发展政策，统筹推进园区产业发展工作。 ​ ​</w:t>
      </w:r>
    </w:p>
    <w:p w14:paraId="0663BC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（三）负责组织编制生物医药园规划方案、项目选址方案，并组织具体实施；组织实施园区基础设施及配套建设等工作。​ ​</w:t>
      </w:r>
    </w:p>
    <w:p w14:paraId="2C86DA9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（四）负责生物医药园管理和综合协调工作，研究制定具体管理规定和改革措施。 ​ ​</w:t>
      </w:r>
    </w:p>
    <w:p w14:paraId="2593461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（五）负责生物医药园项目落地、项目建设、项目运营、项目服务等全链条推进工作。 ​ ​</w:t>
      </w:r>
    </w:p>
    <w:p w14:paraId="21D04F1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（六）负责入园项目报建和组织验收工作。 ​ ​</w:t>
      </w:r>
    </w:p>
    <w:p w14:paraId="0C47BE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（七）负责综合统筹生物医药园的资金运作、投资、融资管理等工作。 ​ ​</w:t>
      </w:r>
    </w:p>
    <w:p w14:paraId="22E1D3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（八）负责管理生物医药园平台公司。 ​ ​</w:t>
      </w:r>
    </w:p>
    <w:p w14:paraId="3440504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（九）完成工委、管委会交办的其他事项。</w:t>
      </w:r>
    </w:p>
    <w:p w14:paraId="5BD206B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502141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石家庄国际生物医药园管理委员会(本级)</w:t>
            </w:r>
          </w:p>
        </w:tc>
        <w:tc>
          <w:tcPr>
            <w:tcW w:w="2445" w:type="dxa"/>
          </w:tcPr>
          <w:p w14:paraId="2E443189">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0E8476F6">
      <w:pPr>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我部门无二级预算单位，因此石家庄国际生物医药园管理委员会2024年度部门决算即石家庄国际生物医药园管理委员会本级2024年度决算。</w:t>
      </w:r>
    </w:p>
    <w:p w14:paraId="2C27B42E">
      <w:pPr>
        <w:rPr>
          <w:rFonts w:hint="eastAsia" w:ascii="Times New Roman" w:eastAsia="仿宋_GB2312"/>
          <w:b w:val="0"/>
          <w:sz w:val="32"/>
          <w:szCs w:val="32"/>
          <w:lang w:val="en-US" w:eastAsia="zh-CN"/>
        </w:rPr>
      </w:pPr>
    </w:p>
    <w:p w14:paraId="311EC196">
      <w:pPr>
        <w:rPr>
          <w:rFonts w:hint="eastAsia" w:ascii="Times New Roman" w:eastAsia="仿宋_GB2312"/>
          <w:b w:val="0"/>
          <w:sz w:val="32"/>
          <w:szCs w:val="32"/>
          <w:lang w:val="en-US" w:eastAsia="zh-CN"/>
        </w:rPr>
      </w:pPr>
    </w:p>
    <w:p w14:paraId="0CA7CBB2">
      <w:pPr>
        <w:rPr>
          <w:rFonts w:hint="eastAsia" w:ascii="Times New Roman" w:eastAsia="仿宋_GB2312"/>
          <w:b w:val="0"/>
          <w:sz w:val="32"/>
          <w:szCs w:val="32"/>
          <w:lang w:val="en-US" w:eastAsia="zh-CN"/>
        </w:rPr>
      </w:pPr>
    </w:p>
    <w:p w14:paraId="5264779E">
      <w:pPr>
        <w:rPr>
          <w:rFonts w:hint="eastAsia" w:ascii="Times New Roman" w:eastAsia="仿宋_GB2312"/>
          <w:b w:val="0"/>
          <w:sz w:val="32"/>
          <w:szCs w:val="32"/>
          <w:lang w:val="en-US" w:eastAsia="zh-CN"/>
        </w:rPr>
      </w:pPr>
    </w:p>
    <w:p w14:paraId="1D8252F7">
      <w:pPr>
        <w:rPr>
          <w:rFonts w:hint="eastAsia" w:ascii="Times New Roman" w:eastAsia="仿宋_GB2312"/>
          <w:b w:val="0"/>
          <w:sz w:val="32"/>
          <w:szCs w:val="32"/>
          <w:lang w:val="en-US" w:eastAsia="zh-CN"/>
        </w:rPr>
      </w:pPr>
    </w:p>
    <w:p w14:paraId="72ED3404">
      <w:pPr>
        <w:rPr>
          <w:rFonts w:hint="eastAsia" w:ascii="Times New Roman" w:eastAsia="仿宋_GB2312"/>
          <w:b w:val="0"/>
          <w:sz w:val="32"/>
          <w:szCs w:val="32"/>
          <w:lang w:val="en-US" w:eastAsia="zh-CN"/>
        </w:rPr>
      </w:pPr>
    </w:p>
    <w:p w14:paraId="29F1DD5F">
      <w:pPr>
        <w:rPr>
          <w:rFonts w:hint="eastAsia" w:ascii="Times New Roman" w:eastAsia="仿宋_GB2312"/>
          <w:b w:val="0"/>
          <w:sz w:val="32"/>
          <w:szCs w:val="32"/>
          <w:lang w:val="en-US" w:eastAsia="zh-CN"/>
        </w:rPr>
      </w:pPr>
    </w:p>
    <w:p w14:paraId="216A26B8">
      <w:pPr>
        <w:rPr>
          <w:rFonts w:hint="eastAsia" w:ascii="Times New Roman" w:eastAsia="仿宋_GB2312"/>
          <w:b w:val="0"/>
          <w:sz w:val="32"/>
          <w:szCs w:val="32"/>
          <w:lang w:val="en-US" w:eastAsia="zh-CN"/>
        </w:rPr>
      </w:pPr>
    </w:p>
    <w:p w14:paraId="4DCDCEB0">
      <w:pPr>
        <w:rPr>
          <w:rFonts w:hint="eastAsia" w:ascii="Times New Roman" w:eastAsia="仿宋_GB2312"/>
          <w:b w:val="0"/>
          <w:sz w:val="32"/>
          <w:szCs w:val="32"/>
          <w:lang w:val="en-US" w:eastAsia="zh-CN"/>
        </w:rPr>
      </w:pPr>
    </w:p>
    <w:p w14:paraId="5E326443">
      <w:pPr>
        <w:rPr>
          <w:rFonts w:hint="eastAsia" w:ascii="Times New Roman" w:eastAsia="仿宋_GB2312"/>
          <w:b w:val="0"/>
          <w:sz w:val="32"/>
          <w:szCs w:val="32"/>
          <w:lang w:val="en-US" w:eastAsia="zh-CN"/>
        </w:rPr>
      </w:pPr>
    </w:p>
    <w:p w14:paraId="37805758">
      <w:pPr>
        <w:rPr>
          <w:rFonts w:hint="eastAsia" w:ascii="Times New Roman" w:eastAsia="仿宋_GB2312"/>
          <w:b w:val="0"/>
          <w:sz w:val="32"/>
          <w:szCs w:val="32"/>
          <w:lang w:val="en-US" w:eastAsia="zh-CN"/>
        </w:rPr>
      </w:pPr>
    </w:p>
    <w:p w14:paraId="60AAA3DF">
      <w:pPr>
        <w:rPr>
          <w:rFonts w:hint="eastAsia" w:ascii="Times New Roman" w:eastAsia="仿宋_GB2312"/>
          <w:b w:val="0"/>
          <w:sz w:val="32"/>
          <w:szCs w:val="32"/>
          <w:lang w:val="en-US" w:eastAsia="zh-CN"/>
        </w:rPr>
      </w:pPr>
    </w:p>
    <w:p w14:paraId="77FA8C63">
      <w:pPr>
        <w:rPr>
          <w:rFonts w:hint="eastAsia" w:ascii="Times New Roman" w:eastAsia="仿宋_GB2312"/>
          <w:b w:val="0"/>
          <w:sz w:val="32"/>
          <w:szCs w:val="32"/>
          <w:lang w:val="en-US" w:eastAsia="zh-CN"/>
        </w:rPr>
      </w:pPr>
    </w:p>
    <w:p w14:paraId="10AD81D0">
      <w:pPr>
        <w:rPr>
          <w:rFonts w:hint="eastAsia" w:ascii="Times New Roman" w:eastAsia="仿宋_GB2312"/>
          <w:b w:val="0"/>
          <w:sz w:val="32"/>
          <w:szCs w:val="32"/>
          <w:lang w:val="en-US" w:eastAsia="zh-CN"/>
        </w:rPr>
      </w:pPr>
    </w:p>
    <w:p w14:paraId="1F81298D">
      <w:pPr>
        <w:rPr>
          <w:rFonts w:hint="eastAsia" w:ascii="Times New Roman" w:eastAsia="仿宋_GB2312"/>
          <w:b w:val="0"/>
          <w:sz w:val="32"/>
          <w:szCs w:val="32"/>
          <w:lang w:val="en-US" w:eastAsia="zh-CN"/>
        </w:rPr>
      </w:pPr>
    </w:p>
    <w:p w14:paraId="0CC46872">
      <w:pPr>
        <w:bidi w:val="0"/>
        <w:jc w:val="left"/>
        <w:rPr>
          <w:rFonts w:hint="eastAsia" w:cs="宋体" w:asciiTheme="minorHAnsi" w:hAnsiTheme="minorHAnsi" w:eastAsiaTheme="minorEastAsia"/>
          <w:color w:val="auto"/>
          <w:kern w:val="0"/>
          <w:sz w:val="24"/>
          <w:szCs w:val="24"/>
          <w:lang w:val="en-US" w:eastAsia="zh-CN" w:bidi="ar-SA"/>
        </w:rPr>
      </w:pPr>
    </w:p>
    <w:p w14:paraId="3D42E10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部门（单位）：石家庄国际生物医药园管理委员会</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2,890.34</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4,161.45</w:t>
            </w: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7,051.79</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w:t>
            </w: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w:t>
            </w: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7,053.78</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7,053.78</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部门（单位）：石家庄国际生物医药园管理委员会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7,051.78</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7,051.78</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2,890.34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2,890.34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462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5467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16394C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5A379E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2,064.94</w:t>
            </w:r>
          </w:p>
        </w:tc>
        <w:tc>
          <w:tcPr>
            <w:tcW w:w="1037" w:type="dxa"/>
            <w:tcBorders>
              <w:top w:val="nil"/>
              <w:left w:val="nil"/>
              <w:bottom w:val="single" w:color="000000" w:sz="4" w:space="0"/>
              <w:right w:val="single" w:color="000000" w:sz="4" w:space="0"/>
            </w:tcBorders>
            <w:noWrap/>
            <w:vAlign w:val="center"/>
          </w:tcPr>
          <w:p w14:paraId="59CEE2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2,064.94</w:t>
            </w:r>
          </w:p>
        </w:tc>
        <w:tc>
          <w:tcPr>
            <w:tcW w:w="1037" w:type="dxa"/>
            <w:tcBorders>
              <w:top w:val="nil"/>
              <w:left w:val="nil"/>
              <w:bottom w:val="single" w:color="000000" w:sz="4" w:space="0"/>
              <w:right w:val="single" w:color="000000" w:sz="4" w:space="0"/>
            </w:tcBorders>
            <w:noWrap/>
            <w:vAlign w:val="center"/>
          </w:tcPr>
          <w:p w14:paraId="23048B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2C57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94BB4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CCD3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1A83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5E8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96806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11B367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7FD677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439.75</w:t>
            </w:r>
          </w:p>
        </w:tc>
        <w:tc>
          <w:tcPr>
            <w:tcW w:w="1037" w:type="dxa"/>
            <w:tcBorders>
              <w:top w:val="nil"/>
              <w:left w:val="nil"/>
              <w:bottom w:val="single" w:color="000000" w:sz="4" w:space="0"/>
              <w:right w:val="single" w:color="000000" w:sz="4" w:space="0"/>
            </w:tcBorders>
            <w:noWrap/>
            <w:vAlign w:val="center"/>
          </w:tcPr>
          <w:p w14:paraId="7AF042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439.75</w:t>
            </w:r>
          </w:p>
        </w:tc>
        <w:tc>
          <w:tcPr>
            <w:tcW w:w="1037" w:type="dxa"/>
            <w:tcBorders>
              <w:top w:val="nil"/>
              <w:left w:val="nil"/>
              <w:bottom w:val="single" w:color="000000" w:sz="4" w:space="0"/>
              <w:right w:val="single" w:color="000000" w:sz="4" w:space="0"/>
            </w:tcBorders>
            <w:noWrap/>
            <w:vAlign w:val="center"/>
          </w:tcPr>
          <w:p w14:paraId="616E9B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8C58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A334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9FC2C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FC48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2AF0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3229A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40B308D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5A27D4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1,625.19</w:t>
            </w:r>
          </w:p>
        </w:tc>
        <w:tc>
          <w:tcPr>
            <w:tcW w:w="1037" w:type="dxa"/>
            <w:tcBorders>
              <w:top w:val="nil"/>
              <w:left w:val="nil"/>
              <w:bottom w:val="single" w:color="000000" w:sz="4" w:space="0"/>
              <w:right w:val="single" w:color="000000" w:sz="4" w:space="0"/>
            </w:tcBorders>
            <w:noWrap/>
            <w:vAlign w:val="center"/>
          </w:tcPr>
          <w:p w14:paraId="69D8CD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1,625.19</w:t>
            </w:r>
          </w:p>
        </w:tc>
        <w:tc>
          <w:tcPr>
            <w:tcW w:w="1037" w:type="dxa"/>
            <w:tcBorders>
              <w:top w:val="nil"/>
              <w:left w:val="nil"/>
              <w:bottom w:val="single" w:color="000000" w:sz="4" w:space="0"/>
              <w:right w:val="single" w:color="000000" w:sz="4" w:space="0"/>
            </w:tcBorders>
            <w:noWrap/>
            <w:vAlign w:val="center"/>
          </w:tcPr>
          <w:p w14:paraId="2668E3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F11C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284B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4C73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DABA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C5220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CF22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20138</w:t>
            </w:r>
          </w:p>
        </w:tc>
        <w:tc>
          <w:tcPr>
            <w:tcW w:w="1160" w:type="dxa"/>
            <w:tcBorders>
              <w:top w:val="nil"/>
              <w:left w:val="nil"/>
              <w:bottom w:val="single" w:color="000000" w:sz="4" w:space="0"/>
              <w:right w:val="single" w:color="000000" w:sz="4" w:space="0"/>
            </w:tcBorders>
            <w:noWrap/>
            <w:vAlign w:val="center"/>
          </w:tcPr>
          <w:p w14:paraId="1FE580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市场监督管理事务</w:t>
            </w:r>
          </w:p>
        </w:tc>
        <w:tc>
          <w:tcPr>
            <w:tcW w:w="1037" w:type="dxa"/>
            <w:tcBorders>
              <w:top w:val="nil"/>
              <w:left w:val="nil"/>
              <w:bottom w:val="single" w:color="000000" w:sz="4" w:space="0"/>
              <w:right w:val="single" w:color="000000" w:sz="4" w:space="0"/>
            </w:tcBorders>
            <w:noWrap/>
            <w:vAlign w:val="center"/>
          </w:tcPr>
          <w:p w14:paraId="03F490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825.40</w:t>
            </w:r>
          </w:p>
        </w:tc>
        <w:tc>
          <w:tcPr>
            <w:tcW w:w="1037" w:type="dxa"/>
            <w:tcBorders>
              <w:top w:val="nil"/>
              <w:left w:val="nil"/>
              <w:bottom w:val="single" w:color="000000" w:sz="4" w:space="0"/>
              <w:right w:val="single" w:color="000000" w:sz="4" w:space="0"/>
            </w:tcBorders>
            <w:noWrap/>
            <w:vAlign w:val="center"/>
          </w:tcPr>
          <w:p w14:paraId="359A71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825.40</w:t>
            </w:r>
          </w:p>
        </w:tc>
        <w:tc>
          <w:tcPr>
            <w:tcW w:w="1037" w:type="dxa"/>
            <w:tcBorders>
              <w:top w:val="nil"/>
              <w:left w:val="nil"/>
              <w:bottom w:val="single" w:color="000000" w:sz="4" w:space="0"/>
              <w:right w:val="single" w:color="000000" w:sz="4" w:space="0"/>
            </w:tcBorders>
            <w:noWrap/>
            <w:vAlign w:val="center"/>
          </w:tcPr>
          <w:p w14:paraId="5F7304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3C45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F5F3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74E7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1E4D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96E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D9FE0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2013812</w:t>
            </w:r>
          </w:p>
        </w:tc>
        <w:tc>
          <w:tcPr>
            <w:tcW w:w="1160" w:type="dxa"/>
            <w:tcBorders>
              <w:top w:val="nil"/>
              <w:left w:val="nil"/>
              <w:bottom w:val="single" w:color="000000" w:sz="4" w:space="0"/>
              <w:right w:val="single" w:color="000000" w:sz="4" w:space="0"/>
            </w:tcBorders>
            <w:noWrap/>
            <w:vAlign w:val="center"/>
          </w:tcPr>
          <w:p w14:paraId="49F521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药品事务</w:t>
            </w:r>
          </w:p>
        </w:tc>
        <w:tc>
          <w:tcPr>
            <w:tcW w:w="1037" w:type="dxa"/>
            <w:tcBorders>
              <w:top w:val="nil"/>
              <w:left w:val="nil"/>
              <w:bottom w:val="single" w:color="000000" w:sz="4" w:space="0"/>
              <w:right w:val="single" w:color="000000" w:sz="4" w:space="0"/>
            </w:tcBorders>
            <w:noWrap/>
            <w:vAlign w:val="center"/>
          </w:tcPr>
          <w:p w14:paraId="6D0178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825.40</w:t>
            </w:r>
          </w:p>
        </w:tc>
        <w:tc>
          <w:tcPr>
            <w:tcW w:w="1037" w:type="dxa"/>
            <w:tcBorders>
              <w:top w:val="nil"/>
              <w:left w:val="nil"/>
              <w:bottom w:val="single" w:color="000000" w:sz="4" w:space="0"/>
              <w:right w:val="single" w:color="000000" w:sz="4" w:space="0"/>
            </w:tcBorders>
            <w:noWrap/>
            <w:vAlign w:val="center"/>
          </w:tcPr>
          <w:p w14:paraId="607835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825.40</w:t>
            </w:r>
          </w:p>
        </w:tc>
        <w:tc>
          <w:tcPr>
            <w:tcW w:w="1037" w:type="dxa"/>
            <w:tcBorders>
              <w:top w:val="nil"/>
              <w:left w:val="nil"/>
              <w:bottom w:val="single" w:color="000000" w:sz="4" w:space="0"/>
              <w:right w:val="single" w:color="000000" w:sz="4" w:space="0"/>
            </w:tcBorders>
            <w:noWrap/>
            <w:vAlign w:val="center"/>
          </w:tcPr>
          <w:p w14:paraId="4DB395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5601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AA81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8432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34F5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DD4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30A4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w:t>
            </w:r>
          </w:p>
        </w:tc>
        <w:tc>
          <w:tcPr>
            <w:tcW w:w="1160" w:type="dxa"/>
            <w:tcBorders>
              <w:top w:val="nil"/>
              <w:left w:val="nil"/>
              <w:bottom w:val="single" w:color="000000" w:sz="4" w:space="0"/>
              <w:right w:val="single" w:color="000000" w:sz="4" w:space="0"/>
            </w:tcBorders>
            <w:noWrap/>
            <w:vAlign w:val="center"/>
          </w:tcPr>
          <w:p w14:paraId="653AE70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科学技术支出</w:t>
            </w:r>
          </w:p>
        </w:tc>
        <w:tc>
          <w:tcPr>
            <w:tcW w:w="1037" w:type="dxa"/>
            <w:tcBorders>
              <w:top w:val="nil"/>
              <w:left w:val="nil"/>
              <w:bottom w:val="single" w:color="000000" w:sz="4" w:space="0"/>
              <w:right w:val="single" w:color="000000" w:sz="4" w:space="0"/>
            </w:tcBorders>
            <w:noWrap/>
            <w:vAlign w:val="center"/>
          </w:tcPr>
          <w:p w14:paraId="51EF9C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4,161.45</w:t>
            </w:r>
          </w:p>
        </w:tc>
        <w:tc>
          <w:tcPr>
            <w:tcW w:w="1037" w:type="dxa"/>
            <w:tcBorders>
              <w:top w:val="nil"/>
              <w:left w:val="nil"/>
              <w:bottom w:val="single" w:color="000000" w:sz="4" w:space="0"/>
              <w:right w:val="single" w:color="000000" w:sz="4" w:space="0"/>
            </w:tcBorders>
            <w:noWrap/>
            <w:vAlign w:val="center"/>
          </w:tcPr>
          <w:p w14:paraId="752983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4,161.45</w:t>
            </w:r>
          </w:p>
        </w:tc>
        <w:tc>
          <w:tcPr>
            <w:tcW w:w="1037" w:type="dxa"/>
            <w:tcBorders>
              <w:top w:val="nil"/>
              <w:left w:val="nil"/>
              <w:bottom w:val="single" w:color="000000" w:sz="4" w:space="0"/>
              <w:right w:val="single" w:color="000000" w:sz="4" w:space="0"/>
            </w:tcBorders>
            <w:noWrap/>
            <w:vAlign w:val="center"/>
          </w:tcPr>
          <w:p w14:paraId="24FF73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50E1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E7EA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7DF4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6555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9F2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6DE3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20699</w:t>
            </w:r>
          </w:p>
        </w:tc>
        <w:tc>
          <w:tcPr>
            <w:tcW w:w="1160" w:type="dxa"/>
            <w:tcBorders>
              <w:top w:val="nil"/>
              <w:left w:val="nil"/>
              <w:bottom w:val="single" w:color="000000" w:sz="4" w:space="0"/>
              <w:right w:val="single" w:color="000000" w:sz="4" w:space="0"/>
            </w:tcBorders>
            <w:noWrap/>
            <w:vAlign w:val="center"/>
          </w:tcPr>
          <w:p w14:paraId="1896BC3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其他科学技术支出</w:t>
            </w:r>
          </w:p>
        </w:tc>
        <w:tc>
          <w:tcPr>
            <w:tcW w:w="1037" w:type="dxa"/>
            <w:tcBorders>
              <w:top w:val="nil"/>
              <w:left w:val="nil"/>
              <w:bottom w:val="single" w:color="000000" w:sz="4" w:space="0"/>
              <w:right w:val="single" w:color="000000" w:sz="4" w:space="0"/>
            </w:tcBorders>
            <w:noWrap/>
            <w:vAlign w:val="center"/>
          </w:tcPr>
          <w:p w14:paraId="1EA49A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4,161.45</w:t>
            </w:r>
          </w:p>
        </w:tc>
        <w:tc>
          <w:tcPr>
            <w:tcW w:w="1037" w:type="dxa"/>
            <w:tcBorders>
              <w:top w:val="nil"/>
              <w:left w:val="nil"/>
              <w:bottom w:val="single" w:color="000000" w:sz="4" w:space="0"/>
              <w:right w:val="single" w:color="000000" w:sz="4" w:space="0"/>
            </w:tcBorders>
            <w:noWrap/>
            <w:vAlign w:val="center"/>
          </w:tcPr>
          <w:p w14:paraId="4C30BC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4,161.45</w:t>
            </w:r>
          </w:p>
        </w:tc>
        <w:tc>
          <w:tcPr>
            <w:tcW w:w="1037" w:type="dxa"/>
            <w:tcBorders>
              <w:top w:val="nil"/>
              <w:left w:val="nil"/>
              <w:bottom w:val="single" w:color="000000" w:sz="4" w:space="0"/>
              <w:right w:val="single" w:color="000000" w:sz="4" w:space="0"/>
            </w:tcBorders>
            <w:noWrap/>
            <w:vAlign w:val="center"/>
          </w:tcPr>
          <w:p w14:paraId="43459E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EC80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E9E6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FEFE1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CDFD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04F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F7EC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2069999</w:t>
            </w:r>
          </w:p>
        </w:tc>
        <w:tc>
          <w:tcPr>
            <w:tcW w:w="1160" w:type="dxa"/>
            <w:tcBorders>
              <w:top w:val="nil"/>
              <w:left w:val="nil"/>
              <w:bottom w:val="single" w:color="000000" w:sz="4" w:space="0"/>
              <w:right w:val="single" w:color="000000" w:sz="4" w:space="0"/>
            </w:tcBorders>
            <w:noWrap/>
            <w:vAlign w:val="center"/>
          </w:tcPr>
          <w:p w14:paraId="6CDA9D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其他科学技术支出</w:t>
            </w:r>
          </w:p>
        </w:tc>
        <w:tc>
          <w:tcPr>
            <w:tcW w:w="1037" w:type="dxa"/>
            <w:tcBorders>
              <w:top w:val="nil"/>
              <w:left w:val="nil"/>
              <w:bottom w:val="single" w:color="000000" w:sz="4" w:space="0"/>
              <w:right w:val="single" w:color="000000" w:sz="4" w:space="0"/>
            </w:tcBorders>
            <w:noWrap/>
            <w:vAlign w:val="center"/>
          </w:tcPr>
          <w:p w14:paraId="67027E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4,161.45</w:t>
            </w:r>
          </w:p>
        </w:tc>
        <w:tc>
          <w:tcPr>
            <w:tcW w:w="1037" w:type="dxa"/>
            <w:tcBorders>
              <w:top w:val="nil"/>
              <w:left w:val="nil"/>
              <w:bottom w:val="single" w:color="000000" w:sz="4" w:space="0"/>
              <w:right w:val="single" w:color="000000" w:sz="4" w:space="0"/>
            </w:tcBorders>
            <w:noWrap/>
            <w:vAlign w:val="center"/>
          </w:tcPr>
          <w:p w14:paraId="67FAF9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4,161.45</w:t>
            </w:r>
          </w:p>
        </w:tc>
        <w:tc>
          <w:tcPr>
            <w:tcW w:w="1037" w:type="dxa"/>
            <w:tcBorders>
              <w:top w:val="nil"/>
              <w:left w:val="nil"/>
              <w:bottom w:val="single" w:color="000000" w:sz="4" w:space="0"/>
              <w:right w:val="single" w:color="000000" w:sz="4" w:space="0"/>
            </w:tcBorders>
            <w:noWrap/>
            <w:vAlign w:val="center"/>
          </w:tcPr>
          <w:p w14:paraId="3E878A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547C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E0428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02781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C49D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部门（单位）：石家庄国际生物医药园管理委员会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7,051.79</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419.32</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6,632.46</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2,890.34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419.32</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2,471.01</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3C81E9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948F1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6ECB26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6D83B2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2,064.94</w:t>
            </w:r>
          </w:p>
        </w:tc>
        <w:tc>
          <w:tcPr>
            <w:tcW w:w="602" w:type="pct"/>
            <w:gridSpan w:val="2"/>
            <w:tcBorders>
              <w:top w:val="nil"/>
              <w:left w:val="nil"/>
              <w:bottom w:val="single" w:color="000000" w:sz="4" w:space="0"/>
              <w:right w:val="single" w:color="000000" w:sz="4" w:space="0"/>
            </w:tcBorders>
            <w:noWrap/>
            <w:vAlign w:val="center"/>
          </w:tcPr>
          <w:p w14:paraId="17C879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419.32</w:t>
            </w:r>
          </w:p>
        </w:tc>
        <w:tc>
          <w:tcPr>
            <w:tcW w:w="602" w:type="pct"/>
            <w:tcBorders>
              <w:top w:val="nil"/>
              <w:left w:val="nil"/>
              <w:bottom w:val="single" w:color="000000" w:sz="4" w:space="0"/>
              <w:right w:val="single" w:color="000000" w:sz="4" w:space="0"/>
            </w:tcBorders>
            <w:noWrap/>
            <w:vAlign w:val="center"/>
          </w:tcPr>
          <w:p w14:paraId="2CD9F2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1,645.61</w:t>
            </w:r>
          </w:p>
        </w:tc>
        <w:tc>
          <w:tcPr>
            <w:tcW w:w="602" w:type="pct"/>
            <w:gridSpan w:val="2"/>
            <w:tcBorders>
              <w:top w:val="nil"/>
              <w:left w:val="nil"/>
              <w:bottom w:val="single" w:color="000000" w:sz="4" w:space="0"/>
              <w:right w:val="single" w:color="000000" w:sz="4" w:space="0"/>
            </w:tcBorders>
            <w:noWrap/>
            <w:vAlign w:val="center"/>
          </w:tcPr>
          <w:p w14:paraId="0DB1D35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F7BB2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C2ACB89">
            <w:pPr>
              <w:jc w:val="right"/>
              <w:rPr>
                <w:rFonts w:hint="default" w:ascii="Times New Roman" w:hAnsi="Times New Roman" w:eastAsia="宋体" w:cs="Times New Roman"/>
                <w:i w:val="0"/>
                <w:iCs w:val="0"/>
                <w:color w:val="000000"/>
                <w:sz w:val="20"/>
                <w:szCs w:val="20"/>
                <w:highlight w:val="none"/>
                <w:u w:val="none"/>
              </w:rPr>
            </w:pPr>
          </w:p>
        </w:tc>
      </w:tr>
      <w:tr w14:paraId="2EC41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1C100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543522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61B367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439.75</w:t>
            </w:r>
          </w:p>
        </w:tc>
        <w:tc>
          <w:tcPr>
            <w:tcW w:w="602" w:type="pct"/>
            <w:gridSpan w:val="2"/>
            <w:tcBorders>
              <w:top w:val="nil"/>
              <w:left w:val="nil"/>
              <w:bottom w:val="single" w:color="000000" w:sz="4" w:space="0"/>
              <w:right w:val="single" w:color="000000" w:sz="4" w:space="0"/>
            </w:tcBorders>
            <w:noWrap/>
            <w:vAlign w:val="center"/>
          </w:tcPr>
          <w:p w14:paraId="6D6DDC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419.32</w:t>
            </w:r>
          </w:p>
        </w:tc>
        <w:tc>
          <w:tcPr>
            <w:tcW w:w="602" w:type="pct"/>
            <w:tcBorders>
              <w:top w:val="nil"/>
              <w:left w:val="nil"/>
              <w:bottom w:val="single" w:color="000000" w:sz="4" w:space="0"/>
              <w:right w:val="single" w:color="000000" w:sz="4" w:space="0"/>
            </w:tcBorders>
            <w:noWrap/>
            <w:vAlign w:val="center"/>
          </w:tcPr>
          <w:p w14:paraId="47267C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20.42</w:t>
            </w:r>
          </w:p>
        </w:tc>
        <w:tc>
          <w:tcPr>
            <w:tcW w:w="602" w:type="pct"/>
            <w:gridSpan w:val="2"/>
            <w:tcBorders>
              <w:top w:val="nil"/>
              <w:left w:val="nil"/>
              <w:bottom w:val="single" w:color="000000" w:sz="4" w:space="0"/>
              <w:right w:val="single" w:color="000000" w:sz="4" w:space="0"/>
            </w:tcBorders>
            <w:noWrap/>
            <w:vAlign w:val="center"/>
          </w:tcPr>
          <w:p w14:paraId="73BF140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8C666B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6F16888">
            <w:pPr>
              <w:jc w:val="right"/>
              <w:rPr>
                <w:rFonts w:hint="default" w:ascii="Times New Roman" w:hAnsi="Times New Roman" w:eastAsia="宋体" w:cs="Times New Roman"/>
                <w:i w:val="0"/>
                <w:iCs w:val="0"/>
                <w:color w:val="000000"/>
                <w:sz w:val="20"/>
                <w:szCs w:val="20"/>
                <w:highlight w:val="none"/>
                <w:u w:val="none"/>
              </w:rPr>
            </w:pPr>
          </w:p>
        </w:tc>
      </w:tr>
      <w:tr w14:paraId="5F1F2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747E1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5D596C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60BEA2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1,625.19</w:t>
            </w:r>
          </w:p>
        </w:tc>
        <w:tc>
          <w:tcPr>
            <w:tcW w:w="602" w:type="pct"/>
            <w:gridSpan w:val="2"/>
            <w:tcBorders>
              <w:top w:val="nil"/>
              <w:left w:val="nil"/>
              <w:bottom w:val="single" w:color="000000" w:sz="4" w:space="0"/>
              <w:right w:val="single" w:color="000000" w:sz="4" w:space="0"/>
            </w:tcBorders>
            <w:noWrap/>
            <w:vAlign w:val="center"/>
          </w:tcPr>
          <w:p w14:paraId="306B5C7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9D59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1,625.19</w:t>
            </w:r>
          </w:p>
        </w:tc>
        <w:tc>
          <w:tcPr>
            <w:tcW w:w="602" w:type="pct"/>
            <w:gridSpan w:val="2"/>
            <w:tcBorders>
              <w:top w:val="nil"/>
              <w:left w:val="nil"/>
              <w:bottom w:val="single" w:color="000000" w:sz="4" w:space="0"/>
              <w:right w:val="single" w:color="000000" w:sz="4" w:space="0"/>
            </w:tcBorders>
            <w:noWrap/>
            <w:vAlign w:val="center"/>
          </w:tcPr>
          <w:p w14:paraId="4D4C1CA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3AE48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BD002D8">
            <w:pPr>
              <w:jc w:val="right"/>
              <w:rPr>
                <w:rFonts w:hint="default" w:ascii="Times New Roman" w:hAnsi="Times New Roman" w:eastAsia="宋体" w:cs="Times New Roman"/>
                <w:i w:val="0"/>
                <w:iCs w:val="0"/>
                <w:color w:val="000000"/>
                <w:sz w:val="20"/>
                <w:szCs w:val="20"/>
                <w:highlight w:val="none"/>
                <w:u w:val="none"/>
              </w:rPr>
            </w:pPr>
          </w:p>
        </w:tc>
      </w:tr>
      <w:tr w14:paraId="1DDC1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FFEB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20138</w:t>
            </w:r>
          </w:p>
        </w:tc>
        <w:tc>
          <w:tcPr>
            <w:tcW w:w="635" w:type="pct"/>
            <w:tcBorders>
              <w:top w:val="nil"/>
              <w:left w:val="nil"/>
              <w:bottom w:val="single" w:color="000000" w:sz="4" w:space="0"/>
              <w:right w:val="single" w:color="000000" w:sz="4" w:space="0"/>
            </w:tcBorders>
            <w:noWrap/>
            <w:vAlign w:val="center"/>
          </w:tcPr>
          <w:p w14:paraId="47D80D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市场监督管理事务</w:t>
            </w:r>
          </w:p>
        </w:tc>
        <w:tc>
          <w:tcPr>
            <w:tcW w:w="603" w:type="pct"/>
            <w:tcBorders>
              <w:top w:val="nil"/>
              <w:left w:val="nil"/>
              <w:bottom w:val="single" w:color="000000" w:sz="4" w:space="0"/>
              <w:right w:val="single" w:color="000000" w:sz="4" w:space="0"/>
            </w:tcBorders>
            <w:noWrap/>
            <w:vAlign w:val="center"/>
          </w:tcPr>
          <w:p w14:paraId="161507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825.40</w:t>
            </w:r>
          </w:p>
        </w:tc>
        <w:tc>
          <w:tcPr>
            <w:tcW w:w="602" w:type="pct"/>
            <w:gridSpan w:val="2"/>
            <w:tcBorders>
              <w:top w:val="nil"/>
              <w:left w:val="nil"/>
              <w:bottom w:val="single" w:color="000000" w:sz="4" w:space="0"/>
              <w:right w:val="single" w:color="000000" w:sz="4" w:space="0"/>
            </w:tcBorders>
            <w:noWrap/>
            <w:vAlign w:val="center"/>
          </w:tcPr>
          <w:p w14:paraId="31A2313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93D3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825.40</w:t>
            </w:r>
          </w:p>
        </w:tc>
        <w:tc>
          <w:tcPr>
            <w:tcW w:w="602" w:type="pct"/>
            <w:gridSpan w:val="2"/>
            <w:tcBorders>
              <w:top w:val="nil"/>
              <w:left w:val="nil"/>
              <w:bottom w:val="single" w:color="000000" w:sz="4" w:space="0"/>
              <w:right w:val="single" w:color="000000" w:sz="4" w:space="0"/>
            </w:tcBorders>
            <w:noWrap/>
            <w:vAlign w:val="center"/>
          </w:tcPr>
          <w:p w14:paraId="173D12A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F3EAD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80880C">
            <w:pPr>
              <w:jc w:val="right"/>
              <w:rPr>
                <w:rFonts w:hint="default" w:ascii="Times New Roman" w:hAnsi="Times New Roman" w:eastAsia="宋体" w:cs="Times New Roman"/>
                <w:i w:val="0"/>
                <w:iCs w:val="0"/>
                <w:color w:val="000000"/>
                <w:sz w:val="20"/>
                <w:szCs w:val="20"/>
                <w:highlight w:val="none"/>
                <w:u w:val="none"/>
              </w:rPr>
            </w:pPr>
          </w:p>
        </w:tc>
      </w:tr>
      <w:tr w14:paraId="39A1C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541A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2013812</w:t>
            </w:r>
          </w:p>
        </w:tc>
        <w:tc>
          <w:tcPr>
            <w:tcW w:w="635" w:type="pct"/>
            <w:tcBorders>
              <w:top w:val="nil"/>
              <w:left w:val="nil"/>
              <w:bottom w:val="single" w:color="000000" w:sz="4" w:space="0"/>
              <w:right w:val="single" w:color="000000" w:sz="4" w:space="0"/>
            </w:tcBorders>
            <w:noWrap/>
            <w:vAlign w:val="center"/>
          </w:tcPr>
          <w:p w14:paraId="252006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药品事务</w:t>
            </w:r>
          </w:p>
        </w:tc>
        <w:tc>
          <w:tcPr>
            <w:tcW w:w="603" w:type="pct"/>
            <w:tcBorders>
              <w:top w:val="nil"/>
              <w:left w:val="nil"/>
              <w:bottom w:val="single" w:color="000000" w:sz="4" w:space="0"/>
              <w:right w:val="single" w:color="000000" w:sz="4" w:space="0"/>
            </w:tcBorders>
            <w:noWrap/>
            <w:vAlign w:val="center"/>
          </w:tcPr>
          <w:p w14:paraId="0D4954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825.40</w:t>
            </w:r>
          </w:p>
        </w:tc>
        <w:tc>
          <w:tcPr>
            <w:tcW w:w="602" w:type="pct"/>
            <w:gridSpan w:val="2"/>
            <w:tcBorders>
              <w:top w:val="nil"/>
              <w:left w:val="nil"/>
              <w:bottom w:val="single" w:color="000000" w:sz="4" w:space="0"/>
              <w:right w:val="single" w:color="000000" w:sz="4" w:space="0"/>
            </w:tcBorders>
            <w:noWrap/>
            <w:vAlign w:val="center"/>
          </w:tcPr>
          <w:p w14:paraId="791335F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9FD4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825.40</w:t>
            </w:r>
          </w:p>
        </w:tc>
        <w:tc>
          <w:tcPr>
            <w:tcW w:w="602" w:type="pct"/>
            <w:gridSpan w:val="2"/>
            <w:tcBorders>
              <w:top w:val="nil"/>
              <w:left w:val="nil"/>
              <w:bottom w:val="single" w:color="000000" w:sz="4" w:space="0"/>
              <w:right w:val="single" w:color="000000" w:sz="4" w:space="0"/>
            </w:tcBorders>
            <w:noWrap/>
            <w:vAlign w:val="center"/>
          </w:tcPr>
          <w:p w14:paraId="0CEB650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A5692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E5CB89">
            <w:pPr>
              <w:jc w:val="right"/>
              <w:rPr>
                <w:rFonts w:hint="default" w:ascii="Times New Roman" w:hAnsi="Times New Roman" w:eastAsia="宋体" w:cs="Times New Roman"/>
                <w:i w:val="0"/>
                <w:iCs w:val="0"/>
                <w:color w:val="000000"/>
                <w:sz w:val="20"/>
                <w:szCs w:val="20"/>
                <w:highlight w:val="none"/>
                <w:u w:val="none"/>
              </w:rPr>
            </w:pPr>
          </w:p>
        </w:tc>
      </w:tr>
      <w:tr w14:paraId="6CE34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BD6F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635" w:type="pct"/>
            <w:tcBorders>
              <w:top w:val="nil"/>
              <w:left w:val="nil"/>
              <w:bottom w:val="single" w:color="000000" w:sz="4" w:space="0"/>
              <w:right w:val="single" w:color="000000" w:sz="4" w:space="0"/>
            </w:tcBorders>
            <w:noWrap/>
            <w:vAlign w:val="center"/>
          </w:tcPr>
          <w:p w14:paraId="478C7D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603" w:type="pct"/>
            <w:tcBorders>
              <w:top w:val="nil"/>
              <w:left w:val="nil"/>
              <w:bottom w:val="single" w:color="000000" w:sz="4" w:space="0"/>
              <w:right w:val="single" w:color="000000" w:sz="4" w:space="0"/>
            </w:tcBorders>
            <w:noWrap/>
            <w:vAlign w:val="center"/>
          </w:tcPr>
          <w:p w14:paraId="0B6AC3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602" w:type="pct"/>
            <w:gridSpan w:val="2"/>
            <w:tcBorders>
              <w:top w:val="nil"/>
              <w:left w:val="nil"/>
              <w:bottom w:val="single" w:color="000000" w:sz="4" w:space="0"/>
              <w:right w:val="single" w:color="000000" w:sz="4" w:space="0"/>
            </w:tcBorders>
            <w:noWrap/>
            <w:vAlign w:val="center"/>
          </w:tcPr>
          <w:p w14:paraId="3E8EF3A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BD2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602" w:type="pct"/>
            <w:gridSpan w:val="2"/>
            <w:tcBorders>
              <w:top w:val="nil"/>
              <w:left w:val="nil"/>
              <w:bottom w:val="single" w:color="000000" w:sz="4" w:space="0"/>
              <w:right w:val="single" w:color="000000" w:sz="4" w:space="0"/>
            </w:tcBorders>
            <w:noWrap/>
            <w:vAlign w:val="center"/>
          </w:tcPr>
          <w:p w14:paraId="6D125FF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8BFD5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6E6F9A4">
            <w:pPr>
              <w:jc w:val="right"/>
              <w:rPr>
                <w:rFonts w:hint="default" w:ascii="Times New Roman" w:hAnsi="Times New Roman" w:eastAsia="宋体" w:cs="Times New Roman"/>
                <w:i w:val="0"/>
                <w:iCs w:val="0"/>
                <w:color w:val="000000"/>
                <w:sz w:val="20"/>
                <w:szCs w:val="20"/>
                <w:highlight w:val="none"/>
                <w:u w:val="none"/>
              </w:rPr>
            </w:pPr>
          </w:p>
        </w:tc>
      </w:tr>
      <w:tr w14:paraId="17766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A8D1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w:t>
            </w:r>
          </w:p>
        </w:tc>
        <w:tc>
          <w:tcPr>
            <w:tcW w:w="635" w:type="pct"/>
            <w:tcBorders>
              <w:top w:val="nil"/>
              <w:left w:val="nil"/>
              <w:bottom w:val="single" w:color="000000" w:sz="4" w:space="0"/>
              <w:right w:val="single" w:color="000000" w:sz="4" w:space="0"/>
            </w:tcBorders>
            <w:noWrap/>
            <w:vAlign w:val="center"/>
          </w:tcPr>
          <w:p w14:paraId="4AA067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603" w:type="pct"/>
            <w:tcBorders>
              <w:top w:val="nil"/>
              <w:left w:val="nil"/>
              <w:bottom w:val="single" w:color="000000" w:sz="4" w:space="0"/>
              <w:right w:val="single" w:color="000000" w:sz="4" w:space="0"/>
            </w:tcBorders>
            <w:noWrap/>
            <w:vAlign w:val="center"/>
          </w:tcPr>
          <w:p w14:paraId="756DD9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602" w:type="pct"/>
            <w:gridSpan w:val="2"/>
            <w:tcBorders>
              <w:top w:val="nil"/>
              <w:left w:val="nil"/>
              <w:bottom w:val="single" w:color="000000" w:sz="4" w:space="0"/>
              <w:right w:val="single" w:color="000000" w:sz="4" w:space="0"/>
            </w:tcBorders>
            <w:noWrap/>
            <w:vAlign w:val="center"/>
          </w:tcPr>
          <w:p w14:paraId="567622A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8F18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602" w:type="pct"/>
            <w:gridSpan w:val="2"/>
            <w:tcBorders>
              <w:top w:val="nil"/>
              <w:left w:val="nil"/>
              <w:bottom w:val="single" w:color="000000" w:sz="4" w:space="0"/>
              <w:right w:val="single" w:color="000000" w:sz="4" w:space="0"/>
            </w:tcBorders>
            <w:noWrap/>
            <w:vAlign w:val="center"/>
          </w:tcPr>
          <w:p w14:paraId="3A2DF50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63C7D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9BFE74B">
            <w:pPr>
              <w:jc w:val="right"/>
              <w:rPr>
                <w:rFonts w:hint="default" w:ascii="Times New Roman" w:hAnsi="Times New Roman" w:eastAsia="宋体" w:cs="Times New Roman"/>
                <w:i w:val="0"/>
                <w:iCs w:val="0"/>
                <w:color w:val="000000"/>
                <w:sz w:val="20"/>
                <w:szCs w:val="20"/>
                <w:highlight w:val="none"/>
                <w:u w:val="none"/>
              </w:rPr>
            </w:pPr>
          </w:p>
        </w:tc>
      </w:tr>
      <w:tr w14:paraId="0C9D5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A8E7E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2069999</w:t>
            </w:r>
          </w:p>
        </w:tc>
        <w:tc>
          <w:tcPr>
            <w:tcW w:w="635" w:type="pct"/>
            <w:tcBorders>
              <w:top w:val="nil"/>
              <w:left w:val="nil"/>
              <w:bottom w:val="single" w:color="000000" w:sz="4" w:space="0"/>
              <w:right w:val="single" w:color="000000" w:sz="4" w:space="0"/>
            </w:tcBorders>
            <w:noWrap/>
            <w:vAlign w:val="center"/>
          </w:tcPr>
          <w:p w14:paraId="01B24B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603" w:type="pct"/>
            <w:tcBorders>
              <w:top w:val="nil"/>
              <w:left w:val="nil"/>
              <w:bottom w:val="single" w:color="000000" w:sz="4" w:space="0"/>
              <w:right w:val="single" w:color="000000" w:sz="4" w:space="0"/>
            </w:tcBorders>
            <w:noWrap/>
            <w:vAlign w:val="center"/>
          </w:tcPr>
          <w:p w14:paraId="623412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602" w:type="pct"/>
            <w:gridSpan w:val="2"/>
            <w:tcBorders>
              <w:top w:val="nil"/>
              <w:left w:val="nil"/>
              <w:bottom w:val="single" w:color="000000" w:sz="4" w:space="0"/>
              <w:right w:val="single" w:color="000000" w:sz="4" w:space="0"/>
            </w:tcBorders>
            <w:noWrap/>
            <w:vAlign w:val="center"/>
          </w:tcPr>
          <w:p w14:paraId="0D66489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04A9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602" w:type="pct"/>
            <w:gridSpan w:val="2"/>
            <w:tcBorders>
              <w:top w:val="nil"/>
              <w:left w:val="nil"/>
              <w:bottom w:val="single" w:color="000000" w:sz="4" w:space="0"/>
              <w:right w:val="single" w:color="000000" w:sz="4" w:space="0"/>
            </w:tcBorders>
            <w:noWrap/>
            <w:vAlign w:val="center"/>
          </w:tcPr>
          <w:p w14:paraId="4D6872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D4309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A39F1F0">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部门（单位）：石家庄国际生物医药园管理委员会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2,890.34</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2,890.34</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4,161.45</w:t>
            </w: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4,161.45</w:t>
            </w: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7,051.78</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50"/>
        <w:gridCol w:w="3145"/>
        <w:gridCol w:w="1069"/>
        <w:gridCol w:w="512"/>
        <w:gridCol w:w="536"/>
        <w:gridCol w:w="371"/>
        <w:gridCol w:w="1214"/>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编制部门（单位）：石家庄国际生物医药园管理委员会</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7,051.78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419.32</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6,632.46</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2,890.34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419.32</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2,471.01</w:t>
            </w:r>
          </w:p>
        </w:tc>
      </w:tr>
      <w:tr w14:paraId="1A3C0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B6780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0CD4DE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7616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2,064.94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1A2D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419.32</w:t>
            </w:r>
          </w:p>
        </w:tc>
        <w:tc>
          <w:tcPr>
            <w:tcW w:w="1218" w:type="pct"/>
            <w:tcBorders>
              <w:top w:val="single" w:color="auto" w:sz="4" w:space="0"/>
              <w:left w:val="single" w:color="auto" w:sz="4" w:space="0"/>
              <w:bottom w:val="single" w:color="auto" w:sz="4" w:space="0"/>
              <w:right w:val="single" w:color="auto" w:sz="4" w:space="0"/>
            </w:tcBorders>
            <w:noWrap/>
            <w:vAlign w:val="center"/>
          </w:tcPr>
          <w:p w14:paraId="1FF439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1,645.61</w:t>
            </w:r>
          </w:p>
        </w:tc>
      </w:tr>
      <w:tr w14:paraId="11F46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394F3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42EBB0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4525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439.75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F392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419.32</w:t>
            </w:r>
          </w:p>
        </w:tc>
        <w:tc>
          <w:tcPr>
            <w:tcW w:w="1218" w:type="pct"/>
            <w:tcBorders>
              <w:top w:val="single" w:color="auto" w:sz="4" w:space="0"/>
              <w:left w:val="single" w:color="auto" w:sz="4" w:space="0"/>
              <w:bottom w:val="single" w:color="auto" w:sz="4" w:space="0"/>
              <w:right w:val="single" w:color="auto" w:sz="4" w:space="0"/>
            </w:tcBorders>
            <w:noWrap/>
            <w:vAlign w:val="center"/>
          </w:tcPr>
          <w:p w14:paraId="402A02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20.42</w:t>
            </w:r>
          </w:p>
        </w:tc>
      </w:tr>
      <w:tr w14:paraId="29CBB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3ACAB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552658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A9D0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1,625.19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6DFEA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9D921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1,625.19</w:t>
            </w:r>
          </w:p>
        </w:tc>
      </w:tr>
      <w:tr w14:paraId="62C4B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E289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20138</w:t>
            </w:r>
          </w:p>
        </w:tc>
        <w:tc>
          <w:tcPr>
            <w:tcW w:w="756" w:type="pct"/>
            <w:tcBorders>
              <w:top w:val="single" w:color="auto" w:sz="4" w:space="0"/>
              <w:left w:val="single" w:color="auto" w:sz="4" w:space="0"/>
              <w:bottom w:val="single" w:color="auto" w:sz="4" w:space="0"/>
              <w:right w:val="single" w:color="auto" w:sz="4" w:space="0"/>
            </w:tcBorders>
            <w:noWrap/>
            <w:vAlign w:val="center"/>
          </w:tcPr>
          <w:p w14:paraId="535D4A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市场监督管理事务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81BBB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CA462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9AAA0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825.40</w:t>
            </w:r>
          </w:p>
        </w:tc>
      </w:tr>
      <w:tr w14:paraId="2EBB1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89A80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2013812</w:t>
            </w:r>
          </w:p>
        </w:tc>
        <w:tc>
          <w:tcPr>
            <w:tcW w:w="756" w:type="pct"/>
            <w:tcBorders>
              <w:top w:val="single" w:color="auto" w:sz="4" w:space="0"/>
              <w:left w:val="single" w:color="auto" w:sz="4" w:space="0"/>
              <w:bottom w:val="single" w:color="auto" w:sz="4" w:space="0"/>
              <w:right w:val="single" w:color="auto" w:sz="4" w:space="0"/>
            </w:tcBorders>
            <w:noWrap/>
            <w:vAlign w:val="center"/>
          </w:tcPr>
          <w:p w14:paraId="41E9E7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药品事务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3F45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8B42C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10BE4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825.40</w:t>
            </w:r>
          </w:p>
        </w:tc>
      </w:tr>
      <w:tr w14:paraId="6AD3F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AAEFC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756" w:type="pct"/>
            <w:tcBorders>
              <w:top w:val="single" w:color="auto" w:sz="4" w:space="0"/>
              <w:left w:val="single" w:color="auto" w:sz="4" w:space="0"/>
              <w:bottom w:val="single" w:color="auto" w:sz="4" w:space="0"/>
              <w:right w:val="single" w:color="auto" w:sz="4" w:space="0"/>
            </w:tcBorders>
            <w:noWrap/>
            <w:vAlign w:val="center"/>
          </w:tcPr>
          <w:p w14:paraId="232DA6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DBEA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2AE24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9481C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r>
      <w:tr w14:paraId="41E79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9E214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w:t>
            </w:r>
          </w:p>
        </w:tc>
        <w:tc>
          <w:tcPr>
            <w:tcW w:w="756" w:type="pct"/>
            <w:tcBorders>
              <w:top w:val="single" w:color="auto" w:sz="4" w:space="0"/>
              <w:left w:val="single" w:color="auto" w:sz="4" w:space="0"/>
              <w:bottom w:val="single" w:color="auto" w:sz="4" w:space="0"/>
              <w:right w:val="single" w:color="auto" w:sz="4" w:space="0"/>
            </w:tcBorders>
            <w:noWrap/>
            <w:vAlign w:val="center"/>
          </w:tcPr>
          <w:p w14:paraId="19D850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59A6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51E8B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FD4A9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r>
      <w:tr w14:paraId="46155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66F5C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5C80C3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92B5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5F5C6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45588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4,161.45</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部门（单位）：石家庄国际生物医药园管理委员会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64.10</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10.17</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355.22</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53.93</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355.22</w:t>
            </w: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355.22</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64.10</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部门（单位）：石家庄国际生物医药园管理委员会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注：本表反映部门本年度政府性基金预算财政拨款收入、支出及结转和结余情况。（本部门无相关数据，本表空表列示）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部门（单位）：石家庄国际生物医药园管理委员会</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注：本表反映部门本年度国有资本经营预算财政拨款支出情况。（本部门无相关数据，本表空表列示）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部门（单位）：石家庄国际生物医药园管理委员会</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（本部门无相关数据，本表空表列示）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517C1B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7F2BE5F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6FEB85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本部门2024年度收、支总计（含结转和结余）均为7,053.78万元。与2023年度决算相比，收支各增加6,629.60万元，增长1,562.9%，主要原因是较2023年度增加了特定目标类项目。</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68A07AF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359C674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7,051.78万元，其中：财政拨款收入7,051.78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2910868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7C3D429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本部门2024年度本年支出合计7,051.79万元，其中：基本支出419.32万元，占5.9%；项目支出6,632.46万元，占94.1%；上缴上级支出0.00万元，占0.0%；经营支出0.00万元，占0.0%；对附属单位补助支出0.00万元，占0.0%。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AED8B8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685015B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65D9F57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本部门2024年度财政拨款收、支总计（含结转和结余）均为7,051.78万元。与2023年度相比，财政拨款收支各增加6,635.88万元，增长1,595.5%，主要原因是增加了特定目标类项目。</w:t>
      </w:r>
    </w:p>
    <w:p w14:paraId="1475A6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7,051.78万元,比上年增加6,635.88万元，增长1,595.5%，主要原因是增加了特定目标类项目；本年支出7,051.78万元，比上年增加6,635.88万元，增长1,595.5%，主要原因是增加了特定目标类项目。具体情况如下：</w:t>
      </w:r>
    </w:p>
    <w:p w14:paraId="7A8EF5B7">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7,051.78万元,比上年增加6,635.88万元，增长1,595.5%，主要原因是增加了特定目标类项目；本年支出7,051.78万元，比上年增加6,635.88万元，增长1,595.5%，主要原因是增加了特定目标类项目。</w:t>
      </w:r>
    </w:p>
    <w:p w14:paraId="42FB50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w:t>
      </w:r>
      <w:r>
        <w:rPr>
          <w:rFonts w:hint="eastAsia" w:ascii="Times New Roman" w:eastAsia="仿宋_GB2312"/>
          <w:b w:val="0"/>
          <w:sz w:val="32"/>
          <w:szCs w:val="32"/>
          <w:lang w:val="en-US" w:eastAsia="zh-CN"/>
        </w:rPr>
        <w:t>本部门无</w:t>
      </w:r>
      <w:r>
        <w:rPr>
          <w:rFonts w:ascii="Times New Roman" w:eastAsia="仿宋_GB2312"/>
          <w:b w:val="0"/>
          <w:sz w:val="32"/>
          <w:szCs w:val="32"/>
        </w:rPr>
        <w:t>政府性基金预算财政拨款；本年支出0.00万元，比上年增加0.00万元，增长0.00%，主要原因是</w:t>
      </w:r>
      <w:r>
        <w:rPr>
          <w:rFonts w:hint="eastAsia" w:ascii="Times New Roman" w:eastAsia="仿宋_GB2312"/>
          <w:b w:val="0"/>
          <w:sz w:val="32"/>
          <w:szCs w:val="32"/>
          <w:lang w:val="en-US" w:eastAsia="zh-CN"/>
        </w:rPr>
        <w:t>本部门无</w:t>
      </w:r>
      <w:r>
        <w:rPr>
          <w:rFonts w:ascii="Times New Roman" w:eastAsia="仿宋_GB2312"/>
          <w:b w:val="0"/>
          <w:sz w:val="32"/>
          <w:szCs w:val="32"/>
        </w:rPr>
        <w:t>政府性基金预算财政拨款。</w:t>
      </w:r>
    </w:p>
    <w:p w14:paraId="635D0B8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w:t>
      </w:r>
      <w:r>
        <w:rPr>
          <w:rFonts w:hint="eastAsia" w:ascii="Times New Roman" w:eastAsia="仿宋_GB2312"/>
          <w:b w:val="0"/>
          <w:sz w:val="32"/>
          <w:szCs w:val="32"/>
          <w:lang w:val="en-US" w:eastAsia="zh-CN"/>
        </w:rPr>
        <w:t>本部门无</w:t>
      </w:r>
      <w:r>
        <w:rPr>
          <w:rFonts w:ascii="Times New Roman" w:eastAsia="仿宋_GB2312"/>
          <w:b w:val="0"/>
          <w:sz w:val="32"/>
          <w:szCs w:val="32"/>
        </w:rPr>
        <w:t>国有资本经营预算财政拨款；本年支出0.00万元，比上年增加0.00万元，增长0.00%，主要原因是</w:t>
      </w:r>
      <w:r>
        <w:rPr>
          <w:rFonts w:hint="eastAsia" w:ascii="Times New Roman" w:eastAsia="仿宋_GB2312"/>
          <w:b w:val="0"/>
          <w:sz w:val="32"/>
          <w:szCs w:val="32"/>
          <w:lang w:val="en-US" w:eastAsia="zh-CN"/>
        </w:rPr>
        <w:t>本部门无</w:t>
      </w:r>
      <w:r>
        <w:rPr>
          <w:rFonts w:ascii="Times New Roman" w:eastAsia="仿宋_GB2312"/>
          <w:b w:val="0"/>
          <w:sz w:val="32"/>
          <w:szCs w:val="32"/>
        </w:rPr>
        <w:t>国有资本经营预算财政拨款。</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BE45E3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4E7432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7,051.78万元，完成年初预算的1,271.4%，比年初预算增加6,497.13万元，决算数大于预算数主要原因是增加了特定目标类项目；本年支出7,051.78万元，完成年初预算的1,271.4%，比年初预算增加6,497.13万元，决算数大于预算数主要原因是增加了药械技术服务中心仪器设备购置项目、特药检中心运行经费等特定目标类项目。具体情况如下：</w:t>
      </w:r>
    </w:p>
    <w:p w14:paraId="51584EF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1,271.4%，比年初预算增加6,497.13万元，主要原因是增加了特定目标类项目；支出完成年初预算的1,271.4%，比年初预算增加6,497.13万元，主要原因是增加了特定目标类项目。</w:t>
      </w:r>
    </w:p>
    <w:p w14:paraId="4AFF85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2.政府性基金预算财政拨款本年收入完成年初预算的0.0%，比年初预算增加0.00万元，主要原因是</w:t>
      </w:r>
      <w:r>
        <w:rPr>
          <w:rFonts w:hint="eastAsia" w:ascii="Times New Roman" w:eastAsia="仿宋_GB2312"/>
          <w:b w:val="0"/>
          <w:sz w:val="32"/>
          <w:szCs w:val="32"/>
          <w:lang w:val="en-US" w:eastAsia="zh-CN"/>
        </w:rPr>
        <w:t>本部门无</w:t>
      </w:r>
      <w:r>
        <w:rPr>
          <w:rFonts w:ascii="Times New Roman" w:eastAsia="仿宋_GB2312"/>
          <w:b w:val="0"/>
          <w:sz w:val="32"/>
          <w:szCs w:val="32"/>
        </w:rPr>
        <w:t>政府性基金预算财政拨款；支出完成年初预算的0.0%，比年初预算增加0.00万元，主要原因是</w:t>
      </w:r>
      <w:r>
        <w:rPr>
          <w:rFonts w:hint="eastAsia" w:ascii="Times New Roman" w:eastAsia="仿宋_GB2312"/>
          <w:b w:val="0"/>
          <w:sz w:val="32"/>
          <w:szCs w:val="32"/>
          <w:lang w:val="en-US" w:eastAsia="zh-CN"/>
        </w:rPr>
        <w:t>本部门无</w:t>
      </w:r>
      <w:r>
        <w:rPr>
          <w:rFonts w:ascii="Times New Roman" w:eastAsia="仿宋_GB2312"/>
          <w:b w:val="0"/>
          <w:sz w:val="32"/>
          <w:szCs w:val="32"/>
        </w:rPr>
        <w:t>政府性基金预算财政拨款。</w:t>
      </w:r>
    </w:p>
    <w:p w14:paraId="0E3B032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3.国有资本经营预算财政拨款本年收入完成年初预算的0.0%，比年初预算增加0.00万元，主要原因是</w:t>
      </w:r>
      <w:r>
        <w:rPr>
          <w:rFonts w:hint="eastAsia" w:ascii="Times New Roman" w:eastAsia="仿宋_GB2312"/>
          <w:b w:val="0"/>
          <w:sz w:val="32"/>
          <w:szCs w:val="32"/>
          <w:lang w:val="en-US" w:eastAsia="zh-CN"/>
        </w:rPr>
        <w:t>本部门无</w:t>
      </w:r>
      <w:r>
        <w:rPr>
          <w:rFonts w:ascii="Times New Roman" w:eastAsia="仿宋_GB2312"/>
          <w:b w:val="0"/>
          <w:sz w:val="32"/>
          <w:szCs w:val="32"/>
        </w:rPr>
        <w:t>国有资本经营预算财政拨款；支出完成年初预算的0.0%，比年初预算增加0.00万元，主要原因是</w:t>
      </w:r>
      <w:r>
        <w:rPr>
          <w:rFonts w:hint="eastAsia" w:ascii="Times New Roman" w:eastAsia="仿宋_GB2312"/>
          <w:b w:val="0"/>
          <w:sz w:val="32"/>
          <w:szCs w:val="32"/>
          <w:lang w:val="en-US" w:eastAsia="zh-CN"/>
        </w:rPr>
        <w:t>本部门无</w:t>
      </w:r>
      <w:r>
        <w:rPr>
          <w:rFonts w:ascii="Times New Roman" w:eastAsia="仿宋_GB2312"/>
          <w:b w:val="0"/>
          <w:sz w:val="32"/>
          <w:szCs w:val="32"/>
        </w:rPr>
        <w:t>国有资本经营预算财政拨款。</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BBED09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5666C4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2024年度财政拨款支出7,051.78万元，主要用于以下方面：</w:t>
      </w:r>
    </w:p>
    <w:p w14:paraId="46F29AF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906758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2,890.34万元，占41.0%，主要用于公用经费和特定目标类项目等支出；外交（类）支出0.00万元，占0.0%，主要用于等支出；国防（类）支出0.00万元，占0.0%，主要用于等支出；公共安全类（类）支出0.00万元，占0.0%，主要用于等支出；教育（类）支出0.00万元，占0.0%，主要用于等支出；科学技术（类）支出4,161.45万元，占59.0%，主要用于特定目标类项目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1FA32BF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1D5E5C7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06262AB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00785AD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C89AE2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05F636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2024年度财政拨款基本支出419.32万元，其中：</w:t>
      </w:r>
    </w:p>
    <w:p w14:paraId="7E35CDB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355.22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780A2B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64.10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5C4DA6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2A113BF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40A3C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0.00万元，支出决算为0.00万元，完成预算的0.0%，较预算增加0.00万元，增长0.0%，主要原因是落实中央八项规定精神和厉行节约要求，管理制度不断完善；较2023年度决算增加0.00万元，增长0.00%，主要原因是无“三公”经费支出。</w:t>
      </w:r>
    </w:p>
    <w:p w14:paraId="4F99344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1F0E711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未安排因公出国（境）任务；较上年增加0.00万元，增长0.00%,主要原因是未安排因公出国（境）任务。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人/无本部门组织的出国（境）团组。</w:t>
      </w:r>
    </w:p>
    <w:p w14:paraId="0C40696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本部门2024年度公务用车购置及运行维护费预算为0.00万元，支出决算0.00万元，完成预算的0.0%,较预算增加0.00万元，增长0.0%,主要原因是</w:t>
      </w:r>
      <w:r>
        <w:rPr>
          <w:rFonts w:hint="eastAsia" w:ascii="Times New Roman" w:eastAsia="仿宋_GB2312"/>
          <w:b w:val="0"/>
          <w:sz w:val="32"/>
          <w:szCs w:val="32"/>
          <w:lang w:val="en-US" w:eastAsia="zh-CN"/>
        </w:rPr>
        <w:t>本部门无公务车辆</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本部门无公务车辆</w:t>
      </w:r>
      <w:r>
        <w:rPr>
          <w:rFonts w:ascii="Times New Roman" w:eastAsia="仿宋_GB2312"/>
          <w:b w:val="0"/>
          <w:sz w:val="32"/>
          <w:szCs w:val="32"/>
        </w:rPr>
        <w:t>。其中：</w:t>
      </w:r>
    </w:p>
    <w:p w14:paraId="020C864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本部门2024年度公务用车购置量0辆，发生“公务用车购置”经费支出0.00万元。公务用车购置费支出较预算增加0.00万元，增长0.0%,主要原因是</w:t>
      </w:r>
      <w:r>
        <w:rPr>
          <w:rFonts w:hint="eastAsia" w:ascii="Times New Roman" w:eastAsia="仿宋_GB2312"/>
          <w:b w:val="0"/>
          <w:sz w:val="32"/>
          <w:szCs w:val="32"/>
          <w:lang w:val="en-US" w:eastAsia="zh-CN"/>
        </w:rPr>
        <w:t>本部门无公务用车购置费</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本部门无公务用车购置费</w:t>
      </w:r>
      <w:r>
        <w:rPr>
          <w:rFonts w:ascii="Times New Roman" w:eastAsia="仿宋_GB2312"/>
          <w:b w:val="0"/>
          <w:sz w:val="32"/>
          <w:szCs w:val="32"/>
        </w:rPr>
        <w:t>。</w:t>
      </w:r>
    </w:p>
    <w:p w14:paraId="7DE75D5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本部门2024年度单位公务用车保有量0辆，发生运行维护费支出0.00万元。公车运行维护费支出较预算增加0.00万元，增长0.0%,主要原因是</w:t>
      </w:r>
      <w:r>
        <w:rPr>
          <w:rFonts w:hint="eastAsia" w:ascii="Times New Roman" w:eastAsia="仿宋_GB2312"/>
          <w:b w:val="0"/>
          <w:sz w:val="32"/>
          <w:szCs w:val="32"/>
          <w:lang w:val="en-US" w:eastAsia="zh-CN"/>
        </w:rPr>
        <w:t>本部门无公务车辆</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本部门无公务车辆</w:t>
      </w:r>
      <w:r>
        <w:rPr>
          <w:rFonts w:ascii="Times New Roman" w:eastAsia="仿宋_GB2312"/>
          <w:b w:val="0"/>
          <w:sz w:val="32"/>
          <w:szCs w:val="32"/>
        </w:rPr>
        <w:t>。</w:t>
      </w:r>
    </w:p>
    <w:p w14:paraId="6EBA960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本部门2024年度公务接待费支出预算为0.00万元，支出决算0.00万元，完成预算的0.0%。公务接待费支出较预算增加0.00万元，增长0.0%,主要原因是</w:t>
      </w:r>
      <w:r>
        <w:rPr>
          <w:rFonts w:hint="eastAsia" w:ascii="Times New Roman" w:eastAsia="仿宋_GB2312"/>
          <w:b w:val="0"/>
          <w:sz w:val="32"/>
          <w:szCs w:val="32"/>
          <w:lang w:val="en-US" w:eastAsia="zh-CN"/>
        </w:rPr>
        <w:t>本部门无公务接待</w:t>
      </w:r>
      <w:r>
        <w:rPr>
          <w:rFonts w:ascii="Times New Roman" w:eastAsia="仿宋_GB2312"/>
          <w:b w:val="0"/>
          <w:sz w:val="32"/>
          <w:szCs w:val="32"/>
        </w:rPr>
        <w:t>；较上年度增加0.00万元，增长0.00%,主要原因是</w:t>
      </w:r>
      <w:r>
        <w:rPr>
          <w:rFonts w:hint="eastAsia" w:ascii="Times New Roman" w:eastAsia="仿宋_GB2312"/>
          <w:b w:val="0"/>
          <w:sz w:val="32"/>
          <w:szCs w:val="32"/>
          <w:lang w:val="en-US" w:eastAsia="zh-CN"/>
        </w:rPr>
        <w:t>本部门无公务接待</w:t>
      </w:r>
      <w:r>
        <w:rPr>
          <w:rFonts w:ascii="Times New Roman" w:eastAsia="仿宋_GB2312"/>
          <w:b w:val="0"/>
          <w:sz w:val="32"/>
          <w:szCs w:val="32"/>
        </w:rPr>
        <w:t>。本年度共发生公务接待0批次、0人次。</w:t>
      </w:r>
    </w:p>
    <w:p w14:paraId="01FFACE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7432346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本部门2024年度机关运行经费支出64.10万元，较2023年度增加59.96万元，增长1,448.3%。主要原因是单位人员增加。</w:t>
      </w:r>
    </w:p>
    <w:p w14:paraId="5D69BC9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4723837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937.43万元，从采购类型来看，政府采购货物支出937.43万元、政府采购工程支出0.00万元、政府采购服务支出0.00万元。授予中小企业合同金额937.43万元，占政府采购支出总额的100.0%，其中授予小微企业合同金额937.43万元，占政府采购支出总额的100.0%。</w:t>
      </w:r>
    </w:p>
    <w:p w14:paraId="6F14347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3F49C96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5台（套）。</w:t>
      </w:r>
    </w:p>
    <w:p w14:paraId="3A8D5A7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4A6550A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3F3F8C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6,632.46万元（决算金额）。其中，一般公共预算项目10个，涉及资金6,632.46万元，占一般公共预算项目支出总额的100%；政府性基金预算项目个，涉及资金万元，占政府性基金预算项目支出总额的%；国有资本经营预算项目个，涉及资金万元，占国有资本经营预算项目支出总额的%。</w:t>
      </w:r>
    </w:p>
    <w:p w14:paraId="672563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药械技术服务中心仪器设备购置项目经费等1个项目开展了部门重点评价，涉及一般公共预算支出1,686.82万元，政府性基金预算支出万元，国有资本经营预算支出万元，从评价情况来看，已购置专业设备，保障了药械技术服务中心工作展开。</w:t>
      </w:r>
    </w:p>
    <w:p w14:paraId="5343E88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6AA2A60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本部门在今年部门决算公开中反映药械技术服务中心仪器设备购置项目经费等1个项目绩效自评结果。</w:t>
      </w:r>
    </w:p>
    <w:p w14:paraId="134C3F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药械技术服务中心仪器设备购置项目经费项目绩效自评情况：根据年初设定的绩效目标，药械技术服务中心仪器设备购置项目经费项目绩效自评得分为94分（绩效自评表附后）。全年预算数为1,686.82万元，执行数为1,686.82万元，完成预算的100%。项目绩效目标完成情况：一是购置仪器设备83台（套）；二是验收仪器设备质量合格率达100%。发现的主要问题及原因是：</w:t>
      </w:r>
      <w:r>
        <w:rPr>
          <w:rFonts w:hint="eastAsia" w:ascii="Times New Roman" w:eastAsia="仿宋_GB2312"/>
          <w:b w:val="0"/>
          <w:sz w:val="32"/>
          <w:szCs w:val="32"/>
          <w:lang w:val="en-US" w:eastAsia="zh-CN"/>
        </w:rPr>
        <w:t>无</w:t>
      </w:r>
      <w:r>
        <w:rPr>
          <w:rFonts w:ascii="Times New Roman" w:eastAsia="仿宋_GB2312"/>
          <w:b w:val="0"/>
          <w:sz w:val="32"/>
          <w:szCs w:val="32"/>
        </w:rPr>
        <w:t>。下一步改进措施：</w:t>
      </w:r>
      <w:r>
        <w:rPr>
          <w:rFonts w:hint="eastAsia" w:ascii="Times New Roman" w:eastAsia="仿宋_GB2312"/>
          <w:b w:val="0"/>
          <w:sz w:val="32"/>
          <w:szCs w:val="32"/>
          <w:lang w:val="en-US" w:eastAsia="zh-CN"/>
        </w:rPr>
        <w:t>无</w:t>
      </w:r>
      <w:bookmarkStart w:id="0" w:name="_GoBack"/>
      <w:bookmarkEnd w:id="0"/>
      <w:r>
        <w:rPr>
          <w:rFonts w:ascii="Times New Roman" w:eastAsia="仿宋_GB2312"/>
          <w:b w:val="0"/>
          <w:sz w:val="32"/>
          <w:szCs w:val="32"/>
        </w:rPr>
        <w:t>。</w:t>
      </w:r>
    </w:p>
    <w:p w14:paraId="02DBEDD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33D477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6AB93B2A">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2B0A4B0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1.本部门2024年度政府性基金预算财政拨款收入支出决算表（公开07表）、国有资本经营预算财政拨款支出决算表（公开08表）、财政拨款“三公”经费支出决算表（公开09表）无相应收支，故空表列示。</w:t>
      </w:r>
    </w:p>
    <w:p w14:paraId="297FAFE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669309E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0F466A1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0A04271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5EC2428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62F80D9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0D5295C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7F33C8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2CC4232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0D2D37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089E52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475F350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77A987E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139D184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5314BF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2D909D8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67E04A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679B8B5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1E27624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381A7A9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507446FA-1929-4F53-BF53-E78DD3BD3673}"/>
  </w:font>
  <w:font w:name="黑体">
    <w:panose1 w:val="02010609060101010101"/>
    <w:charset w:val="86"/>
    <w:family w:val="auto"/>
    <w:pitch w:val="default"/>
    <w:sig w:usb0="800002BF" w:usb1="38CF7CFA" w:usb2="00000016" w:usb3="00000000" w:csb0="00040001" w:csb1="00000000"/>
    <w:embedRegular r:id="rId2" w:fontKey="{8F874E8D-E2B9-4380-A8D6-AC10773CD89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4D8F001E-EFFC-4EC2-A95D-A731AF6F3E1C}"/>
  </w:font>
  <w:font w:name="仿宋">
    <w:panose1 w:val="02010609060101010101"/>
    <w:charset w:val="86"/>
    <w:family w:val="modern"/>
    <w:pitch w:val="default"/>
    <w:sig w:usb0="800002BF" w:usb1="38CF7CFA" w:usb2="00000016" w:usb3="00000000" w:csb0="00040001" w:csb1="00000000"/>
    <w:embedRegular r:id="rId4" w:fontKey="{A06471AA-8D2D-4D30-8B66-75C012D41E56}"/>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2F2769E9-44C1-47D2-BD7A-ED8D28FF13E0}"/>
  </w:font>
  <w:font w:name="方正小标宋_GBK">
    <w:panose1 w:val="02000000000000000000"/>
    <w:charset w:val="86"/>
    <w:family w:val="script"/>
    <w:pitch w:val="default"/>
    <w:sig w:usb0="A00002BF" w:usb1="38CF7CFA" w:usb2="00082016" w:usb3="00000000" w:csb0="00040001" w:csb1="00000000"/>
    <w:embedRegular r:id="rId6" w:fontKey="{FD57529F-BC86-4458-AAF4-DF4BFB71577C}"/>
  </w:font>
  <w:font w:name="仿宋_GB2312">
    <w:panose1 w:val="02010609030101010101"/>
    <w:charset w:val="86"/>
    <w:family w:val="auto"/>
    <w:pitch w:val="default"/>
    <w:sig w:usb0="00000001" w:usb1="080E0000" w:usb2="00000000" w:usb3="00000000" w:csb0="00040000" w:csb1="00000000"/>
    <w:embedRegular r:id="rId7" w:fontKey="{7A722107-4450-41A3-BE4A-0B0999E3F2B9}"/>
  </w:font>
  <w:font w:name="ArialUnicodeMS">
    <w:altName w:val="Malgun Gothic"/>
    <w:panose1 w:val="00000000000000000000"/>
    <w:charset w:val="81"/>
    <w:family w:val="auto"/>
    <w:pitch w:val="default"/>
    <w:sig w:usb0="00000000" w:usb1="00000000" w:usb2="00000010" w:usb3="00000000" w:csb0="00080001" w:csb1="00000000"/>
    <w:embedRegular r:id="rId8" w:fontKey="{6451B08C-651D-4FE3-8895-094683C8845D}"/>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6025B90E-89E8-4E90-A3B5-4EF3C79C3EBD}"/>
  </w:font>
  <w:font w:name="WPSEMBED3">
    <w:panose1 w:val="02000000000000000000"/>
    <w:charset w:val="86"/>
    <w:family w:val="auto"/>
    <w:pitch w:val="default"/>
    <w:sig w:usb0="A00002BF" w:usb1="38CF7CFA" w:usb2="00082016" w:usb3="00000000" w:csb0="00040001" w:csb1="00000000"/>
  </w:font>
  <w:font w:name="WPSEMBED4">
    <w:panose1 w:val="02000000000000000000"/>
    <w:charset w:val="86"/>
    <w:family w:val="auto"/>
    <w:pitch w:val="default"/>
    <w:sig w:usb0="A00002BF" w:usb1="184F6CFA" w:usb2="00000012" w:usb3="00000000" w:csb0="00040001" w:csb1="00000000"/>
  </w:font>
  <w:font w:name="方正仿宋_GB2312">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B46A3">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36E64"/>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D42F98"/>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CA7592"/>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20E2E"/>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1725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877CA1"/>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1952D1"/>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551D83"/>
    <w:rsid w:val="7D5947FB"/>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424.18</c:v>
                </c:pt>
                <c:pt idx="1">
                  <c:v>7053.78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70517848.54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4193243.75</c:v>
                </c:pt>
                <c:pt idx="1">
                  <c:v>66324606.79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415.9</c:v>
                </c:pt>
                <c:pt idx="1">
                  <c:v>415.9</c:v>
                </c:pt>
                <c:pt idx="2">
                  <c:v>415.9</c:v>
                </c:pt>
                <c:pt idx="3">
                  <c:v>415.9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7051.78</c:v>
                </c:pt>
                <c:pt idx="1">
                  <c:v>7051.78</c:v>
                </c:pt>
                <c:pt idx="2">
                  <c:v>7051.78</c:v>
                </c:pt>
                <c:pt idx="3">
                  <c:v>7051.78</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554.65</c:v>
                </c:pt>
                <c:pt idx="1">
                  <c:v>554.65</c:v>
                </c:pt>
                <c:pt idx="2">
                  <c:v>554.65</c:v>
                </c:pt>
                <c:pt idx="3">
                  <c:v>554.65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7051.78</c:v>
                </c:pt>
                <c:pt idx="1">
                  <c:v>7051.78</c:v>
                </c:pt>
                <c:pt idx="2">
                  <c:v>7051.78</c:v>
                </c:pt>
                <c:pt idx="3">
                  <c:v>7051.78</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2890.34</c:v>
                </c:pt>
                <c:pt idx="1">
                  <c:v>0</c:v>
                </c:pt>
                <c:pt idx="2">
                  <c:v>0</c:v>
                </c:pt>
                <c:pt idx="3">
                  <c:v>0</c:v>
                </c:pt>
                <c:pt idx="4">
                  <c:v>0</c:v>
                </c:pt>
                <c:pt idx="5">
                  <c:v>4161.45</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37</Pages>
  <Words>2693</Words>
  <Characters>3518</Characters>
  <Lines>86</Lines>
  <Paragraphs>24</Paragraphs>
  <TotalTime>0</TotalTime>
  <ScaleCrop>false</ScaleCrop>
  <LinksUpToDate>false</LinksUpToDate>
  <CharactersWithSpaces>3857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葫芦大叔</cp:lastModifiedBy>
  <cp:lastPrinted>2023-08-04T01:00:00Z</cp:lastPrinted>
  <dcterms:modified xsi:type="dcterms:W3CDTF">2025-09-10T06:28:44Z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eyJoZGlkIjoiNWNhOGEyNWVlYTg1ZWZiMDhlZTdmZTBhODIyOGQzYzkiLCJ1c2VySWQiOiI2MTk2MTk1NzIifQ==</vt:lpwstr>
  </property>
</Properties>
</file>