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441001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：石家庄国际生物医药园管理委员会(本级)</w:t>
      </w:r>
    </w:p>
    <w:p w14:paraId="283D5900">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7B652A0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石家庄国际生物医药园管理委员会(本级)</w:t>
      </w:r>
    </w:p>
    <w:p w14:paraId="48419DA9">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161A4172">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石家庄国际生物医药园管理委员会(本级)(单位名称，加盖公章）</w:t>
      </w:r>
    </w:p>
    <w:p w14:paraId="6897043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F659694">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29ABA30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162620C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47C493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6D3838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AE2519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24E3C9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AAF5B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A9DC2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4240C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418B55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3692A8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9F85E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65D94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1C04B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3FE6D0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35266C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5B2E24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B2404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45F42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D5C0D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1E657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5A2E6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F35DB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BD8E3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2D4A3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288414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5EB744CA">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DB2C4F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4149308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14CEF8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（一）贯彻落实党的方针、政策和工委、管委的决议。​</w:t>
      </w:r>
    </w:p>
    <w:p w14:paraId="2C8DBF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（二）负责研究制定全区生物医药发展战略、产业规划、发展政策，统筹推进园区产业发展工作。 ​</w:t>
      </w:r>
    </w:p>
    <w:p w14:paraId="1ADE23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（三）负责组织编制生物医药园规划方案、项目选址方案，并组织具体实施；组织实施园区基础设施及配套建设等工作。​</w:t>
      </w:r>
    </w:p>
    <w:p w14:paraId="380867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（四）负责生物医药园管理和综合协调工作，研究制定具体管理规定和改革措施。 ​</w:t>
      </w:r>
    </w:p>
    <w:p w14:paraId="3C7556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（五）负责生物医药园项目落地、项目建设、项目运营、项目服务等全链条推进工作。 ​</w:t>
      </w:r>
    </w:p>
    <w:p w14:paraId="59C6BC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（六）负责入园项目报建和组织验收工作。 ​</w:t>
      </w:r>
    </w:p>
    <w:p w14:paraId="61EE27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（七）负责综合统筹生物医药园的资金运作、投资、融资管理等工作。 ​</w:t>
      </w:r>
    </w:p>
    <w:p w14:paraId="0A91A3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（八）负责管理生物医药园平台公司。 ​</w:t>
      </w:r>
    </w:p>
    <w:p w14:paraId="36CCCD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（九）完成工委、管委会交办的其他事项。</w:t>
      </w:r>
    </w:p>
    <w:p w14:paraId="4BCDF58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F4C78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石家庄国际生物医药园管理委员会(本级)</w:t>
            </w:r>
          </w:p>
        </w:tc>
        <w:tc>
          <w:tcPr>
            <w:tcW w:w="244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我部门无二级预算单位，因此石家庄国际生物医药园管理委员会2024年度部门决算即石家庄国际生物医药园管理委员会本级2024年度决算。</w:t>
      </w:r>
    </w:p>
    <w:p w14:paraId="7B9DE92B">
      <w:pPr>
        <w:rPr>
          <w:rFonts w:hint="eastAsia" w:ascii="Times New Roman" w:eastAsia="仿宋_GB2312"/>
          <w:b w:val="0"/>
          <w:sz w:val="32"/>
          <w:szCs w:val="32"/>
          <w:lang w:val="en-US" w:eastAsia="zh-CN"/>
        </w:rPr>
      </w:pPr>
    </w:p>
    <w:p w14:paraId="53692619">
      <w:pPr>
        <w:rPr>
          <w:rFonts w:hint="eastAsia" w:ascii="Times New Roman" w:eastAsia="仿宋_GB2312"/>
          <w:b w:val="0"/>
          <w:sz w:val="32"/>
          <w:szCs w:val="32"/>
          <w:lang w:val="en-US" w:eastAsia="zh-CN"/>
        </w:rPr>
      </w:pPr>
    </w:p>
    <w:p w14:paraId="476675A8">
      <w:pPr>
        <w:rPr>
          <w:rFonts w:hint="eastAsia" w:ascii="Times New Roman" w:eastAsia="仿宋_GB2312"/>
          <w:b w:val="0"/>
          <w:sz w:val="32"/>
          <w:szCs w:val="32"/>
          <w:lang w:val="en-US" w:eastAsia="zh-CN"/>
        </w:rPr>
      </w:pPr>
    </w:p>
    <w:p w14:paraId="21BA68A8">
      <w:pPr>
        <w:rPr>
          <w:rFonts w:hint="eastAsia" w:ascii="Times New Roman" w:eastAsia="仿宋_GB2312"/>
          <w:b w:val="0"/>
          <w:sz w:val="32"/>
          <w:szCs w:val="32"/>
          <w:lang w:val="en-US" w:eastAsia="zh-CN"/>
        </w:rPr>
      </w:pPr>
    </w:p>
    <w:p w14:paraId="4C6D58E5">
      <w:pPr>
        <w:rPr>
          <w:rFonts w:hint="eastAsia" w:ascii="Times New Roman" w:eastAsia="仿宋_GB2312"/>
          <w:b w:val="0"/>
          <w:sz w:val="32"/>
          <w:szCs w:val="32"/>
          <w:lang w:val="en-US" w:eastAsia="zh-CN"/>
        </w:rPr>
      </w:pPr>
    </w:p>
    <w:p w14:paraId="441479D3">
      <w:pPr>
        <w:rPr>
          <w:rFonts w:hint="eastAsia" w:ascii="Times New Roman" w:eastAsia="仿宋_GB2312"/>
          <w:b w:val="0"/>
          <w:sz w:val="32"/>
          <w:szCs w:val="32"/>
          <w:lang w:val="en-US" w:eastAsia="zh-CN"/>
        </w:rPr>
      </w:pPr>
    </w:p>
    <w:p w14:paraId="2C8E833F">
      <w:pPr>
        <w:rPr>
          <w:rFonts w:hint="eastAsia" w:ascii="Times New Roman" w:eastAsia="仿宋_GB2312"/>
          <w:b w:val="0"/>
          <w:sz w:val="32"/>
          <w:szCs w:val="32"/>
          <w:lang w:val="en-US" w:eastAsia="zh-CN"/>
        </w:rPr>
      </w:pPr>
    </w:p>
    <w:p w14:paraId="10EFDB34">
      <w:pPr>
        <w:rPr>
          <w:rFonts w:hint="eastAsia" w:ascii="Times New Roman" w:eastAsia="仿宋_GB2312"/>
          <w:b w:val="0"/>
          <w:sz w:val="32"/>
          <w:szCs w:val="32"/>
          <w:lang w:val="en-US" w:eastAsia="zh-CN"/>
        </w:rPr>
      </w:pPr>
    </w:p>
    <w:p w14:paraId="0496E029">
      <w:pPr>
        <w:rPr>
          <w:rFonts w:hint="eastAsia" w:ascii="Times New Roman" w:eastAsia="仿宋_GB2312"/>
          <w:b w:val="0"/>
          <w:sz w:val="32"/>
          <w:szCs w:val="32"/>
          <w:lang w:val="en-US" w:eastAsia="zh-CN"/>
        </w:rPr>
      </w:pPr>
    </w:p>
    <w:p w14:paraId="618704FD">
      <w:pPr>
        <w:rPr>
          <w:rFonts w:hint="eastAsia" w:ascii="Times New Roman" w:eastAsia="仿宋_GB2312"/>
          <w:b w:val="0"/>
          <w:sz w:val="32"/>
          <w:szCs w:val="32"/>
          <w:lang w:val="en-US" w:eastAsia="zh-CN"/>
        </w:rPr>
      </w:pPr>
    </w:p>
    <w:p w14:paraId="0CE5E296">
      <w:pPr>
        <w:rPr>
          <w:rFonts w:hint="eastAsia" w:ascii="Times New Roman" w:eastAsia="仿宋_GB2312"/>
          <w:b w:val="0"/>
          <w:sz w:val="32"/>
          <w:szCs w:val="32"/>
          <w:lang w:val="en-US" w:eastAsia="zh-CN"/>
        </w:rPr>
      </w:pPr>
    </w:p>
    <w:p w14:paraId="733118BA">
      <w:pPr>
        <w:rPr>
          <w:rFonts w:hint="eastAsia" w:ascii="Times New Roman" w:eastAsia="仿宋_GB2312"/>
          <w:b w:val="0"/>
          <w:sz w:val="32"/>
          <w:szCs w:val="32"/>
          <w:lang w:val="en-US" w:eastAsia="zh-CN"/>
        </w:rPr>
      </w:pPr>
    </w:p>
    <w:p w14:paraId="20B093B6">
      <w:pPr>
        <w:rPr>
          <w:rFonts w:hint="eastAsia" w:ascii="Times New Roman" w:eastAsia="仿宋_GB2312"/>
          <w:b w:val="0"/>
          <w:sz w:val="32"/>
          <w:szCs w:val="32"/>
          <w:lang w:val="en-US" w:eastAsia="zh-CN"/>
        </w:rPr>
      </w:pPr>
    </w:p>
    <w:p w14:paraId="0CDFCED2">
      <w:pPr>
        <w:rPr>
          <w:rFonts w:hint="eastAsia" w:ascii="Times New Roman" w:eastAsia="仿宋_GB2312"/>
          <w:b w:val="0"/>
          <w:sz w:val="32"/>
          <w:szCs w:val="32"/>
          <w:lang w:val="en-US" w:eastAsia="zh-CN"/>
        </w:rPr>
      </w:pPr>
    </w:p>
    <w:p w14:paraId="6C77DBAA">
      <w:pPr>
        <w:rPr>
          <w:rFonts w:hint="eastAsia" w:ascii="Times New Roman" w:eastAsia="仿宋_GB2312"/>
          <w:b w:val="0"/>
          <w:sz w:val="32"/>
          <w:szCs w:val="32"/>
          <w:lang w:val="en-US" w:eastAsia="zh-CN"/>
        </w:rPr>
      </w:pPr>
    </w:p>
    <w:p w14:paraId="31D06E2E">
      <w:pPr>
        <w:rPr>
          <w:rFonts w:hint="eastAsia" w:ascii="Times New Roman" w:eastAsia="仿宋_GB2312"/>
          <w:b w:val="0"/>
          <w:sz w:val="32"/>
          <w:szCs w:val="32"/>
          <w:lang w:val="en-US" w:eastAsia="zh-CN"/>
        </w:rPr>
      </w:pPr>
    </w:p>
    <w:p w14:paraId="33252C6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部门（单位）：石家庄国际生物医药园管理委员会(本级)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2,890.34</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4,161.45</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7,053.78</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7,053.78</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7,051.78</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7,051.78</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2,890.34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2,890.34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D70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E0F4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4A204F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17C11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2,064.94</w:t>
            </w:r>
          </w:p>
        </w:tc>
        <w:tc>
          <w:tcPr>
            <w:tcW w:w="1037" w:type="dxa"/>
            <w:tcBorders>
              <w:top w:val="nil"/>
              <w:left w:val="nil"/>
              <w:bottom w:val="single" w:color="000000" w:sz="4" w:space="0"/>
              <w:right w:val="single" w:color="000000" w:sz="4" w:space="0"/>
            </w:tcBorders>
            <w:noWrap/>
            <w:vAlign w:val="center"/>
          </w:tcPr>
          <w:p w14:paraId="02575F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2,064.94</w:t>
            </w:r>
          </w:p>
        </w:tc>
        <w:tc>
          <w:tcPr>
            <w:tcW w:w="1037" w:type="dxa"/>
            <w:tcBorders>
              <w:top w:val="nil"/>
              <w:left w:val="nil"/>
              <w:bottom w:val="single" w:color="000000" w:sz="4" w:space="0"/>
              <w:right w:val="single" w:color="000000" w:sz="4" w:space="0"/>
            </w:tcBorders>
            <w:noWrap/>
            <w:vAlign w:val="center"/>
          </w:tcPr>
          <w:p w14:paraId="4AADD7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131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A420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8498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09F4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64B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82FF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C93AC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41F77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439.75</w:t>
            </w:r>
          </w:p>
        </w:tc>
        <w:tc>
          <w:tcPr>
            <w:tcW w:w="1037" w:type="dxa"/>
            <w:tcBorders>
              <w:top w:val="nil"/>
              <w:left w:val="nil"/>
              <w:bottom w:val="single" w:color="000000" w:sz="4" w:space="0"/>
              <w:right w:val="single" w:color="000000" w:sz="4" w:space="0"/>
            </w:tcBorders>
            <w:noWrap/>
            <w:vAlign w:val="center"/>
          </w:tcPr>
          <w:p w14:paraId="6421C1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439.75</w:t>
            </w:r>
          </w:p>
        </w:tc>
        <w:tc>
          <w:tcPr>
            <w:tcW w:w="1037" w:type="dxa"/>
            <w:tcBorders>
              <w:top w:val="nil"/>
              <w:left w:val="nil"/>
              <w:bottom w:val="single" w:color="000000" w:sz="4" w:space="0"/>
              <w:right w:val="single" w:color="000000" w:sz="4" w:space="0"/>
            </w:tcBorders>
            <w:noWrap/>
            <w:vAlign w:val="center"/>
          </w:tcPr>
          <w:p w14:paraId="104EA7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21B4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48DE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E15E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A01E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067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11AF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7CD242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51341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1,625.19</w:t>
            </w:r>
          </w:p>
        </w:tc>
        <w:tc>
          <w:tcPr>
            <w:tcW w:w="1037" w:type="dxa"/>
            <w:tcBorders>
              <w:top w:val="nil"/>
              <w:left w:val="nil"/>
              <w:bottom w:val="single" w:color="000000" w:sz="4" w:space="0"/>
              <w:right w:val="single" w:color="000000" w:sz="4" w:space="0"/>
            </w:tcBorders>
            <w:noWrap/>
            <w:vAlign w:val="center"/>
          </w:tcPr>
          <w:p w14:paraId="7ED576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1,625.19</w:t>
            </w:r>
          </w:p>
        </w:tc>
        <w:tc>
          <w:tcPr>
            <w:tcW w:w="1037" w:type="dxa"/>
            <w:tcBorders>
              <w:top w:val="nil"/>
              <w:left w:val="nil"/>
              <w:bottom w:val="single" w:color="000000" w:sz="4" w:space="0"/>
              <w:right w:val="single" w:color="000000" w:sz="4" w:space="0"/>
            </w:tcBorders>
            <w:noWrap/>
            <w:vAlign w:val="center"/>
          </w:tcPr>
          <w:p w14:paraId="0122FD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3916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468C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F32E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CE0F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1FB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192F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w:t>
            </w:r>
          </w:p>
        </w:tc>
        <w:tc>
          <w:tcPr>
            <w:tcW w:w="1160" w:type="dxa"/>
            <w:tcBorders>
              <w:top w:val="nil"/>
              <w:left w:val="nil"/>
              <w:bottom w:val="single" w:color="000000" w:sz="4" w:space="0"/>
              <w:right w:val="single" w:color="000000" w:sz="4" w:space="0"/>
            </w:tcBorders>
            <w:noWrap/>
            <w:vAlign w:val="center"/>
          </w:tcPr>
          <w:p w14:paraId="3A6662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市场监督管理事务</w:t>
            </w:r>
          </w:p>
        </w:tc>
        <w:tc>
          <w:tcPr>
            <w:tcW w:w="1037" w:type="dxa"/>
            <w:tcBorders>
              <w:top w:val="nil"/>
              <w:left w:val="nil"/>
              <w:bottom w:val="single" w:color="000000" w:sz="4" w:space="0"/>
              <w:right w:val="single" w:color="000000" w:sz="4" w:space="0"/>
            </w:tcBorders>
            <w:noWrap/>
            <w:vAlign w:val="center"/>
          </w:tcPr>
          <w:p w14:paraId="6AFA76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0C094C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5665E2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E2DA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7BB1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6C79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A0A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828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4016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2013812</w:t>
            </w:r>
          </w:p>
        </w:tc>
        <w:tc>
          <w:tcPr>
            <w:tcW w:w="1160" w:type="dxa"/>
            <w:tcBorders>
              <w:top w:val="nil"/>
              <w:left w:val="nil"/>
              <w:bottom w:val="single" w:color="000000" w:sz="4" w:space="0"/>
              <w:right w:val="single" w:color="000000" w:sz="4" w:space="0"/>
            </w:tcBorders>
            <w:noWrap/>
            <w:vAlign w:val="center"/>
          </w:tcPr>
          <w:p w14:paraId="562BF2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药品事务</w:t>
            </w:r>
          </w:p>
        </w:tc>
        <w:tc>
          <w:tcPr>
            <w:tcW w:w="1037" w:type="dxa"/>
            <w:tcBorders>
              <w:top w:val="nil"/>
              <w:left w:val="nil"/>
              <w:bottom w:val="single" w:color="000000" w:sz="4" w:space="0"/>
              <w:right w:val="single" w:color="000000" w:sz="4" w:space="0"/>
            </w:tcBorders>
            <w:noWrap/>
            <w:vAlign w:val="center"/>
          </w:tcPr>
          <w:p w14:paraId="118F62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38A5E8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721465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C4F4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9522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744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244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190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FD25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4507C9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1CA501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1A2704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5ECBA4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BC89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9049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3172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686A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6E5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8B68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w:t>
            </w:r>
          </w:p>
        </w:tc>
        <w:tc>
          <w:tcPr>
            <w:tcW w:w="1160" w:type="dxa"/>
            <w:tcBorders>
              <w:top w:val="nil"/>
              <w:left w:val="nil"/>
              <w:bottom w:val="single" w:color="000000" w:sz="4" w:space="0"/>
              <w:right w:val="single" w:color="000000" w:sz="4" w:space="0"/>
            </w:tcBorders>
            <w:noWrap/>
            <w:vAlign w:val="center"/>
          </w:tcPr>
          <w:p w14:paraId="19F30B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4B082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5A8A91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373ACF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2F7B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31C0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FED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63E9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149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4A51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2069999</w:t>
            </w:r>
          </w:p>
        </w:tc>
        <w:tc>
          <w:tcPr>
            <w:tcW w:w="1160" w:type="dxa"/>
            <w:tcBorders>
              <w:top w:val="nil"/>
              <w:left w:val="nil"/>
              <w:bottom w:val="single" w:color="000000" w:sz="4" w:space="0"/>
              <w:right w:val="single" w:color="000000" w:sz="4" w:space="0"/>
            </w:tcBorders>
            <w:noWrap/>
            <w:vAlign w:val="center"/>
          </w:tcPr>
          <w:p w14:paraId="6AE4FD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55FE4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6B8383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45D4F6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1E77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2A3D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8355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D353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419.32</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6,632.46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2,890.34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2,471.01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5902D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79C3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E031B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6DBFC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2,064.94</w:t>
            </w:r>
          </w:p>
        </w:tc>
        <w:tc>
          <w:tcPr>
            <w:tcW w:w="602" w:type="pct"/>
            <w:gridSpan w:val="2"/>
            <w:tcBorders>
              <w:top w:val="nil"/>
              <w:left w:val="nil"/>
              <w:bottom w:val="single" w:color="000000" w:sz="4" w:space="0"/>
              <w:right w:val="single" w:color="000000" w:sz="4" w:space="0"/>
            </w:tcBorders>
            <w:noWrap/>
            <w:vAlign w:val="center"/>
          </w:tcPr>
          <w:p w14:paraId="0EC2C8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602" w:type="pct"/>
            <w:tcBorders>
              <w:top w:val="nil"/>
              <w:left w:val="nil"/>
              <w:bottom w:val="single" w:color="000000" w:sz="4" w:space="0"/>
              <w:right w:val="single" w:color="000000" w:sz="4" w:space="0"/>
            </w:tcBorders>
            <w:noWrap/>
            <w:vAlign w:val="center"/>
          </w:tcPr>
          <w:p w14:paraId="022B6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1,645.61</w:t>
            </w:r>
          </w:p>
        </w:tc>
        <w:tc>
          <w:tcPr>
            <w:tcW w:w="602" w:type="pct"/>
            <w:gridSpan w:val="2"/>
            <w:tcBorders>
              <w:top w:val="nil"/>
              <w:left w:val="nil"/>
              <w:bottom w:val="single" w:color="000000" w:sz="4" w:space="0"/>
              <w:right w:val="single" w:color="000000" w:sz="4" w:space="0"/>
            </w:tcBorders>
            <w:noWrap/>
            <w:vAlign w:val="center"/>
          </w:tcPr>
          <w:p w14:paraId="29174D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4487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E623FA">
            <w:pPr>
              <w:jc w:val="right"/>
              <w:rPr>
                <w:rFonts w:hint="default" w:ascii="Times New Roman" w:hAnsi="Times New Roman" w:eastAsia="宋体" w:cs="Times New Roman"/>
                <w:i w:val="0"/>
                <w:iCs w:val="0"/>
                <w:color w:val="000000"/>
                <w:sz w:val="20"/>
                <w:szCs w:val="20"/>
                <w:highlight w:val="none"/>
                <w:u w:val="none"/>
              </w:rPr>
            </w:pPr>
          </w:p>
        </w:tc>
      </w:tr>
      <w:tr w14:paraId="0226A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B56F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5B9E34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B1A98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439.75</w:t>
            </w:r>
          </w:p>
        </w:tc>
        <w:tc>
          <w:tcPr>
            <w:tcW w:w="602" w:type="pct"/>
            <w:gridSpan w:val="2"/>
            <w:tcBorders>
              <w:top w:val="nil"/>
              <w:left w:val="nil"/>
              <w:bottom w:val="single" w:color="000000" w:sz="4" w:space="0"/>
              <w:right w:val="single" w:color="000000" w:sz="4" w:space="0"/>
            </w:tcBorders>
            <w:noWrap/>
            <w:vAlign w:val="center"/>
          </w:tcPr>
          <w:p w14:paraId="2CE639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602" w:type="pct"/>
            <w:tcBorders>
              <w:top w:val="nil"/>
              <w:left w:val="nil"/>
              <w:bottom w:val="single" w:color="000000" w:sz="4" w:space="0"/>
              <w:right w:val="single" w:color="000000" w:sz="4" w:space="0"/>
            </w:tcBorders>
            <w:noWrap/>
            <w:vAlign w:val="center"/>
          </w:tcPr>
          <w:p w14:paraId="38DDBD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20.42</w:t>
            </w:r>
          </w:p>
        </w:tc>
        <w:tc>
          <w:tcPr>
            <w:tcW w:w="602" w:type="pct"/>
            <w:gridSpan w:val="2"/>
            <w:tcBorders>
              <w:top w:val="nil"/>
              <w:left w:val="nil"/>
              <w:bottom w:val="single" w:color="000000" w:sz="4" w:space="0"/>
              <w:right w:val="single" w:color="000000" w:sz="4" w:space="0"/>
            </w:tcBorders>
            <w:noWrap/>
            <w:vAlign w:val="center"/>
          </w:tcPr>
          <w:p w14:paraId="03AB0E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3517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88ACBE">
            <w:pPr>
              <w:jc w:val="right"/>
              <w:rPr>
                <w:rFonts w:hint="default" w:ascii="Times New Roman" w:hAnsi="Times New Roman" w:eastAsia="宋体" w:cs="Times New Roman"/>
                <w:i w:val="0"/>
                <w:iCs w:val="0"/>
                <w:color w:val="000000"/>
                <w:sz w:val="20"/>
                <w:szCs w:val="20"/>
                <w:highlight w:val="none"/>
                <w:u w:val="none"/>
              </w:rPr>
            </w:pPr>
          </w:p>
        </w:tc>
      </w:tr>
      <w:tr w14:paraId="05909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38AF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3DCA80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1FE4A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c>
          <w:tcPr>
            <w:tcW w:w="602" w:type="pct"/>
            <w:gridSpan w:val="2"/>
            <w:tcBorders>
              <w:top w:val="nil"/>
              <w:left w:val="nil"/>
              <w:bottom w:val="single" w:color="000000" w:sz="4" w:space="0"/>
              <w:right w:val="single" w:color="000000" w:sz="4" w:space="0"/>
            </w:tcBorders>
            <w:noWrap/>
            <w:vAlign w:val="center"/>
          </w:tcPr>
          <w:p w14:paraId="57198D8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3533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c>
          <w:tcPr>
            <w:tcW w:w="602" w:type="pct"/>
            <w:gridSpan w:val="2"/>
            <w:tcBorders>
              <w:top w:val="nil"/>
              <w:left w:val="nil"/>
              <w:bottom w:val="single" w:color="000000" w:sz="4" w:space="0"/>
              <w:right w:val="single" w:color="000000" w:sz="4" w:space="0"/>
            </w:tcBorders>
            <w:noWrap/>
            <w:vAlign w:val="center"/>
          </w:tcPr>
          <w:p w14:paraId="42CBB7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C613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B5E31E">
            <w:pPr>
              <w:jc w:val="right"/>
              <w:rPr>
                <w:rFonts w:hint="default" w:ascii="Times New Roman" w:hAnsi="Times New Roman" w:eastAsia="宋体" w:cs="Times New Roman"/>
                <w:i w:val="0"/>
                <w:iCs w:val="0"/>
                <w:color w:val="000000"/>
                <w:sz w:val="20"/>
                <w:szCs w:val="20"/>
                <w:highlight w:val="none"/>
                <w:u w:val="none"/>
              </w:rPr>
            </w:pPr>
          </w:p>
        </w:tc>
      </w:tr>
      <w:tr w14:paraId="51F3E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796D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635" w:type="pct"/>
            <w:tcBorders>
              <w:top w:val="nil"/>
              <w:left w:val="nil"/>
              <w:bottom w:val="single" w:color="000000" w:sz="4" w:space="0"/>
              <w:right w:val="single" w:color="000000" w:sz="4" w:space="0"/>
            </w:tcBorders>
            <w:noWrap/>
            <w:vAlign w:val="center"/>
          </w:tcPr>
          <w:p w14:paraId="41BCA2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603" w:type="pct"/>
            <w:tcBorders>
              <w:top w:val="nil"/>
              <w:left w:val="nil"/>
              <w:bottom w:val="single" w:color="000000" w:sz="4" w:space="0"/>
              <w:right w:val="single" w:color="000000" w:sz="4" w:space="0"/>
            </w:tcBorders>
            <w:noWrap/>
            <w:vAlign w:val="center"/>
          </w:tcPr>
          <w:p w14:paraId="50BC21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3C58FC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EB43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3763CB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C340B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B5DC24">
            <w:pPr>
              <w:jc w:val="right"/>
              <w:rPr>
                <w:rFonts w:hint="default" w:ascii="Times New Roman" w:hAnsi="Times New Roman" w:eastAsia="宋体" w:cs="Times New Roman"/>
                <w:i w:val="0"/>
                <w:iCs w:val="0"/>
                <w:color w:val="000000"/>
                <w:sz w:val="20"/>
                <w:szCs w:val="20"/>
                <w:highlight w:val="none"/>
                <w:u w:val="none"/>
              </w:rPr>
            </w:pPr>
          </w:p>
        </w:tc>
      </w:tr>
      <w:tr w14:paraId="21446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7E76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2013812</w:t>
            </w:r>
          </w:p>
        </w:tc>
        <w:tc>
          <w:tcPr>
            <w:tcW w:w="635" w:type="pct"/>
            <w:tcBorders>
              <w:top w:val="nil"/>
              <w:left w:val="nil"/>
              <w:bottom w:val="single" w:color="000000" w:sz="4" w:space="0"/>
              <w:right w:val="single" w:color="000000" w:sz="4" w:space="0"/>
            </w:tcBorders>
            <w:noWrap/>
            <w:vAlign w:val="center"/>
          </w:tcPr>
          <w:p w14:paraId="29C215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药品事务</w:t>
            </w:r>
          </w:p>
        </w:tc>
        <w:tc>
          <w:tcPr>
            <w:tcW w:w="603" w:type="pct"/>
            <w:tcBorders>
              <w:top w:val="nil"/>
              <w:left w:val="nil"/>
              <w:bottom w:val="single" w:color="000000" w:sz="4" w:space="0"/>
              <w:right w:val="single" w:color="000000" w:sz="4" w:space="0"/>
            </w:tcBorders>
            <w:noWrap/>
            <w:vAlign w:val="center"/>
          </w:tcPr>
          <w:p w14:paraId="0B85EC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160647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EF6E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25D558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317B9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68F2A7">
            <w:pPr>
              <w:jc w:val="right"/>
              <w:rPr>
                <w:rFonts w:hint="default" w:ascii="Times New Roman" w:hAnsi="Times New Roman" w:eastAsia="宋体" w:cs="Times New Roman"/>
                <w:i w:val="0"/>
                <w:iCs w:val="0"/>
                <w:color w:val="000000"/>
                <w:sz w:val="20"/>
                <w:szCs w:val="20"/>
                <w:highlight w:val="none"/>
                <w:u w:val="none"/>
              </w:rPr>
            </w:pPr>
          </w:p>
        </w:tc>
      </w:tr>
      <w:tr w14:paraId="0D65E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2A40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1619AD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05E7C0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7F2D41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6843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5ECB35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26E74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E543EB">
            <w:pPr>
              <w:jc w:val="right"/>
              <w:rPr>
                <w:rFonts w:hint="default" w:ascii="Times New Roman" w:hAnsi="Times New Roman" w:eastAsia="宋体" w:cs="Times New Roman"/>
                <w:i w:val="0"/>
                <w:iCs w:val="0"/>
                <w:color w:val="000000"/>
                <w:sz w:val="20"/>
                <w:szCs w:val="20"/>
                <w:highlight w:val="none"/>
                <w:u w:val="none"/>
              </w:rPr>
            </w:pPr>
          </w:p>
        </w:tc>
      </w:tr>
      <w:tr w14:paraId="022E5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B388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635" w:type="pct"/>
            <w:tcBorders>
              <w:top w:val="nil"/>
              <w:left w:val="nil"/>
              <w:bottom w:val="single" w:color="000000" w:sz="4" w:space="0"/>
              <w:right w:val="single" w:color="000000" w:sz="4" w:space="0"/>
            </w:tcBorders>
            <w:noWrap/>
            <w:vAlign w:val="center"/>
          </w:tcPr>
          <w:p w14:paraId="7D028C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51E310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631DAA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F3E1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3C174E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A0039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9AD935">
            <w:pPr>
              <w:jc w:val="right"/>
              <w:rPr>
                <w:rFonts w:hint="default" w:ascii="Times New Roman" w:hAnsi="Times New Roman" w:eastAsia="宋体" w:cs="Times New Roman"/>
                <w:i w:val="0"/>
                <w:iCs w:val="0"/>
                <w:color w:val="000000"/>
                <w:sz w:val="20"/>
                <w:szCs w:val="20"/>
                <w:highlight w:val="none"/>
                <w:u w:val="none"/>
              </w:rPr>
            </w:pPr>
          </w:p>
        </w:tc>
      </w:tr>
      <w:tr w14:paraId="1B771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357B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635" w:type="pct"/>
            <w:tcBorders>
              <w:top w:val="nil"/>
              <w:left w:val="nil"/>
              <w:bottom w:val="single" w:color="000000" w:sz="4" w:space="0"/>
              <w:right w:val="single" w:color="000000" w:sz="4" w:space="0"/>
            </w:tcBorders>
            <w:noWrap/>
            <w:vAlign w:val="center"/>
          </w:tcPr>
          <w:p w14:paraId="1CF64C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1C22CC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063C02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E46D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6E7266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6D42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C01DDF">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2,890.34</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2,890.34</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4,161.45</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4,161.45</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7,051.78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73"/>
        <w:gridCol w:w="3032"/>
        <w:gridCol w:w="1138"/>
        <w:gridCol w:w="498"/>
        <w:gridCol w:w="521"/>
        <w:gridCol w:w="359"/>
        <w:gridCol w:w="1176"/>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编制部门（单位）：石家庄国际生物医药园管理委员会(本级)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6,632.46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2,890.34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2,471.01</w:t>
            </w:r>
          </w:p>
        </w:tc>
      </w:tr>
      <w:tr w14:paraId="56905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A04C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3CA49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2C88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2,064.94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82F8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525DD3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1,645.61</w:t>
            </w:r>
          </w:p>
        </w:tc>
      </w:tr>
      <w:tr w14:paraId="180EA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7E26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759195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8A56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E947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7E8FA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20.42</w:t>
            </w:r>
          </w:p>
        </w:tc>
      </w:tr>
      <w:tr w14:paraId="3825D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539A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551187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1EEA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AAEF2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0E3E2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r>
      <w:tr w14:paraId="55107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850D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756" w:type="pct"/>
            <w:tcBorders>
              <w:top w:val="single" w:color="auto" w:sz="4" w:space="0"/>
              <w:left w:val="single" w:color="auto" w:sz="4" w:space="0"/>
              <w:bottom w:val="single" w:color="auto" w:sz="4" w:space="0"/>
              <w:right w:val="single" w:color="auto" w:sz="4" w:space="0"/>
            </w:tcBorders>
            <w:noWrap/>
            <w:vAlign w:val="center"/>
          </w:tcPr>
          <w:p w14:paraId="469F13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E22E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A25A3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19EAE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r>
      <w:tr w14:paraId="54950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B679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2013812</w:t>
            </w:r>
          </w:p>
        </w:tc>
        <w:tc>
          <w:tcPr>
            <w:tcW w:w="756" w:type="pct"/>
            <w:tcBorders>
              <w:top w:val="single" w:color="auto" w:sz="4" w:space="0"/>
              <w:left w:val="single" w:color="auto" w:sz="4" w:space="0"/>
              <w:bottom w:val="single" w:color="auto" w:sz="4" w:space="0"/>
              <w:right w:val="single" w:color="auto" w:sz="4" w:space="0"/>
            </w:tcBorders>
            <w:noWrap/>
            <w:vAlign w:val="center"/>
          </w:tcPr>
          <w:p w14:paraId="7B5746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药品事务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DC55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86175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48F75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r>
      <w:tr w14:paraId="1E394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0C57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0C6C6D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B6E5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FCAAB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B477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r>
      <w:tr w14:paraId="2BCCA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8AE6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756" w:type="pct"/>
            <w:tcBorders>
              <w:top w:val="single" w:color="auto" w:sz="4" w:space="0"/>
              <w:left w:val="single" w:color="auto" w:sz="4" w:space="0"/>
              <w:bottom w:val="single" w:color="auto" w:sz="4" w:space="0"/>
              <w:right w:val="single" w:color="auto" w:sz="4" w:space="0"/>
            </w:tcBorders>
            <w:noWrap/>
            <w:vAlign w:val="center"/>
          </w:tcPr>
          <w:p w14:paraId="091692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616F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49FD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BCC4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r>
      <w:tr w14:paraId="77D87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E525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33B66E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4BC9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F0751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92386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部门（单位）：石家庄国际生物医药园管理委员会(本级)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64.10</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10.17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355.22</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53.93</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355.22</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355.22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64.10</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注：本表反映部门本年度政府性基金预算财政拨款收入、支出及结转和结余情况。（本部门无相关数据，本表空表列示）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部门（单位）：石家庄国际生物医药园管理委员会(本级)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注：本表反映部门本年度国有资本经营预算财政拨款支出情况。（本部门无相关数据，本表空表列示）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部门（单位）：石家庄国际生物医药园管理委员会(本级)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（本部门无相关数据，本表空表列示）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7CA46B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A901DB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5112FA8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2ABFB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本单位2024年度收、支总计（含结转和结余）均为7,053.78万元。与2023年度决算相比，收支各增加6,629.60万元，增长1,562.9%，主要原因是较2023年度增加了特定目标类项目。</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55347A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9CD10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7,051.78万元，其中：财政拨款收入7,051.78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693498A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4F018C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本单位2024年度本年支出合计7,051.79万元，其中：基本支出419.32万元，占5.9%；项目支出6,632.46万元，占94.1%；上缴上级支出0.00万元，占0.0%；经营支出0.00万元，占0.0%；对附属单位补助支出0.00万元，占0.0%。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9CDBBB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4AC8C3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953F5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本单位2024年度财政拨款收、支总计（含结转和结余）均为7,051.78万元。与2023年度相比，财政拨款收支各增加6,635.88万元，增长1,595.5%，主要原因是增加了特定目标类项目。</w:t>
      </w:r>
    </w:p>
    <w:p w14:paraId="74C3FF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7,051.78万元,比上年增加6,635.88万元，增长1,595.5%，主要原因是增加了特定目标类项目；本年支出7,051.78万元，比上年增加6,635.88万元，增长1,595.5%，主要原因是增加了特定目标类项目。具体情况如下：</w:t>
      </w:r>
    </w:p>
    <w:p w14:paraId="4CCA5038">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7,051.78万元,比上年增加6,635.88万元，增长1,595.5%，主要原因是增加了特定目标类项目；本年支出7,051.78万元，比上年增加6,635.88万元，增长1,595.5%，主要原因是增加了特定目标类项目。</w:t>
      </w:r>
    </w:p>
    <w:p w14:paraId="74D3C8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我单位无政府性基金预算财政拨款；本年支出0.00万元，比上年增加0.00万元，增长0.00%，主要原因是我单位无政府性基金预算财政拨款。</w:t>
      </w:r>
    </w:p>
    <w:p w14:paraId="66DE3D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3.国有资本经营预算财政拨款本年收入0.00万元，比上年增加0.00万元，增长0.00%，主要原因是我单位</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国有资本经营预算财政拨款；本年支出0.00万元，比上年增加0.00万元，增长0.00%，主要原因是我单位</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国有资本经营预算财政拨款。</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90F8A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49675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7,051.78万元，完成年初预算的1,271.4%，比年初预算增加6,497.13万元，决算数大于预算数主要原因是增加了特定目标类项目；本年支出7,051.78万元，完成年初预算的1,271.4%，比年初预算增加6,497.13万元，决算数大于预算数主要原因是增加了药械技术服务中心仪器设备购置项目、特药检中心运行经费等特定目标类项目。具体情况如下：</w:t>
      </w:r>
    </w:p>
    <w:p w14:paraId="2A2B76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1,271.4%，比年初预算增加6,497.13万元，主要原因是增加了特定目标类项目；支出完成年初预算的1,271.4%，比年初预算增加6,497.13万元，主要原因是增加了特定目标类项目。</w:t>
      </w:r>
    </w:p>
    <w:p w14:paraId="52E01D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我单位无政府性基金预算财政拨款；支出完成年初预算的0.0%，比年初预算增加0.00万元，主要原因是我单位无政府性基金预算财政拨款。</w:t>
      </w:r>
    </w:p>
    <w:p w14:paraId="6368C7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3.国有资本经营预算财政拨款本年收入完成年初预算的0.0%，比年初预算增加0.00万元，主要原因是我单位</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国有资本经营预算财政拨款；支出完成年初预算的0.0%，比年初预算增加0.00万元，主要原因是我单位</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国有资本经营预算财政拨款。</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306144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A75E3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2024年度财政拨款支出7,051.78万元，主要用于以下方面：</w:t>
      </w:r>
    </w:p>
    <w:p w14:paraId="146A85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06E2E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2,890.34万元，占41.0%，主要用于公用经费和特定目标类项目等支出；外交（类）支出0.00万元，占0.0%，主要用于等支出；国防（类）支出0.00万元，占0.0%，主要用于等支出；公共安全类（类）支出0.00万元，占0.0%，主要用于等支出；教育（类）支出0.00万元，占0.0%，主要用于等支出；科学技术（类）支出4,161.45万元，占59.0%，主要用于特定目标类项目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F129E9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3A784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0F85E5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4A335A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1FB1D2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36B95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2024年度财政拨款基本支出419.32万元，其中：</w:t>
      </w:r>
    </w:p>
    <w:p w14:paraId="36CADB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355.22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0A0F21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64.10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2710D9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7E878E6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7FC7A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落实中央八项规定精神和厉行节约要求，管理制度不断完善；较2023年度决算增加0.00万元，增长0.00%，主要原因是无“三公”经费支出。</w:t>
      </w:r>
    </w:p>
    <w:p w14:paraId="541686A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68AA3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未安排因公出国（境）任务；较上年增加0.00万元，增长0.00%,主要原因是未安排因公出国（境）任务。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14:paraId="7A538ED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w:t>
      </w:r>
      <w:r>
        <w:rPr>
          <w:rFonts w:hint="eastAsia" w:ascii="Times New Roman" w:eastAsia="仿宋_GB2312"/>
          <w:b w:val="0"/>
          <w:sz w:val="32"/>
          <w:szCs w:val="32"/>
          <w:lang w:val="en-US" w:eastAsia="zh-CN"/>
        </w:rPr>
        <w:t>本单位无公务车辆</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本单位无公务车辆</w:t>
      </w:r>
      <w:r>
        <w:rPr>
          <w:rFonts w:ascii="Times New Roman" w:eastAsia="仿宋_GB2312"/>
          <w:b w:val="0"/>
          <w:sz w:val="32"/>
          <w:szCs w:val="32"/>
        </w:rPr>
        <w:t>。其中：</w:t>
      </w:r>
    </w:p>
    <w:p w14:paraId="2DDD11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hint="eastAsia" w:ascii="Times New Roman" w:eastAsia="仿宋_GB2312"/>
          <w:b w:val="0"/>
          <w:sz w:val="32"/>
          <w:szCs w:val="32"/>
          <w:lang w:val="en-US" w:eastAsia="zh-CN"/>
        </w:rPr>
        <w:t>本单位无公务用车购置费</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本单位无公务用车购置费</w:t>
      </w:r>
      <w:r>
        <w:rPr>
          <w:rFonts w:ascii="Times New Roman" w:eastAsia="仿宋_GB2312"/>
          <w:b w:val="0"/>
          <w:sz w:val="32"/>
          <w:szCs w:val="32"/>
        </w:rPr>
        <w:t>。</w:t>
      </w:r>
    </w:p>
    <w:p w14:paraId="4A69E4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w:t>
      </w:r>
      <w:r>
        <w:rPr>
          <w:rFonts w:hint="eastAsia" w:ascii="Times New Roman" w:eastAsia="仿宋_GB2312"/>
          <w:b w:val="0"/>
          <w:sz w:val="32"/>
          <w:szCs w:val="32"/>
          <w:lang w:val="en-US" w:eastAsia="zh-CN"/>
        </w:rPr>
        <w:t>本单位无公务车辆</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本单位无公务车辆</w:t>
      </w:r>
      <w:r>
        <w:rPr>
          <w:rFonts w:ascii="Times New Roman" w:eastAsia="仿宋_GB2312"/>
          <w:b w:val="0"/>
          <w:sz w:val="32"/>
          <w:szCs w:val="32"/>
        </w:rPr>
        <w:t>。</w:t>
      </w:r>
    </w:p>
    <w:p w14:paraId="126C8B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val="en-US" w:eastAsia="zh-CN"/>
        </w:rPr>
        <w:t>本单位无公务接待</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本单位无公务接待</w:t>
      </w:r>
      <w:r>
        <w:rPr>
          <w:rFonts w:ascii="Times New Roman" w:eastAsia="仿宋_GB2312"/>
          <w:b w:val="0"/>
          <w:sz w:val="32"/>
          <w:szCs w:val="32"/>
        </w:rPr>
        <w:t>。本年度共发生公务接待0批次、0人次。</w:t>
      </w:r>
    </w:p>
    <w:p w14:paraId="1732008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B6B5D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本单位2024年度机关运行经费支出64.10万元，较2023年度增加59.96万元，增长1,448.3%。主要原因是单位人员增加。</w:t>
      </w:r>
    </w:p>
    <w:p w14:paraId="6EBB1F7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6ABD27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937.43万元，从采购类型来看，政府采购货物支出937.43万元、政府采购工程支出0.00万元、政府采购服务支出0.00万元。授予中小企业合同金额937.43万元，占政府采购支出总额的100.0%，其中授予小微企业合同金额937.43万元，占政府采购支出总额的100.0%。</w:t>
      </w:r>
    </w:p>
    <w:p w14:paraId="274A0B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86B24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5台（套）。</w:t>
      </w:r>
    </w:p>
    <w:p w14:paraId="0FA975F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24F26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00274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6,632.46万元（决算金额）。其中，一般公共预算项目10个，涉及资金6,632.46万元，占一般公共预算项目支出总额的100%；政府性基金预算项目0个，涉及资金0万元，占政府性基金预算项目支出总额的0%；国有资本经营预算项目0个，涉及资金0万元，占国有资本经营预算项目支出总额的0%。</w:t>
      </w:r>
    </w:p>
    <w:p w14:paraId="06DA1B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药械技术服务中心仪器设备购置项目经费等1个项目开展了部门重点评价，涉及一般公共预算支出1,686.82万元，政府性基金预算支出0万元，国有资本经营预算支出0万元，从评价情况来看，已购置专业设备，保障了药械技术服务中心工作展开。</w:t>
      </w:r>
    </w:p>
    <w:p w14:paraId="3609F7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C2A83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本单位在今年部门决算公开中反映药械技术服务中心仪器设备购置项目经费等1个项目绩效自评结果。</w:t>
      </w:r>
    </w:p>
    <w:p w14:paraId="4680F2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药械技术服务中心仪器设备购置项目经费项目绩效自评情况：根据年初设定的绩效目标，药械技术服务中心仪器设备购置项目经费项目绩效自评得分为94分（绩效自评表附后）。全年预算数为1,686.82万元，执行数为1,686.82万元，完成预算的100%。项目绩效目标完成情况：一是购置仪器设备83台（套）；二是验收仪器设备质量合格率达100%。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bookmarkStart w:id="0" w:name="_GoBack"/>
      <w:bookmarkEnd w:id="0"/>
      <w:r>
        <w:rPr>
          <w:rFonts w:ascii="Times New Roman" w:eastAsia="仿宋_GB2312"/>
          <w:b w:val="0"/>
          <w:sz w:val="32"/>
          <w:szCs w:val="32"/>
        </w:rPr>
        <w:t>。</w:t>
      </w:r>
    </w:p>
    <w:p w14:paraId="3AFC2D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6F3A5B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6E8591D">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E466C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2255CA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0A42FA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3C5071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22382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35217B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90AEC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194346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77EC39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40CC0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C8B06F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AC03D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04185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7BA1A5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39C6BF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B40F7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400CF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86568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DDEBD0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9DC25D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3C11B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7D01158-3466-4AF5-9C47-BD5BDD858619}"/>
  </w:font>
  <w:font w:name="黑体">
    <w:panose1 w:val="02010609060101010101"/>
    <w:charset w:val="86"/>
    <w:family w:val="auto"/>
    <w:pitch w:val="default"/>
    <w:sig w:usb0="800002BF" w:usb1="38CF7CFA" w:usb2="00000016" w:usb3="00000000" w:csb0="00040001" w:csb1="00000000"/>
    <w:embedRegular r:id="rId2" w:fontKey="{671AFFD3-15A9-4B89-A188-CF3F91CA868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E42A123-1B38-43B6-9FD3-CF9798539B0B}"/>
  </w:font>
  <w:font w:name="仿宋">
    <w:panose1 w:val="02010609060101010101"/>
    <w:charset w:val="86"/>
    <w:family w:val="modern"/>
    <w:pitch w:val="default"/>
    <w:sig w:usb0="800002BF" w:usb1="38CF7CFA" w:usb2="00000016" w:usb3="00000000" w:csb0="00040001" w:csb1="00000000"/>
    <w:embedRegular r:id="rId4" w:fontKey="{54118B4D-110E-40DF-BA06-9E3192C267C2}"/>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F905161-4160-4267-A92B-BBCEEC17DB87}"/>
  </w:font>
  <w:font w:name="方正小标宋_GBK">
    <w:panose1 w:val="02000000000000000000"/>
    <w:charset w:val="86"/>
    <w:family w:val="script"/>
    <w:pitch w:val="default"/>
    <w:sig w:usb0="A00002BF" w:usb1="38CF7CFA" w:usb2="00082016" w:usb3="00000000" w:csb0="00040001" w:csb1="00000000"/>
    <w:embedRegular r:id="rId6" w:fontKey="{A4064D80-80D6-40D2-8568-1088B8018FC8}"/>
  </w:font>
  <w:font w:name="仿宋_GB2312">
    <w:panose1 w:val="02010609030101010101"/>
    <w:charset w:val="86"/>
    <w:family w:val="auto"/>
    <w:pitch w:val="default"/>
    <w:sig w:usb0="00000001" w:usb1="080E0000" w:usb2="00000000" w:usb3="00000000" w:csb0="00040000" w:csb1="00000000"/>
    <w:embedRegular r:id="rId7" w:fontKey="{BD8A10D6-D665-4FA2-9796-C3DA87A5AF49}"/>
  </w:font>
  <w:font w:name="ArialUnicodeMS">
    <w:altName w:val="Malgun Gothic"/>
    <w:panose1 w:val="00000000000000000000"/>
    <w:charset w:val="81"/>
    <w:family w:val="auto"/>
    <w:pitch w:val="default"/>
    <w:sig w:usb0="00000000" w:usb1="00000000" w:usb2="00000010" w:usb3="00000000" w:csb0="00080001" w:csb1="00000000"/>
    <w:embedRegular r:id="rId8" w:fontKey="{42E86776-3920-4F00-BB67-E63C30884E58}"/>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6818293A-BB9A-467A-AB8B-BC062AF4D1DD}"/>
  </w:font>
  <w:font w:name="WPSEMBED1">
    <w:panose1 w:val="02000000000000000000"/>
    <w:charset w:val="86"/>
    <w:family w:val="auto"/>
    <w:pitch w:val="default"/>
    <w:sig w:usb0="A00002BF" w:usb1="38CF7CFA" w:usb2="00082016" w:usb3="00000000" w:csb0="00040001" w:csb1="00000000"/>
  </w:font>
  <w:font w:name="WPSEMBED2">
    <w:panose1 w:val="02000000000000000000"/>
    <w:charset w:val="86"/>
    <w:family w:val="auto"/>
    <w:pitch w:val="default"/>
    <w:sig w:usb0="A00002BF" w:usb1="184F6CFA" w:usb2="00000012" w:usb3="00000000" w:csb0="00040001"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C3026E"/>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793BE7"/>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DD4B75"/>
    <w:rsid w:val="63F4667E"/>
    <w:rsid w:val="64095516"/>
    <w:rsid w:val="641A2468"/>
    <w:rsid w:val="64372F20"/>
    <w:rsid w:val="648944D0"/>
    <w:rsid w:val="64DC72D7"/>
    <w:rsid w:val="64FA42B4"/>
    <w:rsid w:val="653619A6"/>
    <w:rsid w:val="65546051"/>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20C12"/>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405751"/>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78387C"/>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424.18</c:v>
                </c:pt>
                <c:pt idx="1">
                  <c:v>7053.78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70517848.54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4193243.75</c:v>
                </c:pt>
                <c:pt idx="1">
                  <c:v>66324606.79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415.9</c:v>
                </c:pt>
                <c:pt idx="1">
                  <c:v>415.9</c:v>
                </c:pt>
                <c:pt idx="2">
                  <c:v>415.9</c:v>
                </c:pt>
                <c:pt idx="3">
                  <c:v>415.9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7051.78</c:v>
                </c:pt>
                <c:pt idx="1">
                  <c:v>7051.78</c:v>
                </c:pt>
                <c:pt idx="2">
                  <c:v>7051.78</c:v>
                </c:pt>
                <c:pt idx="3">
                  <c:v>7051.78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554.65</c:v>
                </c:pt>
                <c:pt idx="1">
                  <c:v>554.65</c:v>
                </c:pt>
                <c:pt idx="2">
                  <c:v>554.65</c:v>
                </c:pt>
                <c:pt idx="3">
                  <c:v>554.65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7051.78</c:v>
                </c:pt>
                <c:pt idx="1">
                  <c:v>7051.78</c:v>
                </c:pt>
                <c:pt idx="2">
                  <c:v>7051.78</c:v>
                </c:pt>
                <c:pt idx="3">
                  <c:v>7051.78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2890.34</c:v>
                </c:pt>
                <c:pt idx="1">
                  <c:v>0</c:v>
                </c:pt>
                <c:pt idx="2">
                  <c:v>0</c:v>
                </c:pt>
                <c:pt idx="3">
                  <c:v>0</c:v>
                </c:pt>
                <c:pt idx="4">
                  <c:v>0</c:v>
                </c:pt>
                <c:pt idx="5">
                  <c:v>4161.45</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2708</Words>
  <Characters>3537</Characters>
  <Lines>86</Lines>
  <Paragraphs>24</Paragraphs>
  <TotalTime>1</TotalTime>
  <ScaleCrop>false</ScaleCrop>
  <LinksUpToDate>false</LinksUpToDate>
  <CharactersWithSpaces>3868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葫芦大叔</cp:lastModifiedBy>
  <cp:lastPrinted>2023-08-04T01:00:00Z</cp:lastPrinted>
  <dcterms:modified xsi:type="dcterms:W3CDTF">2025-09-10T05:53:42Z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eyJoZGlkIjoiNWNhOGEyNWVlYTg1ZWZiMDhlZTdmZTBhODIyOGQzYzkiLCJ1c2VySWQiOiI2MTk2MTk1NzIifQ==</vt:lpwstr>
  </property>
</Properties>
</file>