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60" w:lineRule="exac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附件4</w:t>
      </w:r>
    </w:p>
    <w:p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>
      <w:pPr>
        <w:spacing w:line="560" w:lineRule="exact"/>
        <w:jc w:val="center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科学技术局</w:t>
      </w:r>
    </w:p>
    <w:p>
      <w:pPr>
        <w:spacing w:line="560" w:lineRule="exact"/>
        <w:jc w:val="center"/>
        <w:rPr>
          <w:rFonts w:ascii="宋体" w:hAnsi="宋体" w:cs="宋体"/>
          <w:sz w:val="32"/>
          <w:szCs w:val="32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4</w:t>
      </w:r>
      <w:r>
        <w:rPr>
          <w:rFonts w:hint="eastAsia" w:ascii="宋体" w:hAnsi="宋体" w:cs="宋体"/>
          <w:b/>
          <w:bCs/>
          <w:sz w:val="44"/>
          <w:szCs w:val="44"/>
        </w:rPr>
        <w:t>年度整体支出绩效自评报告</w:t>
      </w:r>
    </w:p>
    <w:p>
      <w:pPr>
        <w:spacing w:line="360" w:lineRule="auto"/>
        <w:jc w:val="center"/>
        <w:rPr>
          <w:rFonts w:ascii="华文楷体" w:eastAsia="华文楷体"/>
          <w:sz w:val="32"/>
          <w:szCs w:val="32"/>
        </w:rPr>
      </w:pPr>
    </w:p>
    <w:p>
      <w:pPr>
        <w:adjustRightInd w:val="0"/>
        <w:snapToGrid w:val="0"/>
        <w:spacing w:line="360" w:lineRule="auto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贯彻落实市委市政府《关于全面落实预算绩效管理的实施意见》（石发﹝2019﹞8号）文件精神，遵循“科学性、规范性、客观性和公正性”的原则，对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科学技术局</w:t>
      </w:r>
      <w:r>
        <w:rPr>
          <w:rFonts w:hint="eastAsia" w:ascii="仿宋" w:hAnsi="仿宋" w:eastAsia="仿宋"/>
          <w:sz w:val="32"/>
          <w:szCs w:val="32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sz w:val="32"/>
          <w:szCs w:val="32"/>
        </w:rPr>
        <w:t>年整体支出情况实施了财政支出绩效自评价，形成本评价报告。</w:t>
      </w:r>
    </w:p>
    <w:p>
      <w:pPr>
        <w:adjustRightInd w:val="0"/>
        <w:snapToGrid w:val="0"/>
        <w:spacing w:line="360" w:lineRule="auto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default" w:ascii="楷体" w:hAnsi="楷体" w:eastAsia="楷体" w:cs="楷体_GB2312"/>
          <w:bCs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（一）部门概况</w:t>
      </w:r>
      <w:r>
        <w:rPr>
          <w:rFonts w:hint="eastAsia" w:ascii="楷体" w:hAnsi="楷体" w:eastAsia="楷体" w:cs="楷体_GB2312"/>
          <w:bCs/>
          <w:sz w:val="32"/>
          <w:szCs w:val="32"/>
          <w:lang w:val="en-US" w:eastAsia="zh-CN"/>
        </w:rPr>
        <w:t xml:space="preserve">     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" w:hAnsi="仿宋" w:eastAsia="仿宋" w:cs="仿宋"/>
          <w:sz w:val="32"/>
          <w:szCs w:val="32"/>
          <w:highlight w:val="yellow"/>
        </w:rPr>
      </w:pPr>
      <w:r>
        <w:rPr>
          <w:rFonts w:hint="eastAsia" w:ascii="仿宋" w:hAnsi="仿宋" w:eastAsia="仿宋" w:cs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1.我单位主要负责组织开展辖区内高新技术企业、科技型中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小企业、科技创新平台、科技计划项目、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科技成果转化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、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科技金融创新、组织协调防范和处置化解地方金融风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highlight w:val="none"/>
          <w:shd w:val="clear" w:fill="FFFFFF"/>
          <w:lang w:val="en-US" w:eastAsia="zh-CN"/>
        </w:rPr>
        <w:t>险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的工作。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360" w:lineRule="auto"/>
        <w:ind w:firstLine="640" w:firstLineChars="200"/>
        <w:jc w:val="both"/>
        <w:textAlignment w:val="auto"/>
        <w:rPr>
          <w:rFonts w:ascii="仿宋" w:hAnsi="仿宋" w:eastAsia="仿宋" w:cs="仿宋"/>
          <w:color w:val="000000"/>
          <w:sz w:val="32"/>
          <w:szCs w:val="32"/>
          <w:highlight w:val="none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2.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val="en-US" w:eastAsia="zh-CN"/>
        </w:rPr>
        <w:t>2024年我单位共安排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</w:rPr>
        <w:t>项目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val="en-US" w:eastAsia="zh-CN"/>
        </w:rPr>
        <w:t>32个，</w:t>
      </w:r>
      <w:r>
        <w:rPr>
          <w:rFonts w:hint="eastAsia" w:ascii="仿宋_GB2312" w:hAnsi="仿宋" w:eastAsia="仿宋_GB2312"/>
          <w:sz w:val="32"/>
          <w:szCs w:val="32"/>
          <w:highlight w:val="none"/>
          <w:lang w:eastAsia="zh-CN"/>
        </w:rPr>
        <w:t>项目主要根据高新区制定的相关扶持政策进行安排。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360" w:lineRule="auto"/>
        <w:ind w:firstLine="640" w:firstLineChars="200"/>
        <w:jc w:val="both"/>
        <w:textAlignment w:val="auto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/>
          <w:sz w:val="32"/>
          <w:szCs w:val="32"/>
          <w:highlight w:val="none"/>
          <w:lang w:val="en-US" w:eastAsia="zh-CN"/>
        </w:rPr>
        <w:t>3</w:t>
      </w:r>
      <w:r>
        <w:rPr>
          <w:rFonts w:hint="eastAsia" w:ascii="仿宋_GB2312" w:hAnsi="仿宋" w:eastAsia="仿宋_GB2312"/>
          <w:sz w:val="32"/>
          <w:szCs w:val="32"/>
          <w:highlight w:val="none"/>
          <w:lang w:eastAsia="zh-CN"/>
        </w:rPr>
        <w:t>.项目主要用于培育壮大</w:t>
      </w:r>
      <w:r>
        <w:rPr>
          <w:rFonts w:hint="eastAsia" w:ascii="仿宋_GB2312" w:hAnsi="仿宋" w:eastAsia="仿宋_GB2312"/>
          <w:sz w:val="32"/>
          <w:szCs w:val="32"/>
          <w:highlight w:val="none"/>
          <w:lang w:val="en-US" w:eastAsia="zh-CN"/>
        </w:rPr>
        <w:t>科技</w:t>
      </w:r>
      <w:r>
        <w:rPr>
          <w:rFonts w:hint="eastAsia" w:ascii="仿宋_GB2312" w:hAnsi="仿宋" w:eastAsia="仿宋_GB2312"/>
          <w:sz w:val="32"/>
          <w:szCs w:val="32"/>
          <w:highlight w:val="none"/>
          <w:lang w:eastAsia="zh-CN"/>
        </w:rPr>
        <w:t>企业、促进科技和金融创新、</w:t>
      </w:r>
      <w:r>
        <w:rPr>
          <w:rFonts w:hint="eastAsia" w:ascii="仿宋_GB2312" w:hAnsi="仿宋" w:eastAsia="仿宋_GB2312"/>
          <w:sz w:val="32"/>
          <w:szCs w:val="32"/>
          <w:highlight w:val="none"/>
          <w:lang w:val="en-US" w:eastAsia="zh-CN"/>
        </w:rPr>
        <w:t>完善</w:t>
      </w:r>
      <w:r>
        <w:rPr>
          <w:rFonts w:hint="eastAsia" w:ascii="仿宋_GB2312" w:hAnsi="仿宋" w:eastAsia="仿宋_GB2312"/>
          <w:sz w:val="32"/>
          <w:szCs w:val="32"/>
          <w:highlight w:val="none"/>
          <w:lang w:eastAsia="zh-CN"/>
        </w:rPr>
        <w:t>创新创业生态体系等。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（二）部门收支预决算情况</w:t>
      </w:r>
    </w:p>
    <w:p>
      <w:pPr>
        <w:keepNext w:val="0"/>
        <w:keepLines w:val="0"/>
        <w:pageBreakBefore w:val="0"/>
        <w:widowControl w:val="0"/>
        <w:tabs>
          <w:tab w:val="left" w:pos="1320"/>
        </w:tabs>
        <w:kinsoku/>
        <w:wordWrap/>
        <w:overflowPunct/>
        <w:topLinePunct w:val="0"/>
        <w:autoSpaceDE/>
        <w:autoSpaceDN/>
        <w:bidi w:val="0"/>
        <w:adjustRightInd/>
        <w:spacing w:line="360" w:lineRule="auto"/>
        <w:ind w:firstLine="640" w:firstLineChars="200"/>
        <w:jc w:val="both"/>
        <w:textAlignment w:val="auto"/>
      </w:pPr>
      <w:r>
        <w:rPr>
          <w:rFonts w:hint="eastAsia" w:ascii="仿宋_GB2312" w:hAnsi="仿宋" w:eastAsia="仿宋_GB2312"/>
          <w:sz w:val="32"/>
          <w:szCs w:val="32"/>
          <w:highlight w:val="none"/>
          <w:lang w:val="en-US" w:eastAsia="zh-CN"/>
        </w:rPr>
        <w:t>2024年全年项目预算安排20094.62746万元，全年支出19837.71876万元，预算执行率达到98.72%，</w:t>
      </w:r>
      <w:r>
        <w:rPr>
          <w:rFonts w:hint="eastAsia" w:ascii="仿宋_GB2312" w:hAnsi="仿宋" w:eastAsia="仿宋_GB2312"/>
          <w:color w:val="auto"/>
          <w:sz w:val="32"/>
          <w:szCs w:val="32"/>
          <w:highlight w:val="none"/>
          <w:lang w:eastAsia="zh-CN"/>
        </w:rPr>
        <w:t>资金</w:t>
      </w:r>
      <w:bookmarkStart w:id="0" w:name="_GoBack"/>
      <w:bookmarkEnd w:id="0"/>
      <w:r>
        <w:rPr>
          <w:rFonts w:hint="eastAsia" w:ascii="仿宋_GB2312" w:hAnsi="仿宋" w:eastAsia="仿宋_GB2312"/>
          <w:color w:val="auto"/>
          <w:sz w:val="32"/>
          <w:szCs w:val="32"/>
          <w:highlight w:val="none"/>
          <w:lang w:eastAsia="zh-CN"/>
        </w:rPr>
        <w:t>主要来源于区本级财政和上级转移支付。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（三）部门整体支出绩效目标、指标</w:t>
      </w:r>
    </w:p>
    <w:p>
      <w:pPr>
        <w:keepNext w:val="0"/>
        <w:keepLines w:val="0"/>
        <w:pageBreakBefore w:val="0"/>
        <w:widowControl w:val="0"/>
        <w:tabs>
          <w:tab w:val="left" w:pos="1320"/>
        </w:tabs>
        <w:kinsoku/>
        <w:wordWrap/>
        <w:overflowPunct/>
        <w:topLinePunct w:val="0"/>
        <w:autoSpaceDE/>
        <w:autoSpaceDN/>
        <w:bidi w:val="0"/>
        <w:adjustRightInd/>
        <w:spacing w:line="360" w:lineRule="auto"/>
        <w:ind w:firstLine="640" w:firstLineChars="200"/>
        <w:jc w:val="both"/>
        <w:textAlignment w:val="auto"/>
        <w:rPr>
          <w:rFonts w:hint="eastAsia" w:ascii="仿宋_GB2312" w:hAnsi="仿宋" w:eastAsia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="仿宋_GB2312" w:hAnsi="仿宋" w:eastAsia="仿宋_GB2312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4</w:t>
      </w:r>
      <w:r>
        <w:rPr>
          <w:rFonts w:hint="eastAsia" w:ascii="仿宋_GB2312" w:hAnsi="仿宋" w:eastAsia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年提高</w:t>
      </w:r>
      <w:r>
        <w:rPr>
          <w:rFonts w:hint="eastAsia" w:ascii="仿宋_GB2312" w:hAnsi="仿宋" w:eastAsia="仿宋_GB2312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了</w:t>
      </w:r>
      <w:r>
        <w:rPr>
          <w:rFonts w:hint="eastAsia" w:ascii="仿宋_GB2312" w:hAnsi="仿宋" w:eastAsia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技术市场管理水平，技术市场环境得到不断改善。高新技术企业和科技型中小企业培育，创新体系进一步完善，创新能力进一步提高，创新环境进一步优化，人才团队进一步壮大，创新创业服务机构对产业技术创新的支撑和服务能力进一步增强，园区产业聚集和示范作用进一步提升。科技金融创新，拓宽企业融资渠道，帮助企业解决融资问题，金融</w:t>
      </w:r>
      <w:r>
        <w:rPr>
          <w:rFonts w:hint="eastAsia" w:ascii="仿宋_GB2312" w:hAnsi="仿宋" w:eastAsia="仿宋_GB2312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行业</w:t>
      </w:r>
      <w:r>
        <w:rPr>
          <w:rFonts w:hint="eastAsia" w:ascii="仿宋_GB2312" w:hAnsi="仿宋" w:eastAsia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服务质量</w:t>
      </w:r>
      <w:r>
        <w:rPr>
          <w:rFonts w:hint="eastAsia" w:ascii="仿宋_GB2312" w:hAnsi="仿宋" w:eastAsia="仿宋_GB2312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都有所提升，</w:t>
      </w:r>
      <w:r>
        <w:rPr>
          <w:rFonts w:hint="eastAsia" w:ascii="仿宋_GB2312" w:hAnsi="仿宋" w:eastAsia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全区范围内开展非法集资宣传。保障科协对接工作顺利完成</w:t>
      </w:r>
      <w:r>
        <w:rPr>
          <w:rFonts w:hint="eastAsia" w:ascii="仿宋_GB2312" w:hAnsi="仿宋" w:eastAsia="仿宋_GB2312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仿宋_GB2312" w:hAnsi="仿宋" w:eastAsia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各类科技工作综合管理谋划到位、开展有序，助推科技事业发展能力提升，保障机关工作正常运转。</w:t>
      </w:r>
    </w:p>
    <w:p>
      <w:pPr>
        <w:adjustRightInd w:val="0"/>
        <w:snapToGrid w:val="0"/>
        <w:spacing w:line="360" w:lineRule="auto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>
      <w:pPr>
        <w:spacing w:line="360" w:lineRule="auto"/>
        <w:rPr>
          <w:rFonts w:ascii="楷体" w:hAnsi="楷体" w:eastAsia="楷体" w:cs="楷体_GB2312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>
      <w:pPr>
        <w:keepNext w:val="0"/>
        <w:keepLines w:val="0"/>
        <w:pageBreakBefore w:val="0"/>
        <w:widowControl w:val="0"/>
        <w:tabs>
          <w:tab w:val="left" w:pos="1320"/>
        </w:tabs>
        <w:kinsoku/>
        <w:wordWrap/>
        <w:overflowPunct/>
        <w:topLinePunct w:val="0"/>
        <w:autoSpaceDE/>
        <w:autoSpaceDN/>
        <w:bidi w:val="0"/>
        <w:adjustRightInd/>
        <w:spacing w:line="360" w:lineRule="auto"/>
        <w:ind w:firstLine="640" w:firstLineChars="200"/>
        <w:jc w:val="both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eastAsia="zh-CN"/>
        </w:rPr>
        <w:t>按照《石家庄高新区科技局关于印发预算绩效管理细则的通知》（石高科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val="en-US" w:eastAsia="zh-CN"/>
        </w:rPr>
        <w:t>[2019]49号）和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eastAsia="zh-CN"/>
        </w:rPr>
        <w:t>《石家庄高新区科技局预算绩效管理细则》（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val="en-US" w:eastAsia="zh-CN"/>
        </w:rPr>
        <w:t>2021修订版）要求，</w:t>
      </w:r>
      <w:r>
        <w:rPr>
          <w:rFonts w:hint="eastAsia" w:ascii="仿宋_GB2312" w:hAnsi="仿宋_GB2312" w:eastAsia="仿宋_GB2312" w:cs="仿宋_GB2312"/>
          <w:color w:val="333333"/>
          <w:sz w:val="32"/>
          <w:szCs w:val="32"/>
          <w:highlight w:val="none"/>
          <w:shd w:val="clear" w:color="auto" w:fill="FFFFFF"/>
          <w:lang w:val="en-US"/>
        </w:rPr>
        <w:t>我局成立了以</w:t>
      </w:r>
      <w:r>
        <w:rPr>
          <w:rFonts w:hint="eastAsia" w:ascii="仿宋_GB2312" w:hAnsi="仿宋_GB2312" w:eastAsia="仿宋_GB2312" w:cs="仿宋_GB2312"/>
          <w:color w:val="333333"/>
          <w:sz w:val="32"/>
          <w:szCs w:val="32"/>
          <w:highlight w:val="none"/>
          <w:shd w:val="clear" w:color="auto" w:fill="FFFFFF"/>
          <w:lang w:val="en-US" w:eastAsia="zh-CN"/>
        </w:rPr>
        <w:t>曹风梅</w:t>
      </w:r>
      <w:r>
        <w:rPr>
          <w:rFonts w:hint="eastAsia" w:ascii="仿宋_GB2312" w:hAnsi="仿宋_GB2312" w:eastAsia="仿宋_GB2312" w:cs="仿宋_GB2312"/>
          <w:color w:val="333333"/>
          <w:sz w:val="32"/>
          <w:szCs w:val="32"/>
          <w:highlight w:val="none"/>
          <w:shd w:val="clear" w:color="auto" w:fill="FFFFFF"/>
          <w:lang w:val="en-US"/>
        </w:rPr>
        <w:t>局长为组长</w:t>
      </w:r>
      <w:r>
        <w:rPr>
          <w:rFonts w:hint="eastAsia" w:ascii="仿宋_GB2312" w:hAnsi="仿宋_GB2312" w:eastAsia="仿宋_GB2312" w:cs="仿宋_GB2312"/>
          <w:color w:val="333333"/>
          <w:sz w:val="32"/>
          <w:szCs w:val="32"/>
          <w:highlight w:val="none"/>
          <w:shd w:val="clear" w:color="auto" w:fill="FFFFFF"/>
          <w:lang w:val="en-US" w:eastAsia="zh-CN"/>
        </w:rPr>
        <w:t>，梁强梓、刘超、陈玉</w:t>
      </w:r>
      <w:r>
        <w:rPr>
          <w:rFonts w:hint="eastAsia" w:ascii="仿宋_GB2312" w:hAnsi="仿宋_GB2312" w:eastAsia="仿宋_GB2312" w:cs="仿宋_GB2312"/>
          <w:color w:val="333333"/>
          <w:sz w:val="32"/>
          <w:szCs w:val="32"/>
          <w:highlight w:val="none"/>
          <w:shd w:val="clear" w:color="auto" w:fill="FFFFFF"/>
          <w:lang w:val="en-US"/>
        </w:rPr>
        <w:t>副局长为副组长</w:t>
      </w:r>
      <w:r>
        <w:rPr>
          <w:rFonts w:hint="eastAsia" w:ascii="仿宋_GB2312" w:hAnsi="仿宋_GB2312" w:eastAsia="仿宋_GB2312" w:cs="仿宋_GB2312"/>
          <w:color w:val="333333"/>
          <w:sz w:val="32"/>
          <w:szCs w:val="32"/>
          <w:highlight w:val="none"/>
          <w:shd w:val="clear" w:color="auto" w:fill="FFFFFF"/>
          <w:lang w:val="en-US" w:eastAsia="zh-CN"/>
        </w:rPr>
        <w:t>，</w:t>
      </w:r>
      <w:r>
        <w:rPr>
          <w:rFonts w:hint="eastAsia" w:ascii="仿宋_GB2312" w:hAnsi="仿宋_GB2312" w:eastAsia="仿宋_GB2312" w:cs="仿宋_GB2312"/>
          <w:color w:val="333333"/>
          <w:sz w:val="32"/>
          <w:szCs w:val="32"/>
          <w:highlight w:val="none"/>
          <w:shd w:val="clear" w:color="auto" w:fill="FFFFFF"/>
          <w:lang w:val="en-US"/>
        </w:rPr>
        <w:t>各处室负责人为</w:t>
      </w:r>
      <w:r>
        <w:rPr>
          <w:rFonts w:hint="eastAsia" w:ascii="仿宋_GB2312" w:hAnsi="仿宋_GB2312" w:eastAsia="仿宋_GB2312" w:cs="仿宋_GB2312"/>
          <w:color w:val="333333"/>
          <w:sz w:val="32"/>
          <w:szCs w:val="32"/>
          <w:highlight w:val="none"/>
          <w:shd w:val="clear" w:color="auto" w:fill="FFFFFF"/>
          <w:lang w:val="en-US" w:eastAsia="zh-CN"/>
        </w:rPr>
        <w:t>成</w:t>
      </w:r>
      <w:r>
        <w:rPr>
          <w:rFonts w:hint="eastAsia" w:ascii="仿宋_GB2312" w:hAnsi="仿宋_GB2312" w:eastAsia="仿宋_GB2312" w:cs="仿宋_GB2312"/>
          <w:color w:val="333333"/>
          <w:sz w:val="32"/>
          <w:szCs w:val="32"/>
          <w:highlight w:val="none"/>
          <w:shd w:val="clear" w:color="auto" w:fill="FFFFFF"/>
          <w:lang w:val="en-US"/>
        </w:rPr>
        <w:t>员的</w:t>
      </w:r>
      <w:r>
        <w:rPr>
          <w:rFonts w:hint="eastAsia" w:ascii="仿宋_GB2312" w:hAnsi="仿宋_GB2312" w:eastAsia="仿宋_GB2312" w:cs="仿宋_GB2312"/>
          <w:color w:val="333333"/>
          <w:sz w:val="32"/>
          <w:szCs w:val="32"/>
          <w:highlight w:val="none"/>
          <w:shd w:val="clear" w:color="auto" w:fill="FFFFFF"/>
          <w:lang w:val="en-US" w:eastAsia="zh-CN"/>
        </w:rPr>
        <w:t>科技</w:t>
      </w:r>
      <w:r>
        <w:rPr>
          <w:rFonts w:hint="eastAsia" w:ascii="仿宋_GB2312" w:hAnsi="仿宋_GB2312" w:eastAsia="仿宋_GB2312" w:cs="仿宋_GB2312"/>
          <w:color w:val="333333"/>
          <w:sz w:val="32"/>
          <w:szCs w:val="32"/>
          <w:highlight w:val="none"/>
          <w:shd w:val="clear" w:color="auto" w:fill="FFFFFF"/>
          <w:lang w:val="en-US"/>
        </w:rPr>
        <w:t>局绩效评价工作领导小组，统筹推进绩效自评工作的有序开展。</w:t>
      </w:r>
    </w:p>
    <w:p>
      <w:pPr>
        <w:numPr>
          <w:ilvl w:val="0"/>
          <w:numId w:val="1"/>
        </w:numPr>
        <w:spacing w:line="360" w:lineRule="auto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1320"/>
        </w:tabs>
        <w:kinsoku/>
        <w:wordWrap/>
        <w:overflowPunct/>
        <w:topLinePunct w:val="0"/>
        <w:autoSpaceDE/>
        <w:autoSpaceDN/>
        <w:bidi w:val="0"/>
        <w:adjustRightInd/>
        <w:spacing w:line="360" w:lineRule="auto"/>
        <w:ind w:firstLine="640" w:firstLineChars="200"/>
        <w:jc w:val="both"/>
        <w:textAlignment w:val="auto"/>
        <w:rPr>
          <w:rFonts w:hint="eastAsia" w:ascii="仿宋_GB2312" w:eastAsia="仿宋_GB2312"/>
          <w:sz w:val="32"/>
          <w:szCs w:val="32"/>
          <w:highlight w:val="none"/>
        </w:rPr>
      </w:pPr>
      <w:r>
        <w:rPr>
          <w:rFonts w:hint="eastAsia" w:ascii="仿宋_GB2312" w:eastAsia="仿宋_GB2312"/>
          <w:sz w:val="32"/>
          <w:szCs w:val="32"/>
          <w:highlight w:val="none"/>
        </w:rPr>
        <w:t>评价过程中，评价小组各成员团结合作、相互配合、分工明确，掌握基础资料，了解项目整个实施环节和过程，对资料认真核查，对现场深入核实。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1320"/>
        </w:tabs>
        <w:kinsoku/>
        <w:wordWrap/>
        <w:overflowPunct/>
        <w:topLinePunct w:val="0"/>
        <w:autoSpaceDE/>
        <w:autoSpaceDN/>
        <w:bidi w:val="0"/>
        <w:adjustRightInd/>
        <w:spacing w:line="360" w:lineRule="auto"/>
        <w:ind w:firstLine="640" w:firstLineChars="200"/>
        <w:jc w:val="both"/>
        <w:textAlignment w:val="auto"/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</w:rPr>
        <w:t>自评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eastAsia="zh-CN"/>
        </w:rPr>
        <w:t>采用业务处室填报，小组审核，小组组长审批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</w:rPr>
        <w:t>的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eastAsia="zh-CN"/>
        </w:rPr>
        <w:t>方式开展。由</w:t>
      </w:r>
      <w:r>
        <w:rPr>
          <w:rFonts w:hint="eastAsia" w:ascii="仿宋_GB2312" w:eastAsia="仿宋_GB2312"/>
          <w:sz w:val="32"/>
          <w:szCs w:val="32"/>
          <w:highlight w:val="none"/>
          <w:lang w:eastAsia="zh-CN"/>
        </w:rPr>
        <w:t>业务处室</w:t>
      </w:r>
      <w:r>
        <w:rPr>
          <w:rFonts w:hint="eastAsia" w:ascii="仿宋_GB2312" w:eastAsia="仿宋_GB2312"/>
          <w:sz w:val="32"/>
          <w:szCs w:val="32"/>
          <w:highlight w:val="none"/>
        </w:rPr>
        <w:t>分别对各项指标进行打分，最终评价按综合得分计算。</w:t>
      </w:r>
    </w:p>
    <w:p>
      <w:pPr>
        <w:spacing w:line="360" w:lineRule="auto"/>
        <w:rPr>
          <w:rFonts w:ascii="黑体" w:hAnsi="黑体" w:eastAsia="黑体"/>
          <w:b/>
          <w:bCs/>
          <w:sz w:val="32"/>
          <w:szCs w:val="32"/>
          <w:highlight w:val="none"/>
        </w:rPr>
      </w:pPr>
      <w:r>
        <w:rPr>
          <w:rFonts w:hint="eastAsia" w:ascii="黑体" w:hAnsi="黑体" w:eastAsia="黑体"/>
          <w:sz w:val="32"/>
          <w:szCs w:val="32"/>
        </w:rPr>
        <w:t xml:space="preserve">  </w:t>
      </w:r>
      <w:r>
        <w:rPr>
          <w:rFonts w:hint="eastAsia" w:ascii="黑体" w:hAnsi="黑体" w:eastAsia="黑体"/>
          <w:sz w:val="32"/>
          <w:szCs w:val="32"/>
          <w:highlight w:val="none"/>
        </w:rPr>
        <w:t xml:space="preserve">  三、部门整体支出绩效目标实现情况及指标分析</w:t>
      </w:r>
    </w:p>
    <w:p>
      <w:pPr>
        <w:numPr>
          <w:ilvl w:val="0"/>
          <w:numId w:val="2"/>
        </w:numPr>
        <w:spacing w:line="360" w:lineRule="auto"/>
        <w:ind w:firstLine="640" w:firstLineChars="200"/>
        <w:rPr>
          <w:rFonts w:ascii="楷体" w:hAnsi="楷体" w:eastAsia="楷体" w:cs="楷体_GB2312"/>
          <w:bCs/>
          <w:sz w:val="32"/>
          <w:szCs w:val="32"/>
          <w:highlight w:val="none"/>
        </w:rPr>
      </w:pPr>
      <w:r>
        <w:rPr>
          <w:rFonts w:hint="eastAsia" w:ascii="楷体" w:hAnsi="楷体" w:eastAsia="楷体" w:cs="楷体_GB2312"/>
          <w:bCs/>
          <w:sz w:val="32"/>
          <w:szCs w:val="32"/>
          <w:highlight w:val="none"/>
        </w:rPr>
        <w:t>总体绩效目标实现情况</w:t>
      </w:r>
    </w:p>
    <w:p>
      <w:pPr>
        <w:pStyle w:val="8"/>
        <w:spacing w:line="360" w:lineRule="auto"/>
        <w:rPr>
          <w:rFonts w:hint="eastAsia" w:ascii="仿宋" w:hAnsi="仿宋" w:eastAsia="仿宋" w:cs="仿宋"/>
          <w:sz w:val="32"/>
          <w:szCs w:val="32"/>
          <w:highlight w:val="none"/>
        </w:rPr>
      </w:pPr>
      <w:r>
        <w:rPr>
          <w:rFonts w:hint="eastAsia" w:ascii="仿宋" w:hAnsi="仿宋" w:eastAsia="仿宋" w:cs="仿宋"/>
          <w:sz w:val="32"/>
          <w:szCs w:val="32"/>
          <w:highlight w:val="none"/>
        </w:rPr>
        <w:t>提高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了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技术市场管理水平，继续完善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了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技术合同认定、登记和备案工作，加强业务及政策培训。推进科技型中小企业和高新技术企业发展，数量持续增长，创新能力增强。创新体系进一步完善，政策环境进一步优化，创新平台对产业技术创新的支撑和服务能力进一步增强；认真落实对科技企业孵化器、加速器、众创空间及创新型孵化器的扶持政策，促进孵化器健康发展。培养和储备一批上市后备企业，增强企业利用资本市场融资能力，创新发展多种科技金融产品，拓宽企业融资渠道，有效缓解区内企业融资难题。加强各类金融风险的防范和处置，有效防范系统性和区域性金融风险发生。保障科协对接工作顺利完成。各类科技管理工作谋划到位、开展有序，助推科技事业发展能力提升。</w:t>
      </w:r>
    </w:p>
    <w:p>
      <w:pPr>
        <w:spacing w:line="360" w:lineRule="auto"/>
        <w:rPr>
          <w:rFonts w:hint="eastAsia" w:asci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  <w:highlight w:val="none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  <w:highlight w:val="none"/>
        </w:rPr>
        <w:t>（二）分项绩效目标实现情况及指标分析</w:t>
      </w:r>
    </w:p>
    <w:p>
      <w:pPr>
        <w:pStyle w:val="9"/>
        <w:keepNext w:val="0"/>
        <w:keepLines w:val="0"/>
        <w:pageBreakBefore w:val="0"/>
        <w:widowControl w:val="0"/>
        <w:numPr>
          <w:ilvl w:val="0"/>
          <w:numId w:val="0"/>
        </w:numP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textAlignment w:val="auto"/>
        <w:rPr>
          <w:rFonts w:hint="eastAsia" w:ascii="仿宋_GB2312" w:eastAsia="仿宋_GB2312" w:cs="仿宋_GB2312"/>
          <w:b w:val="0"/>
          <w:bCs w:val="0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仿宋_GB2312" w:eastAsia="仿宋_GB2312" w:cs="仿宋_GB2312"/>
          <w:b w:val="0"/>
          <w:bCs w:val="0"/>
          <w:color w:val="auto"/>
          <w:sz w:val="32"/>
          <w:szCs w:val="32"/>
          <w:highlight w:val="none"/>
          <w:lang w:val="en-US" w:eastAsia="zh-CN"/>
        </w:rPr>
        <w:t>2024年认定高新技术企业336家，占全市27%；认定科技型中小企业1881家（占全市14%）；其中，国家级898家（占全市21.6%）；积极落实研发投入后补助政策，争取省、市专项资金2786.974万元，惠及企业443家；研发投入强度在2024年度全国高新区综合评价单项排名第17位。</w:t>
      </w:r>
    </w:p>
    <w:p>
      <w:pPr>
        <w:pStyle w:val="9"/>
        <w:keepNext w:val="0"/>
        <w:keepLines w:val="0"/>
        <w:pageBreakBefore w:val="0"/>
        <w:widowControl w:val="0"/>
        <w:numPr>
          <w:ilvl w:val="0"/>
          <w:numId w:val="0"/>
        </w:numP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textAlignment w:val="auto"/>
        <w:rPr>
          <w:rFonts w:hint="eastAsia" w:ascii="仿宋_GB2312" w:eastAsia="仿宋_GB2312" w:cs="仿宋_GB2312"/>
          <w:b w:val="0"/>
          <w:bCs w:val="0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仿宋_GB2312" w:eastAsia="仿宋_GB2312" w:cs="仿宋_GB2312"/>
          <w:b w:val="0"/>
          <w:bCs w:val="0"/>
          <w:color w:val="auto"/>
          <w:sz w:val="32"/>
          <w:szCs w:val="32"/>
          <w:highlight w:val="none"/>
          <w:lang w:val="en-US" w:eastAsia="zh-CN"/>
        </w:rPr>
        <w:t>新建市级技术创新中心2家、产业技术研究院3家、重点实验室2家；市级以上各类创新平台达到318家，其中国家级21家（含全国重点实验室5家，占全市的100%）。</w:t>
      </w:r>
    </w:p>
    <w:p>
      <w:pPr>
        <w:pStyle w:val="9"/>
        <w:keepNext w:val="0"/>
        <w:keepLines w:val="0"/>
        <w:pageBreakBefore w:val="0"/>
        <w:widowControl w:val="0"/>
        <w:numPr>
          <w:ilvl w:val="0"/>
          <w:numId w:val="0"/>
        </w:numP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textAlignment w:val="auto"/>
        <w:rPr>
          <w:rFonts w:hint="eastAsia" w:ascii="仿宋_GB2312" w:eastAsia="仿宋_GB2312" w:cs="仿宋_GB2312"/>
          <w:b w:val="0"/>
          <w:bCs w:val="0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仿宋_GB2312" w:eastAsia="仿宋_GB2312" w:cs="仿宋_GB2312"/>
          <w:b w:val="0"/>
          <w:bCs w:val="0"/>
          <w:color w:val="auto"/>
          <w:sz w:val="32"/>
          <w:szCs w:val="32"/>
          <w:highlight w:val="none"/>
          <w:lang w:val="en-US" w:eastAsia="zh-CN"/>
        </w:rPr>
        <w:t>围绕生物医药、电子信息、化工新材料等主导产业，鼓励各类创新主体承担或参与科技项目，协同攻克关键技术难题。2024年度获批省、市科技项目88项，争取项目专项资金4351万元，有力促进了企业创新发展。</w:t>
      </w:r>
    </w:p>
    <w:p>
      <w:pPr>
        <w:pStyle w:val="9"/>
        <w:keepNext w:val="0"/>
        <w:keepLines w:val="0"/>
        <w:pageBreakBefore w:val="0"/>
        <w:widowControl w:val="0"/>
        <w:numPr>
          <w:ilvl w:val="0"/>
          <w:numId w:val="0"/>
        </w:numP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color w:val="0000FF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实现技术合同成交额达66.71亿元，占全市24.58%；引进、转化高校科研院所及京津等外地技术、成果62项。获市级引进国外智力项目立项16项。</w:t>
      </w:r>
    </w:p>
    <w:p>
      <w:pPr>
        <w:pStyle w:val="9"/>
        <w:keepNext w:val="0"/>
        <w:keepLines w:val="0"/>
        <w:pageBreakBefore w:val="0"/>
        <w:widowControl w:val="0"/>
        <w:numPr>
          <w:ilvl w:val="0"/>
          <w:numId w:val="0"/>
        </w:numP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  <w:lang w:val="en-US" w:eastAsia="zh-CN"/>
        </w:rPr>
        <w:t>2024年，搭建的“一站式企业上市中介服务平台”入选省委深改办服务企业典型案例，无线传媒成功在创业板上市，成为年度内全市唯一新上市企业；轩竹生物在港交所递交上市申请；九易庄宸在河北证监局申请辅导。全区累计上市企业11家，全市占比33%、全省占比11%，居全省区县第一。优化“石家庄高新区企业创新积分信息平台”，为全区2700余家科技型企业绘制创新积分“精准画像”，区内企业已通过积分获得授信超10亿元；依托首贷续贷服务中心，打造“融易汇”银企对接品牌，常态化开展“1+2+N”银企对接活动，举办对接活动61场，对接融资5.88亿元；强化科技金融服务中心运营，获批科技部全国“科技金融创新服务中心培育机构”，采用“线上+线下”服务模式，累计服务企业9000余家。</w:t>
      </w:r>
    </w:p>
    <w:p>
      <w:pPr>
        <w:pStyle w:val="9"/>
        <w:keepNext w:val="0"/>
        <w:keepLines w:val="0"/>
        <w:pageBreakBefore w:val="0"/>
        <w:widowControl w:val="0"/>
        <w:numPr>
          <w:ilvl w:val="0"/>
          <w:numId w:val="0"/>
        </w:numP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textAlignment w:val="auto"/>
        <w:rPr>
          <w:rFonts w:hint="eastAsia" w:ascii="仿宋_GB2312" w:eastAsia="仿宋_GB2312" w:cs="仿宋_GB2312"/>
          <w:color w:val="auto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  <w:lang w:val="en-US" w:eastAsia="zh-CN"/>
        </w:rPr>
        <w:t>建立“网格+警格+金融”三格预警监测体系，完成了覆盖全区的风险排查；全年开展宣传活动202场，其中防非短视频荣获省三等奖；3起存量案件均取得重大进展；开展地方金融组织规范整治专项行动，注销融资担保公司、典当行各1家，吊销融资担保公司1家，做到地方金融组织的提质减量。</w:t>
      </w:r>
    </w:p>
    <w:p>
      <w:pPr>
        <w:spacing w:line="360" w:lineRule="auto"/>
        <w:ind w:firstLine="640" w:firstLineChars="200"/>
        <w:rPr>
          <w:rFonts w:ascii="黑体" w:hAnsi="黑体" w:eastAsia="黑体"/>
          <w:sz w:val="32"/>
          <w:szCs w:val="32"/>
          <w:highlight w:val="none"/>
        </w:rPr>
      </w:pPr>
      <w:r>
        <w:rPr>
          <w:rFonts w:hint="eastAsia" w:ascii="黑体" w:hAnsi="黑体" w:eastAsia="黑体"/>
          <w:sz w:val="32"/>
          <w:szCs w:val="32"/>
          <w:highlight w:val="none"/>
        </w:rPr>
        <w:t>四、评价结论和评价等级</w:t>
      </w:r>
    </w:p>
    <w:p>
      <w:pPr>
        <w:keepNext w:val="0"/>
        <w:keepLines w:val="0"/>
        <w:pageBreakBefore w:val="0"/>
        <w:widowControl w:val="0"/>
        <w:tabs>
          <w:tab w:val="left" w:pos="1320"/>
        </w:tabs>
        <w:kinsoku/>
        <w:wordWrap/>
        <w:overflowPunct/>
        <w:topLinePunct w:val="0"/>
        <w:autoSpaceDE/>
        <w:autoSpaceDN/>
        <w:bidi w:val="0"/>
        <w:adjustRightInd/>
        <w:spacing w:line="360" w:lineRule="auto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</w:rPr>
        <w:t>根据项目执行情况和项目绩效情况，总得分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val="en-US" w:eastAsia="zh-CN"/>
        </w:rPr>
        <w:t>100分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</w:rPr>
        <w:t>，得出综合评价结论和项目综合绩效评价等级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eastAsia="zh-CN"/>
        </w:rPr>
        <w:t>为优秀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</w:rPr>
        <w:t>。</w:t>
      </w:r>
    </w:p>
    <w:p>
      <w:pPr>
        <w:spacing w:line="360" w:lineRule="auto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>
      <w:pPr>
        <w:spacing w:line="360" w:lineRule="auto"/>
        <w:ind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（一）存在的主要问题</w:t>
      </w:r>
    </w:p>
    <w:p>
      <w:pPr>
        <w:spacing w:line="360" w:lineRule="auto"/>
        <w:ind w:firstLine="640" w:firstLineChars="200"/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shd w:val="clear" w:color="auto" w:fill="FFFFFF"/>
          <w:lang w:val="en-US" w:eastAsia="zh-CN"/>
        </w:rPr>
        <w:t>无问题存在。</w:t>
      </w:r>
    </w:p>
    <w:p>
      <w:pPr>
        <w:numPr>
          <w:ilvl w:val="0"/>
          <w:numId w:val="2"/>
        </w:numPr>
        <w:spacing w:line="360" w:lineRule="auto"/>
        <w:ind w:left="0" w:leftChars="0"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针对问题提出具体的改进措施或建议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shd w:val="clear" w:color="auto" w:fill="FFFFFF"/>
        </w:rPr>
        <w:t>在今后的工作中,我局将严格按照新《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shd w:val="clear" w:color="auto" w:fill="FFFFFF"/>
          <w:lang w:val="en-US" w:eastAsia="zh-CN"/>
        </w:rPr>
        <w:t>中华人民共和国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shd w:val="clear" w:color="auto" w:fill="FFFFFF"/>
        </w:rPr>
        <w:t>预算法》的要求，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加大绩效管理工作力度，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shd w:val="clear" w:color="auto" w:fill="FFFFFF"/>
        </w:rPr>
        <w:t>加强预算编制的科学性、合理性,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以实现绩效目标为核心，严格项目执行进度，加大过程监控，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shd w:val="clear" w:color="auto" w:fill="FFFFFF"/>
        </w:rPr>
        <w:t>提高财政资金的使用效益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shd w:val="clear" w:color="auto" w:fill="FFFFFF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保障财政资金发挥效用和安全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shd w:val="clear" w:color="auto" w:fill="FFFFFF"/>
        </w:rPr>
        <w:t>。</w:t>
      </w:r>
    </w:p>
    <w:p>
      <w:pPr>
        <w:adjustRightInd w:val="0"/>
        <w:snapToGrid w:val="0"/>
        <w:spacing w:line="360" w:lineRule="auto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六、评价工作组人员名单及签字（姓名、工作单位、职务、职称）</w:t>
      </w:r>
    </w:p>
    <w:tbl>
      <w:tblPr>
        <w:tblStyle w:val="6"/>
        <w:tblW w:w="881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8"/>
        <w:gridCol w:w="1553"/>
        <w:gridCol w:w="1719"/>
        <w:gridCol w:w="1715"/>
        <w:gridCol w:w="264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exact"/>
          <w:jc w:val="center"/>
        </w:trPr>
        <w:tc>
          <w:tcPr>
            <w:tcW w:w="118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13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eastAsia="zh-CN"/>
              </w:rPr>
              <w:t>姓名</w:t>
            </w:r>
          </w:p>
        </w:tc>
        <w:tc>
          <w:tcPr>
            <w:tcW w:w="155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13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eastAsia="zh-CN"/>
              </w:rPr>
              <w:t>工作单位</w:t>
            </w:r>
          </w:p>
        </w:tc>
        <w:tc>
          <w:tcPr>
            <w:tcW w:w="171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13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eastAsia="zh-CN"/>
              </w:rPr>
              <w:t>职务</w:t>
            </w:r>
          </w:p>
        </w:tc>
        <w:tc>
          <w:tcPr>
            <w:tcW w:w="17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13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eastAsia="zh-CN"/>
              </w:rPr>
              <w:t>职称</w:t>
            </w:r>
          </w:p>
        </w:tc>
        <w:tc>
          <w:tcPr>
            <w:tcW w:w="264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13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eastAsia="zh-CN"/>
              </w:rPr>
              <w:t>签字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exact"/>
          <w:jc w:val="center"/>
        </w:trPr>
        <w:tc>
          <w:tcPr>
            <w:tcW w:w="118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13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default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val="en-US" w:eastAsia="zh-CN"/>
              </w:rPr>
              <w:t>曹风梅</w:t>
            </w:r>
          </w:p>
        </w:tc>
        <w:tc>
          <w:tcPr>
            <w:tcW w:w="155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13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default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val="en-US" w:eastAsia="zh-CN"/>
              </w:rPr>
              <w:t>科技局</w:t>
            </w:r>
          </w:p>
        </w:tc>
        <w:tc>
          <w:tcPr>
            <w:tcW w:w="171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13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default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val="en-US" w:eastAsia="zh-CN"/>
              </w:rPr>
              <w:t>局长</w:t>
            </w:r>
          </w:p>
        </w:tc>
        <w:tc>
          <w:tcPr>
            <w:tcW w:w="17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13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</w:rPr>
            </w:pPr>
          </w:p>
        </w:tc>
        <w:tc>
          <w:tcPr>
            <w:tcW w:w="264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13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exact"/>
          <w:jc w:val="center"/>
        </w:trPr>
        <w:tc>
          <w:tcPr>
            <w:tcW w:w="118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13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default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val="en-US" w:eastAsia="zh-CN"/>
              </w:rPr>
              <w:t>梁强梓</w:t>
            </w:r>
          </w:p>
        </w:tc>
        <w:tc>
          <w:tcPr>
            <w:tcW w:w="155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13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eastAsia="zh-CN"/>
              </w:rPr>
              <w:t>科技局</w:t>
            </w:r>
          </w:p>
        </w:tc>
        <w:tc>
          <w:tcPr>
            <w:tcW w:w="171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13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eastAsia="zh-CN"/>
              </w:rPr>
              <w:t>副局长</w:t>
            </w:r>
          </w:p>
        </w:tc>
        <w:tc>
          <w:tcPr>
            <w:tcW w:w="17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13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</w:rPr>
            </w:pPr>
          </w:p>
        </w:tc>
        <w:tc>
          <w:tcPr>
            <w:tcW w:w="264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13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exact"/>
          <w:jc w:val="center"/>
        </w:trPr>
        <w:tc>
          <w:tcPr>
            <w:tcW w:w="118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13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2"/>
                <w:sz w:val="32"/>
                <w:szCs w:val="32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eastAsia="zh-CN"/>
              </w:rPr>
              <w:t>刘超</w:t>
            </w:r>
          </w:p>
        </w:tc>
        <w:tc>
          <w:tcPr>
            <w:tcW w:w="155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13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2"/>
                <w:sz w:val="32"/>
                <w:szCs w:val="32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eastAsia="zh-CN"/>
              </w:rPr>
              <w:t>科技局</w:t>
            </w:r>
          </w:p>
        </w:tc>
        <w:tc>
          <w:tcPr>
            <w:tcW w:w="171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13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2"/>
                <w:sz w:val="32"/>
                <w:szCs w:val="32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eastAsia="zh-CN"/>
              </w:rPr>
              <w:t>副局长</w:t>
            </w:r>
          </w:p>
        </w:tc>
        <w:tc>
          <w:tcPr>
            <w:tcW w:w="17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13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</w:rPr>
            </w:pPr>
          </w:p>
        </w:tc>
        <w:tc>
          <w:tcPr>
            <w:tcW w:w="264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13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exact"/>
          <w:jc w:val="center"/>
        </w:trPr>
        <w:tc>
          <w:tcPr>
            <w:tcW w:w="118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13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eastAsia="zh-CN"/>
              </w:rPr>
              <w:t>李玉飞</w:t>
            </w:r>
          </w:p>
        </w:tc>
        <w:tc>
          <w:tcPr>
            <w:tcW w:w="155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13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eastAsia="zh-CN"/>
              </w:rPr>
              <w:t>科技局</w:t>
            </w:r>
          </w:p>
        </w:tc>
        <w:tc>
          <w:tcPr>
            <w:tcW w:w="1719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  <w:t>科技创新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科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科长</w:t>
            </w:r>
          </w:p>
        </w:tc>
        <w:tc>
          <w:tcPr>
            <w:tcW w:w="17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13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</w:rPr>
            </w:pPr>
          </w:p>
        </w:tc>
        <w:tc>
          <w:tcPr>
            <w:tcW w:w="264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13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exact"/>
          <w:jc w:val="center"/>
        </w:trPr>
        <w:tc>
          <w:tcPr>
            <w:tcW w:w="118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13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eastAsia="zh-CN"/>
              </w:rPr>
              <w:t>乔继明</w:t>
            </w:r>
          </w:p>
        </w:tc>
        <w:tc>
          <w:tcPr>
            <w:tcW w:w="155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13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eastAsia="zh-CN"/>
              </w:rPr>
              <w:t>科技局</w:t>
            </w:r>
          </w:p>
        </w:tc>
        <w:tc>
          <w:tcPr>
            <w:tcW w:w="1719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  <w:t>办公室主任</w:t>
            </w:r>
          </w:p>
        </w:tc>
        <w:tc>
          <w:tcPr>
            <w:tcW w:w="17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13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</w:rPr>
            </w:pPr>
          </w:p>
        </w:tc>
        <w:tc>
          <w:tcPr>
            <w:tcW w:w="264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13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exact"/>
          <w:jc w:val="center"/>
        </w:trPr>
        <w:tc>
          <w:tcPr>
            <w:tcW w:w="118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13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eastAsia="zh-CN"/>
              </w:rPr>
              <w:t>宫策</w:t>
            </w:r>
          </w:p>
        </w:tc>
        <w:tc>
          <w:tcPr>
            <w:tcW w:w="155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13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eastAsia="zh-CN"/>
              </w:rPr>
              <w:t>科技局</w:t>
            </w:r>
          </w:p>
        </w:tc>
        <w:tc>
          <w:tcPr>
            <w:tcW w:w="1719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  <w:t>金融监管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科 科长</w:t>
            </w:r>
          </w:p>
        </w:tc>
        <w:tc>
          <w:tcPr>
            <w:tcW w:w="17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13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</w:rPr>
            </w:pPr>
          </w:p>
        </w:tc>
        <w:tc>
          <w:tcPr>
            <w:tcW w:w="264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13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exact"/>
          <w:jc w:val="center"/>
        </w:trPr>
        <w:tc>
          <w:tcPr>
            <w:tcW w:w="118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13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eastAsia="zh-CN"/>
              </w:rPr>
              <w:t>纪博乐</w:t>
            </w:r>
          </w:p>
        </w:tc>
        <w:tc>
          <w:tcPr>
            <w:tcW w:w="155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13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eastAsia="zh-CN"/>
              </w:rPr>
              <w:t>科技局</w:t>
            </w:r>
          </w:p>
        </w:tc>
        <w:tc>
          <w:tcPr>
            <w:tcW w:w="1719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  <w:t>科技金融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科 副科长</w:t>
            </w:r>
          </w:p>
        </w:tc>
        <w:tc>
          <w:tcPr>
            <w:tcW w:w="17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13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default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264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13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exact"/>
          <w:jc w:val="center"/>
        </w:trPr>
        <w:tc>
          <w:tcPr>
            <w:tcW w:w="118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13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default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val="en-US" w:eastAsia="zh-CN"/>
              </w:rPr>
              <w:t>董瑞晗</w:t>
            </w:r>
          </w:p>
        </w:tc>
        <w:tc>
          <w:tcPr>
            <w:tcW w:w="155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13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2"/>
                <w:sz w:val="32"/>
                <w:szCs w:val="32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eastAsia="zh-CN"/>
              </w:rPr>
              <w:t>科技局</w:t>
            </w:r>
          </w:p>
        </w:tc>
        <w:tc>
          <w:tcPr>
            <w:tcW w:w="1719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  <w:t>科技金融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科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32"/>
                <w:szCs w:val="32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副科长</w:t>
            </w:r>
          </w:p>
        </w:tc>
        <w:tc>
          <w:tcPr>
            <w:tcW w:w="17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13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default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264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13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</w:rPr>
            </w:pPr>
          </w:p>
        </w:tc>
      </w:tr>
    </w:tbl>
    <w:p>
      <w:pPr>
        <w:spacing w:line="560" w:lineRule="exact"/>
        <w:rPr>
          <w:rFonts w:ascii="仿宋" w:hAnsi="仿宋" w:eastAsia="仿宋"/>
        </w:rPr>
      </w:pPr>
    </w:p>
    <w:p>
      <w:pPr>
        <w:pStyle w:val="2"/>
        <w:rPr>
          <w:rFonts w:ascii="仿宋" w:hAnsi="仿宋" w:eastAsia="仿宋"/>
        </w:rPr>
      </w:pPr>
    </w:p>
    <w:p>
      <w:pPr>
        <w:pStyle w:val="2"/>
        <w:rPr>
          <w:rFonts w:ascii="仿宋" w:hAnsi="仿宋" w:eastAsia="仿宋"/>
        </w:rPr>
      </w:pPr>
    </w:p>
    <w:p>
      <w:pPr>
        <w:pStyle w:val="2"/>
        <w:rPr>
          <w:rFonts w:ascii="仿宋" w:hAnsi="仿宋" w:eastAsia="仿宋"/>
        </w:rPr>
      </w:pPr>
    </w:p>
    <w:p>
      <w:pPr>
        <w:pStyle w:val="2"/>
        <w:rPr>
          <w:rFonts w:ascii="仿宋" w:hAnsi="仿宋" w:eastAsia="仿宋"/>
        </w:rPr>
      </w:pPr>
    </w:p>
    <w:p>
      <w:pPr>
        <w:pStyle w:val="2"/>
        <w:ind w:firstLine="6080" w:firstLineChars="19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高新区科学技术局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</w:t>
      </w:r>
    </w:p>
    <w:p>
      <w:pPr>
        <w:pStyle w:val="2"/>
        <w:ind w:firstLine="6080" w:firstLineChars="19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</w:rPr>
        <w:t>年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sz w:val="32"/>
          <w:szCs w:val="32"/>
        </w:rPr>
        <w:t>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/>
          <w:sz w:val="32"/>
          <w:szCs w:val="32"/>
        </w:rPr>
        <w:t>6日</w:t>
      </w: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2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仿宋_GBK">
    <w:altName w:val="宋体"/>
    <w:panose1 w:val="00000000000000000000"/>
    <w:charset w:val="86"/>
    <w:family w:val="roman"/>
    <w:pitch w:val="default"/>
    <w:sig w:usb0="00000000" w:usb1="00000000" w:usb2="00000000" w:usb3="00000000" w:csb0="00000000" w:csb1="00000000"/>
  </w:font>
  <w:font w:name="MingLiU">
    <w:altName w:val="PMingLiU-ExtB"/>
    <w:panose1 w:val="02020509000000000000"/>
    <w:charset w:val="88"/>
    <w:family w:val="modern"/>
    <w:pitch w:val="default"/>
    <w:sig w:usb0="00000000" w:usb1="00000000" w:usb2="00000016" w:usb3="00000000" w:csb0="00100001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Quad Arrow 3073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1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rPr>
        <w:rFonts w:ascii="楷体" w:hAnsi="楷体" w:eastAsia="楷体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0"/>
  <w:bordersDoNotSurroundFooter w:val="0"/>
  <w:doNotTrackMoves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gxMzVhZTBlNDUyZWUxNDVhMjNkN2E1NjFlOTE5NDcifQ=="/>
  </w:docVars>
  <w:rsids>
    <w:rsidRoot w:val="0EBD2122"/>
    <w:rsid w:val="000B0260"/>
    <w:rsid w:val="007E6C1F"/>
    <w:rsid w:val="00956A93"/>
    <w:rsid w:val="009E575C"/>
    <w:rsid w:val="00AF167E"/>
    <w:rsid w:val="00AF566A"/>
    <w:rsid w:val="00B478EA"/>
    <w:rsid w:val="00B6553A"/>
    <w:rsid w:val="00BC6576"/>
    <w:rsid w:val="00CE06BA"/>
    <w:rsid w:val="00F441CC"/>
    <w:rsid w:val="01B104CA"/>
    <w:rsid w:val="02106AB0"/>
    <w:rsid w:val="02B43A28"/>
    <w:rsid w:val="046F331E"/>
    <w:rsid w:val="07956271"/>
    <w:rsid w:val="09721397"/>
    <w:rsid w:val="0BB63BED"/>
    <w:rsid w:val="0DC30FA3"/>
    <w:rsid w:val="0EB97A43"/>
    <w:rsid w:val="0EBD2122"/>
    <w:rsid w:val="0F1108C5"/>
    <w:rsid w:val="0F214EAE"/>
    <w:rsid w:val="10AC4F54"/>
    <w:rsid w:val="11B71E6A"/>
    <w:rsid w:val="17BA4854"/>
    <w:rsid w:val="1AAF0063"/>
    <w:rsid w:val="1BE140DE"/>
    <w:rsid w:val="1C145C8B"/>
    <w:rsid w:val="206122F1"/>
    <w:rsid w:val="229C47D4"/>
    <w:rsid w:val="233E0D3B"/>
    <w:rsid w:val="23A7180F"/>
    <w:rsid w:val="23EC0E6F"/>
    <w:rsid w:val="248C197D"/>
    <w:rsid w:val="252959AF"/>
    <w:rsid w:val="26711CA2"/>
    <w:rsid w:val="277A6671"/>
    <w:rsid w:val="292D35B7"/>
    <w:rsid w:val="29FF089C"/>
    <w:rsid w:val="2BC04B13"/>
    <w:rsid w:val="2D4F6308"/>
    <w:rsid w:val="2FA774C5"/>
    <w:rsid w:val="33811DDC"/>
    <w:rsid w:val="33EB6CFF"/>
    <w:rsid w:val="35A12947"/>
    <w:rsid w:val="373001D0"/>
    <w:rsid w:val="37387040"/>
    <w:rsid w:val="3A90457C"/>
    <w:rsid w:val="3B625C0A"/>
    <w:rsid w:val="3C406274"/>
    <w:rsid w:val="3CEE1963"/>
    <w:rsid w:val="3F037F82"/>
    <w:rsid w:val="40C403D4"/>
    <w:rsid w:val="436B78D3"/>
    <w:rsid w:val="460360D0"/>
    <w:rsid w:val="46F56CF9"/>
    <w:rsid w:val="4C9C27FE"/>
    <w:rsid w:val="4E501182"/>
    <w:rsid w:val="4EDE4270"/>
    <w:rsid w:val="4F87561C"/>
    <w:rsid w:val="4F8D48D8"/>
    <w:rsid w:val="512260B4"/>
    <w:rsid w:val="52BD6ACB"/>
    <w:rsid w:val="55537534"/>
    <w:rsid w:val="561A74F1"/>
    <w:rsid w:val="56BC4ADC"/>
    <w:rsid w:val="585B234B"/>
    <w:rsid w:val="597244E8"/>
    <w:rsid w:val="5B3B553A"/>
    <w:rsid w:val="5C903BDB"/>
    <w:rsid w:val="5CA63701"/>
    <w:rsid w:val="5D413D1F"/>
    <w:rsid w:val="5EB71C30"/>
    <w:rsid w:val="601A5050"/>
    <w:rsid w:val="63E30CF1"/>
    <w:rsid w:val="65D2271B"/>
    <w:rsid w:val="66AF0CE5"/>
    <w:rsid w:val="69DE6A3D"/>
    <w:rsid w:val="6AC537CF"/>
    <w:rsid w:val="6B3F07BD"/>
    <w:rsid w:val="6BF369CD"/>
    <w:rsid w:val="6E5B14A6"/>
    <w:rsid w:val="6FD30844"/>
    <w:rsid w:val="703F43EA"/>
    <w:rsid w:val="711B255E"/>
    <w:rsid w:val="7BB51E06"/>
    <w:rsid w:val="7C387F7C"/>
    <w:rsid w:val="7E4666BA"/>
    <w:rsid w:val="7FE8342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_Style 1"/>
    <w:basedOn w:val="1"/>
    <w:qFormat/>
    <w:uiPriority w:val="99"/>
    <w:pPr>
      <w:ind w:firstLine="420" w:firstLineChars="200"/>
    </w:pPr>
    <w:rPr>
      <w:rFonts w:cs="Calibri"/>
      <w:szCs w:val="21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table" w:styleId="6">
    <w:name w:val="Table Grid"/>
    <w:basedOn w:val="5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8">
    <w:name w:val="插入文本样式-插入总体目标文件"/>
    <w:basedOn w:val="1"/>
    <w:qFormat/>
    <w:uiPriority w:val="0"/>
    <w:pPr>
      <w:spacing w:line="500" w:lineRule="exact"/>
      <w:ind w:firstLine="560"/>
    </w:pPr>
    <w:rPr>
      <w:rFonts w:eastAsia="方正仿宋_GBK"/>
      <w:sz w:val="28"/>
    </w:rPr>
  </w:style>
  <w:style w:type="paragraph" w:customStyle="1" w:styleId="9">
    <w:name w:val="正文文本1"/>
    <w:basedOn w:val="1"/>
    <w:qFormat/>
    <w:uiPriority w:val="0"/>
    <w:pPr>
      <w:shd w:val="clear" w:color="auto" w:fill="FFFFFF"/>
      <w:spacing w:line="360" w:lineRule="auto"/>
      <w:ind w:firstLine="400"/>
    </w:pPr>
    <w:rPr>
      <w:rFonts w:ascii="MingLiU" w:hAnsi="MingLiU" w:eastAsia="MingLiU" w:cs="MingLiU"/>
      <w:sz w:val="32"/>
      <w:szCs w:val="32"/>
      <w:lang w:val="zh-CN" w:bidi="zh-CN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100</Words>
  <Characters>570</Characters>
  <Lines>4</Lines>
  <Paragraphs>1</Paragraphs>
  <TotalTime>3</TotalTime>
  <ScaleCrop>false</ScaleCrop>
  <LinksUpToDate>false</LinksUpToDate>
  <CharactersWithSpaces>669</CharactersWithSpaces>
  <Application>WPS Office_11.8.2.12055_F1E327BC-269C-435d-A152-05C5408002CA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赵媛（科技局）</cp:lastModifiedBy>
  <cp:lastPrinted>2024-06-18T06:29:00Z</cp:lastPrinted>
  <dcterms:modified xsi:type="dcterms:W3CDTF">2025-04-08T06:49:25Z</dcterms:modified>
  <dc:title>附件3：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2052-11.8.2.12055</vt:lpwstr>
  </property>
  <property fmtid="{D5CDD505-2E9C-101B-9397-08002B2CF9AE}" pid="3" name="ICV">
    <vt:lpwstr>C0D88F6BACFA4B32B732D21A29C638ED</vt:lpwstr>
  </property>
</Properties>
</file>