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lang w:val="en-US" w:eastAsia="zh-CN"/>
        </w:rPr>
        <w:t>高新区</w:t>
      </w:r>
      <w:r>
        <w:rPr>
          <w:rFonts w:hint="eastAsia" w:ascii="仿宋_GB2312" w:hAnsi="仿宋_GB2312" w:eastAsia="仿宋_GB2312" w:cs="仿宋_GB2312"/>
          <w:sz w:val="32"/>
          <w:szCs w:val="32"/>
        </w:rPr>
        <w:t>卫生健康领域同一行政机关对同一企业实施行政检查的年度频次上限为2次。投诉举报、转办交办、数据监测等线索确需实施行政检查，或者应企业申请实施行政检查的，不受频次上限限制。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525A04"/>
    <w:rsid w:val="150B39A5"/>
    <w:rsid w:val="60DB1C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Office_11.8.2.12287_F1E327BC-269C-435d-A152-05C5408002CA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2025-05-26T07:18:00Z</dcterms:created>
  <dc:creator>Administrator</dc:creator>
  <cp:lastModifiedBy>贺琳琳</cp:lastModifiedBy>
  <dcterms:modified xsi:type="dcterms:W3CDTF">2025-05-26T08:32:46Z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2052-11.8.2.12287</vt:lpwstr>
  </property>
  <property fmtid="{D5CDD505-2E9C-101B-9397-08002B2CF9AE}" pid="3" name="ICV">
    <vt:lpwstr>4F6E4B9BB01442BDA2073B7355D61718</vt:lpwstr>
  </property>
</Properties>
</file>