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5BEA8">
      <w:pPr>
        <w:jc w:val="center"/>
        <w:rPr>
          <w:rFonts w:hint="eastAsia" w:ascii="宋体" w:hAnsi="宋体"/>
          <w:b/>
          <w:sz w:val="44"/>
          <w:szCs w:val="44"/>
        </w:rPr>
      </w:pPr>
      <w:r>
        <w:rPr>
          <w:rFonts w:hint="eastAsia" w:ascii="宋体" w:hAnsi="宋体"/>
          <w:b/>
          <w:sz w:val="44"/>
          <w:szCs w:val="44"/>
        </w:rPr>
        <w:t>石家庄高新技术产业开发区</w:t>
      </w:r>
    </w:p>
    <w:p w14:paraId="14444101">
      <w:pPr>
        <w:jc w:val="center"/>
        <w:rPr>
          <w:rFonts w:hint="eastAsia" w:ascii="宋体" w:hAnsi="宋体"/>
          <w:b/>
          <w:sz w:val="44"/>
          <w:szCs w:val="44"/>
        </w:rPr>
      </w:pPr>
      <w:r>
        <w:rPr>
          <w:rFonts w:hint="eastAsia" w:ascii="宋体" w:hAnsi="宋体"/>
          <w:b/>
          <w:sz w:val="44"/>
          <w:szCs w:val="44"/>
        </w:rPr>
        <w:t>20</w:t>
      </w:r>
      <w:r>
        <w:rPr>
          <w:rFonts w:hint="eastAsia" w:ascii="宋体" w:hAnsi="宋体"/>
          <w:b/>
          <w:sz w:val="44"/>
          <w:szCs w:val="44"/>
          <w:lang w:val="en-US" w:eastAsia="zh-CN"/>
        </w:rPr>
        <w:t>20</w:t>
      </w:r>
      <w:r>
        <w:rPr>
          <w:rFonts w:hint="eastAsia" w:ascii="宋体" w:hAnsi="宋体"/>
          <w:b/>
          <w:sz w:val="44"/>
          <w:szCs w:val="44"/>
        </w:rPr>
        <w:t>年政府信息公开工作年度报告</w:t>
      </w:r>
    </w:p>
    <w:p w14:paraId="57E071E4">
      <w:pPr>
        <w:rPr>
          <w:rFonts w:hint="eastAsia" w:ascii="仿宋_GB2312" w:eastAsia="仿宋_GB2312"/>
          <w:sz w:val="32"/>
          <w:szCs w:val="32"/>
        </w:rPr>
      </w:pPr>
    </w:p>
    <w:p w14:paraId="2B77740C">
      <w:pPr>
        <w:keepNext w:val="0"/>
        <w:keepLines w:val="0"/>
        <w:pageBreakBefore w:val="0"/>
        <w:widowControl/>
        <w:shd w:val="clear" w:color="auto" w:fill="FFFFFF"/>
        <w:kinsoku/>
        <w:wordWrap/>
        <w:overflowPunct/>
        <w:topLinePunct w:val="0"/>
        <w:autoSpaceDE/>
        <w:autoSpaceDN/>
        <w:bidi w:val="0"/>
        <w:adjustRightInd/>
        <w:snapToGrid/>
        <w:spacing w:line="560" w:lineRule="exact"/>
        <w:ind w:left="0" w:leftChars="0" w:right="0" w:rightChars="0" w:firstLine="645"/>
        <w:jc w:val="both"/>
        <w:textAlignment w:val="auto"/>
        <w:outlineLvl w:val="9"/>
        <w:rPr>
          <w:rFonts w:hint="eastAsia" w:ascii="仿宋_GB2312" w:eastAsia="仿宋_GB2312"/>
          <w:sz w:val="32"/>
          <w:szCs w:val="32"/>
          <w:lang w:eastAsia="zh-CN"/>
        </w:rPr>
      </w:pPr>
      <w:r>
        <w:rPr>
          <w:rFonts w:hint="eastAsia" w:ascii="仿宋_GB2312" w:eastAsia="仿宋_GB2312"/>
          <w:sz w:val="32"/>
          <w:szCs w:val="32"/>
        </w:rPr>
        <w:t>本</w:t>
      </w:r>
      <w:r>
        <w:rPr>
          <w:rFonts w:hint="eastAsia" w:ascii="仿宋" w:hAnsi="仿宋" w:eastAsia="仿宋" w:cs="仿宋"/>
          <w:sz w:val="32"/>
          <w:szCs w:val="32"/>
        </w:rPr>
        <w:t>年度报告</w:t>
      </w:r>
      <w:r>
        <w:rPr>
          <w:rFonts w:hint="eastAsia" w:ascii="仿宋_GB2312" w:eastAsia="仿宋_GB2312"/>
          <w:sz w:val="32"/>
          <w:szCs w:val="32"/>
          <w:lang w:eastAsia="zh-CN"/>
        </w:rPr>
        <w:t>是根据</w:t>
      </w:r>
      <w:r>
        <w:rPr>
          <w:rFonts w:hint="eastAsia" w:ascii="仿宋_GB2312" w:eastAsia="仿宋_GB2312"/>
          <w:sz w:val="32"/>
          <w:szCs w:val="32"/>
        </w:rPr>
        <w:t>《中华人民共和国政府信息公开条例》</w:t>
      </w:r>
      <w:r>
        <w:rPr>
          <w:rFonts w:hint="eastAsia" w:ascii="仿宋_GB2312" w:eastAsia="仿宋_GB2312"/>
          <w:sz w:val="32"/>
          <w:szCs w:val="32"/>
          <w:lang w:eastAsia="zh-CN"/>
        </w:rPr>
        <w:t>文件精神</w:t>
      </w:r>
      <w:r>
        <w:rPr>
          <w:rFonts w:hint="eastAsia" w:ascii="仿宋_GB2312" w:eastAsia="仿宋_GB2312"/>
          <w:sz w:val="32"/>
          <w:szCs w:val="32"/>
        </w:rPr>
        <w:t>和省、市政务公开工作要求，结合我区政府信息公开工作编制。全文包括总体情况、主动公开政府信息情况、收到和处理政府信息公开申请情况、信息公开行政复议和行政诉讼情况、存在问题及改进状况</w:t>
      </w:r>
      <w:r>
        <w:rPr>
          <w:rFonts w:hint="eastAsia" w:ascii="仿宋_GB2312" w:eastAsia="仿宋_GB2312"/>
          <w:sz w:val="32"/>
          <w:szCs w:val="32"/>
          <w:lang w:eastAsia="zh-CN"/>
        </w:rPr>
        <w:t>、</w:t>
      </w:r>
      <w:r>
        <w:rPr>
          <w:rFonts w:hint="eastAsia" w:ascii="仿宋_GB2312" w:hAnsi="宋体" w:eastAsia="仿宋_GB2312"/>
          <w:sz w:val="32"/>
          <w:szCs w:val="32"/>
        </w:rPr>
        <w:t>其他需要报告事项</w:t>
      </w:r>
      <w:r>
        <w:rPr>
          <w:rFonts w:hint="eastAsia" w:ascii="仿宋_GB2312" w:eastAsia="仿宋_GB2312"/>
          <w:sz w:val="32"/>
          <w:szCs w:val="32"/>
          <w:lang w:val="en-US" w:eastAsia="zh-CN"/>
        </w:rPr>
        <w:t>六个</w:t>
      </w:r>
      <w:r>
        <w:rPr>
          <w:rFonts w:hint="eastAsia" w:ascii="仿宋_GB2312" w:eastAsia="仿宋_GB2312"/>
          <w:sz w:val="32"/>
          <w:szCs w:val="32"/>
        </w:rPr>
        <w:t>方面。</w:t>
      </w:r>
      <w:r>
        <w:rPr>
          <w:rFonts w:hint="eastAsia" w:ascii="仿宋_GB2312" w:hAnsi="Times New Roman" w:eastAsia="仿宋_GB2312" w:cs="Times New Roman"/>
          <w:sz w:val="32"/>
          <w:szCs w:val="32"/>
        </w:rPr>
        <w:t>本报告中所列数据的统计期限自20</w:t>
      </w:r>
      <w:r>
        <w:rPr>
          <w:rFonts w:hint="eastAsia" w:ascii="仿宋_GB2312" w:hAnsi="Times New Roman" w:eastAsia="仿宋_GB2312" w:cs="Times New Roman"/>
          <w:sz w:val="32"/>
          <w:szCs w:val="32"/>
          <w:lang w:val="en-US" w:eastAsia="zh-CN"/>
        </w:rPr>
        <w:t>20</w:t>
      </w:r>
      <w:r>
        <w:rPr>
          <w:rFonts w:hint="eastAsia" w:ascii="仿宋_GB2312" w:hAnsi="Times New Roman" w:eastAsia="仿宋_GB2312" w:cs="Times New Roman"/>
          <w:sz w:val="32"/>
          <w:szCs w:val="32"/>
        </w:rPr>
        <w:t>年1月1日至20</w:t>
      </w:r>
      <w:r>
        <w:rPr>
          <w:rFonts w:hint="eastAsia" w:ascii="仿宋_GB2312" w:hAnsi="Times New Roman" w:eastAsia="仿宋_GB2312" w:cs="Times New Roman"/>
          <w:sz w:val="32"/>
          <w:szCs w:val="32"/>
          <w:lang w:val="en-US" w:eastAsia="zh-CN"/>
        </w:rPr>
        <w:t>20</w:t>
      </w:r>
      <w:r>
        <w:rPr>
          <w:rFonts w:hint="eastAsia" w:ascii="仿宋_GB2312" w:hAnsi="Times New Roman" w:eastAsia="仿宋_GB2312" w:cs="Times New Roman"/>
          <w:sz w:val="32"/>
          <w:szCs w:val="32"/>
        </w:rPr>
        <w:t>年12月31日止。</w:t>
      </w:r>
      <w:bookmarkStart w:id="0" w:name="_GoBack"/>
      <w:bookmarkEnd w:id="0"/>
    </w:p>
    <w:p w14:paraId="1BD31304">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总体情况</w:t>
      </w:r>
    </w:p>
    <w:p w14:paraId="35A398C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sz w:val="32"/>
          <w:szCs w:val="32"/>
          <w:lang w:val="en-US" w:eastAsia="zh-CN"/>
        </w:rPr>
        <w:t>2020年，高新区</w:t>
      </w:r>
      <w:r>
        <w:rPr>
          <w:rFonts w:hint="eastAsia" w:ascii="仿宋_GB2312" w:eastAsia="仿宋_GB2312"/>
          <w:sz w:val="32"/>
          <w:szCs w:val="32"/>
          <w:lang w:eastAsia="zh-CN"/>
        </w:rPr>
        <w:t>始终坚</w:t>
      </w:r>
      <w:r>
        <w:rPr>
          <w:rFonts w:hint="eastAsia" w:ascii="仿宋_GB2312" w:eastAsia="仿宋_GB2312"/>
          <w:sz w:val="32"/>
          <w:szCs w:val="32"/>
        </w:rPr>
        <w:t>持以党的十九大、</w:t>
      </w:r>
      <w:r>
        <w:rPr>
          <w:rFonts w:hint="eastAsia" w:ascii="仿宋_GB2312" w:eastAsia="仿宋_GB2312"/>
          <w:sz w:val="32"/>
          <w:szCs w:val="32"/>
          <w:lang w:val="en-US" w:eastAsia="zh-CN"/>
        </w:rPr>
        <w:t>党的</w:t>
      </w:r>
      <w:r>
        <w:rPr>
          <w:rFonts w:hint="eastAsia" w:ascii="仿宋_GB2312" w:eastAsia="仿宋_GB2312"/>
          <w:sz w:val="32"/>
          <w:szCs w:val="32"/>
        </w:rPr>
        <w:t>十九届五中全会精神为指导，围绕</w:t>
      </w:r>
      <w:r>
        <w:rPr>
          <w:rFonts w:hint="eastAsia" w:ascii="仿宋_GB2312" w:eastAsia="仿宋_GB2312"/>
          <w:sz w:val="32"/>
          <w:szCs w:val="32"/>
          <w:lang w:eastAsia="zh-CN"/>
        </w:rPr>
        <w:t>区工委、管委</w:t>
      </w:r>
      <w:r>
        <w:rPr>
          <w:rFonts w:hint="eastAsia" w:ascii="仿宋_GB2312" w:eastAsia="仿宋_GB2312"/>
          <w:sz w:val="32"/>
          <w:szCs w:val="32"/>
        </w:rPr>
        <w:t>重大决策部署，深入开展政府信息公开工作，</w:t>
      </w:r>
      <w:r>
        <w:rPr>
          <w:rFonts w:hint="eastAsia" w:ascii="仿宋_GB2312" w:hAnsi="宋体" w:eastAsia="仿宋_GB2312"/>
          <w:color w:val="000000"/>
          <w:sz w:val="32"/>
          <w:szCs w:val="32"/>
          <w:lang w:val="en-US" w:eastAsia="zh-CN"/>
        </w:rPr>
        <w:t>着力细化工作部署，推进主动公开政府信息、</w:t>
      </w:r>
      <w:r>
        <w:rPr>
          <w:rFonts w:hint="eastAsia" w:ascii="仿宋_GB2312" w:hAnsi="宋体" w:eastAsia="仿宋_GB2312"/>
          <w:color w:val="000000" w:themeColor="text1"/>
          <w:sz w:val="32"/>
          <w:szCs w:val="32"/>
          <w:lang w:val="en-US" w:eastAsia="zh-CN"/>
          <w14:textFill>
            <w14:solidFill>
              <w14:schemeClr w14:val="tx1"/>
            </w14:solidFill>
          </w14:textFill>
        </w:rPr>
        <w:t>公开平台规范化建设、重大政策宣传解读、政务信息依申请公开办理等工作。</w:t>
      </w:r>
    </w:p>
    <w:p w14:paraId="5E495DB4">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（一）围绕提升政府治理能力加强信息公开</w:t>
      </w:r>
    </w:p>
    <w:p w14:paraId="7E0F7E6F">
      <w:pPr>
        <w:keepNext w:val="0"/>
        <w:keepLines w:val="0"/>
        <w:pageBreakBefore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lang w:val="en-US" w:eastAsia="zh-CN"/>
        </w:rPr>
      </w:pPr>
      <w:r>
        <w:rPr>
          <w:rFonts w:hint="eastAsia" w:ascii="仿宋_GB2312" w:hAnsi="仿宋_GB2312" w:eastAsia="仿宋_GB2312" w:cs="仿宋_GB2312"/>
          <w:b/>
          <w:bCs/>
          <w:sz w:val="32"/>
          <w:szCs w:val="32"/>
          <w:lang w:val="en-US" w:eastAsia="zh-CN"/>
        </w:rPr>
        <w:t>一是</w:t>
      </w:r>
      <w:r>
        <w:rPr>
          <w:rFonts w:hint="eastAsia" w:ascii="仿宋_GB2312" w:eastAsia="仿宋_GB2312"/>
          <w:b/>
          <w:bCs/>
          <w:color w:val="000000" w:themeColor="text1"/>
          <w:sz w:val="32"/>
          <w:szCs w:val="32"/>
          <w:lang w:val="en-US" w:eastAsia="zh-CN"/>
          <w14:textFill>
            <w14:solidFill>
              <w14:schemeClr w14:val="tx1"/>
            </w14:solidFill>
          </w14:textFill>
        </w:rPr>
        <w:t>加强权力配置信息、权力运行信息公</w:t>
      </w:r>
      <w:r>
        <w:rPr>
          <w:rFonts w:hint="eastAsia" w:ascii="仿宋_GB2312" w:eastAsia="仿宋_GB2312"/>
          <w:b/>
          <w:bCs/>
          <w:color w:val="auto"/>
          <w:sz w:val="32"/>
          <w:szCs w:val="32"/>
          <w:lang w:val="en-US" w:eastAsia="zh-CN"/>
        </w:rPr>
        <w:t>开。</w:t>
      </w:r>
      <w:r>
        <w:rPr>
          <w:rFonts w:hint="eastAsia" w:ascii="仿宋_GB2312" w:hAnsi="宋体" w:eastAsia="仿宋_GB2312" w:cs="宋体"/>
          <w:b w:val="0"/>
          <w:bCs w:val="0"/>
          <w:color w:val="auto"/>
          <w:kern w:val="0"/>
          <w:sz w:val="32"/>
          <w:szCs w:val="32"/>
          <w:lang w:eastAsia="zh-CN"/>
        </w:rPr>
        <w:t>区直各部门对照</w:t>
      </w:r>
      <w:r>
        <w:rPr>
          <w:rFonts w:hint="eastAsia" w:ascii="仿宋_GB2312" w:eastAsia="仿宋_GB2312"/>
          <w:b w:val="0"/>
          <w:bCs w:val="0"/>
          <w:color w:val="auto"/>
          <w:sz w:val="32"/>
          <w:szCs w:val="32"/>
          <w:lang w:eastAsia="zh-CN"/>
        </w:rPr>
        <w:t>业务部门职能特点明确责任分工，按照要求在高新区网站公开机构职能信息、职责信息，并根据管委会有关职能调整、人员调整及时更新信息。</w:t>
      </w:r>
      <w:r>
        <w:rPr>
          <w:rFonts w:hint="eastAsia" w:ascii="仿宋_GB2312" w:eastAsia="仿宋_GB2312"/>
          <w:sz w:val="32"/>
          <w:szCs w:val="32"/>
          <w:lang w:val="en-US" w:eastAsia="zh-CN"/>
        </w:rPr>
        <w:t>及时公开社会广泛知晓的公共政策措施，公共建设项目或涉及相对人权益的重大行政决策等。</w:t>
      </w:r>
      <w:r>
        <w:rPr>
          <w:rFonts w:hint="eastAsia" w:ascii="仿宋_GB2312" w:hAnsi="仿宋_GB2312" w:eastAsia="仿宋_GB2312" w:cs="仿宋_GB2312"/>
          <w:b/>
          <w:bCs/>
          <w:sz w:val="32"/>
          <w:szCs w:val="32"/>
          <w:lang w:val="en-US" w:eastAsia="zh-CN"/>
        </w:rPr>
        <w:t>二是</w:t>
      </w:r>
      <w:r>
        <w:rPr>
          <w:rFonts w:hint="eastAsia" w:ascii="仿宋_GB2312" w:eastAsia="仿宋_GB2312"/>
          <w:b/>
          <w:bCs/>
          <w:color w:val="000000" w:themeColor="text1"/>
          <w:sz w:val="32"/>
          <w:szCs w:val="32"/>
          <w:lang w:val="en-US" w:eastAsia="zh-CN"/>
          <w14:textFill>
            <w14:solidFill>
              <w14:schemeClr w14:val="tx1"/>
            </w14:solidFill>
          </w14:textFill>
        </w:rPr>
        <w:t>加强政府信息规范管理。</w:t>
      </w:r>
      <w:r>
        <w:rPr>
          <w:rFonts w:hint="eastAsia" w:ascii="仿宋" w:hAnsi="仿宋" w:eastAsia="仿宋" w:cs="仿宋"/>
          <w:color w:val="auto"/>
          <w:sz w:val="32"/>
          <w:szCs w:val="32"/>
          <w:lang w:val="en-US" w:eastAsia="zh-CN"/>
        </w:rPr>
        <w:t>区直各部门按“谁主管</w:t>
      </w:r>
      <w:r>
        <w:rPr>
          <w:rFonts w:hint="eastAsia" w:ascii="仿宋" w:hAnsi="仿宋" w:eastAsia="仿宋" w:cs="仿宋"/>
          <w:sz w:val="32"/>
          <w:szCs w:val="32"/>
          <w:lang w:val="en-US" w:eastAsia="zh-CN"/>
        </w:rPr>
        <w:t>谁负责”的原则，严格做好公开事项的审核审查工作，规范印发公文，要求明确标注公开属性，严格执行发文审批程序。抽调专业人员，对现有权力清单事项与相关法律法规、规范性文件进行了逐一比对、审核，进一步规范了审批依据、申报材料、办理时间、审批流程等，建立了标准化审批服务体系，制定了制式化审批服务流程图、一次性告知单、政务服务事项指南并对外公开。</w:t>
      </w:r>
    </w:p>
    <w:p w14:paraId="596EF26A">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（二）围绕优化营商环境加强信息公开</w:t>
      </w:r>
    </w:p>
    <w:p w14:paraId="1BCD1FD8">
      <w:pPr>
        <w:keepNext w:val="0"/>
        <w:keepLines w:val="0"/>
        <w:pageBreakBefore w:val="0"/>
        <w:numPr>
          <w:ilvl w:val="0"/>
          <w:numId w:val="0"/>
        </w:numPr>
        <w:kinsoku/>
        <w:wordWrap/>
        <w:overflowPunct/>
        <w:topLinePunct w:val="0"/>
        <w:autoSpaceDE/>
        <w:autoSpaceDN/>
        <w:bidi w:val="0"/>
        <w:adjustRightInd/>
        <w:snapToGrid/>
        <w:spacing w:line="600" w:lineRule="exact"/>
        <w:ind w:firstLine="64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一是提升市场监管规则和标准公开质量。</w:t>
      </w:r>
      <w:r>
        <w:rPr>
          <w:rFonts w:hint="eastAsia" w:ascii="仿宋_GB2312" w:eastAsia="仿宋_GB2312"/>
          <w:color w:val="000000" w:themeColor="text1"/>
          <w:sz w:val="32"/>
          <w:szCs w:val="32"/>
          <w:lang w:val="en-US" w:eastAsia="zh-CN"/>
          <w14:textFill>
            <w14:solidFill>
              <w14:schemeClr w14:val="tx1"/>
            </w14:solidFill>
          </w14:textFill>
        </w:rPr>
        <w:t>通过多种渠道向社会主体全面公开市场监管规则和标准。</w:t>
      </w:r>
      <w:r>
        <w:rPr>
          <w:rFonts w:hint="eastAsia" w:ascii="仿宋_GB2312" w:eastAsia="仿宋_GB2312"/>
          <w:b w:val="0"/>
          <w:bCs w:val="0"/>
          <w:color w:val="auto"/>
          <w:sz w:val="32"/>
          <w:szCs w:val="32"/>
          <w:lang w:eastAsia="zh-CN"/>
        </w:rPr>
        <w:t>按照双随机工作“五四三二一标准化”的要求动态调整“两库一单”，我区投资建设双随机执法音视频管理平台，大幅提高了双随机工作信息化水平。按照上级有关市场监管“双随机、一公开”工作规范化、标准化要求，在官网公示抽查方案、抽查细则、抽查计划，在国家企业信用信息系统公示每次抽查的结果。</w:t>
      </w:r>
      <w:r>
        <w:rPr>
          <w:rFonts w:hint="eastAsia" w:ascii="仿宋_GB2312" w:hAnsi="仿宋_GB2312" w:eastAsia="仿宋_GB2312" w:cs="仿宋_GB2312"/>
          <w:b/>
          <w:bCs/>
          <w:sz w:val="32"/>
          <w:szCs w:val="32"/>
          <w:lang w:val="en-US" w:eastAsia="zh-CN"/>
        </w:rPr>
        <w:t>二是提升政务服务透明度便利度。</w:t>
      </w:r>
      <w:r>
        <w:rPr>
          <w:rFonts w:hint="eastAsia" w:ascii="仿宋_GB2312" w:eastAsia="仿宋_GB2312"/>
          <w:color w:val="000000" w:themeColor="text1"/>
          <w:sz w:val="32"/>
          <w:szCs w:val="32"/>
          <w:lang w:val="en-US" w:eastAsia="zh-CN"/>
          <w14:textFill>
            <w14:solidFill>
              <w14:schemeClr w14:val="tx1"/>
            </w14:solidFill>
          </w14:textFill>
        </w:rPr>
        <w:t>通过线上线下全面准确公开政务服务事项。建设</w:t>
      </w:r>
      <w:r>
        <w:rPr>
          <w:rFonts w:hint="eastAsia" w:ascii="仿宋" w:hAnsi="仿宋" w:eastAsia="仿宋" w:cs="仿宋"/>
          <w:sz w:val="32"/>
          <w:szCs w:val="32"/>
          <w:lang w:val="en-US" w:eastAsia="zh-CN"/>
        </w:rPr>
        <w:t>四个</w:t>
      </w:r>
      <w:r>
        <w:rPr>
          <w:rFonts w:hint="eastAsia" w:ascii="仿宋_GB2312" w:eastAsia="仿宋_GB2312"/>
          <w:color w:val="000000" w:themeColor="text1"/>
          <w:sz w:val="32"/>
          <w:szCs w:val="32"/>
          <w:lang w:val="en-US" w:eastAsia="zh-CN"/>
          <w14:textFill>
            <w14:solidFill>
              <w14:schemeClr w14:val="tx1"/>
            </w14:solidFill>
          </w14:textFill>
        </w:rPr>
        <w:t>乡镇、街道办</w:t>
      </w:r>
      <w:r>
        <w:rPr>
          <w:rFonts w:hint="eastAsia" w:ascii="仿宋" w:hAnsi="仿宋" w:eastAsia="仿宋" w:cs="仿宋"/>
          <w:sz w:val="32"/>
          <w:szCs w:val="32"/>
          <w:lang w:val="en-US" w:eastAsia="zh-CN"/>
        </w:rPr>
        <w:t>行政综合服务中心，在显要位置设立标识标牌，绘制成办事流程图，方便群众办事。同时，利用窗口服务，充分发挥窗口服务的直接性和便利性，通过发放一次性告之单和提供办理事项二维码，为市场主体提供更加精准、便捷的政策咨询。区政务服务大厅设置意见箱、意见簿，征求广大群众意见。截至目前，12345市长热线共计281件均以处理完毕。</w:t>
      </w:r>
      <w:r>
        <w:rPr>
          <w:rFonts w:hint="eastAsia" w:ascii="仿宋_GB2312" w:hAnsi="仿宋_GB2312" w:eastAsia="仿宋_GB2312" w:cs="仿宋_GB2312"/>
          <w:b/>
          <w:bCs/>
          <w:sz w:val="32"/>
          <w:szCs w:val="32"/>
          <w:lang w:val="en-US" w:eastAsia="zh-CN"/>
        </w:rPr>
        <w:t>三是提升政策服务精准性实效性。</w:t>
      </w:r>
      <w:r>
        <w:rPr>
          <w:rFonts w:hint="eastAsia" w:ascii="仿宋_GB2312" w:eastAsia="仿宋_GB2312"/>
          <w:color w:val="000000" w:themeColor="text1"/>
          <w:sz w:val="32"/>
          <w:szCs w:val="32"/>
          <w:lang w:val="en-US" w:eastAsia="zh-CN"/>
          <w14:textFill>
            <w14:solidFill>
              <w14:schemeClr w14:val="tx1"/>
            </w14:solidFill>
          </w14:textFill>
        </w:rPr>
        <w:t>对惠企惠民政策加强宣读解读，确保落实各项经济政策。</w:t>
      </w:r>
      <w:r>
        <w:rPr>
          <w:rFonts w:hint="eastAsia" w:ascii="仿宋_GB2312" w:hAnsi="仿宋_GB2312" w:eastAsia="仿宋_GB2312" w:cs="仿宋_GB2312"/>
          <w:b w:val="0"/>
          <w:bCs w:val="0"/>
          <w:color w:val="auto"/>
          <w:sz w:val="32"/>
          <w:szCs w:val="32"/>
          <w:highlight w:val="none"/>
          <w:u w:val="none"/>
          <w:lang w:val="en-US" w:eastAsia="zh-CN"/>
        </w:rPr>
        <w:t>通过网站、微信群、公众号等各种渠道将我区及省市助企惠企等政策推送给企业，助力企业发展。通过官网、微信等互联网平台组织企业申报相关项目，发布部门动态、政策法规等有关我区“四种类型经济”发展信息共计200余项。</w:t>
      </w:r>
    </w:p>
    <w:p w14:paraId="0C3B3E3C">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（三）围绕应对突发公共卫生事件加强信息公开</w:t>
      </w:r>
    </w:p>
    <w:p w14:paraId="371BA666">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及时发布疫情相关信息，加强公共卫生知识普及，切实保护各项法定权利。</w:t>
      </w:r>
      <w:r>
        <w:rPr>
          <w:rFonts w:hint="eastAsia" w:ascii="仿宋_GB2312" w:hAnsi="Times New Roman" w:eastAsia="仿宋_GB2312" w:cs="Times New Roman"/>
          <w:color w:val="000000" w:themeColor="text1"/>
          <w:sz w:val="32"/>
          <w:szCs w:val="32"/>
          <w:lang w:val="en-US" w:eastAsia="zh-CN"/>
          <w14:textFill>
            <w14:solidFill>
              <w14:schemeClr w14:val="tx1"/>
            </w14:solidFill>
          </w14:textFill>
        </w:rPr>
        <w:t>全区各</w:t>
      </w:r>
      <w:r>
        <w:rPr>
          <w:rFonts w:hint="eastAsia" w:ascii="仿宋_GB2312" w:eastAsia="仿宋_GB2312"/>
          <w:color w:val="000000" w:themeColor="text1"/>
          <w:sz w:val="32"/>
          <w:szCs w:val="32"/>
          <w:lang w:val="en-US" w:eastAsia="zh-CN"/>
          <w14:textFill>
            <w14:solidFill>
              <w14:schemeClr w14:val="tx1"/>
            </w14:solidFill>
          </w14:textFill>
        </w:rPr>
        <w:t>单位加强对疫情决策部署重要工作的宣传解读，针对相关热点问题做到快速反应、正面回应。</w:t>
      </w:r>
      <w:r>
        <w:rPr>
          <w:rFonts w:hint="eastAsia" w:ascii="仿宋" w:hAnsi="仿宋" w:eastAsia="仿宋" w:cs="仿宋"/>
          <w:b w:val="0"/>
          <w:bCs w:val="0"/>
          <w:color w:val="auto"/>
          <w:sz w:val="32"/>
          <w:szCs w:val="32"/>
          <w:lang w:val="en-US" w:eastAsia="zh-CN"/>
        </w:rPr>
        <w:t>各街道办、镇政府按照</w:t>
      </w:r>
      <w:r>
        <w:rPr>
          <w:rFonts w:hint="eastAsia" w:ascii="仿宋" w:hAnsi="仿宋" w:eastAsia="仿宋" w:cs="仿宋"/>
          <w:b w:val="0"/>
          <w:bCs w:val="0"/>
          <w:sz w:val="32"/>
          <w:szCs w:val="32"/>
          <w:lang w:val="en-US" w:eastAsia="zh-CN"/>
        </w:rPr>
        <w:t>市新冠肺炎疫情领导小组工作部署和要求，及时发布了</w:t>
      </w:r>
      <w:r>
        <w:rPr>
          <w:rFonts w:hint="eastAsia" w:ascii="仿宋" w:hAnsi="仿宋" w:eastAsia="仿宋" w:cs="仿宋"/>
          <w:sz w:val="32"/>
          <w:szCs w:val="32"/>
          <w:u w:val="none"/>
          <w:lang w:val="en-US" w:eastAsia="zh-CN"/>
        </w:rPr>
        <w:t>5</w:t>
      </w:r>
      <w:r>
        <w:rPr>
          <w:rFonts w:hint="eastAsia" w:ascii="仿宋" w:hAnsi="仿宋" w:eastAsia="仿宋" w:cs="仿宋"/>
          <w:sz w:val="32"/>
          <w:szCs w:val="32"/>
          <w:lang w:val="en-US" w:eastAsia="zh-CN"/>
        </w:rPr>
        <w:t>次</w:t>
      </w:r>
      <w:r>
        <w:rPr>
          <w:rFonts w:hint="eastAsia" w:ascii="仿宋_GB2312" w:hAnsi="仿宋_GB2312" w:eastAsia="仿宋_GB2312" w:cs="仿宋_GB2312"/>
          <w:sz w:val="32"/>
          <w:szCs w:val="32"/>
          <w:lang w:val="en-US" w:eastAsia="zh-CN"/>
        </w:rPr>
        <w:t>市、区新冠肺炎疫情通告，3次录音广播及有关动态信息，加强疫情防控常识的宣传推广，努力提高公众对传染病的防治意识和应对能力。在做好疫情防控工作的同时，注意个人信息保防，确保个人信息不外漏。</w:t>
      </w:r>
    </w:p>
    <w:p w14:paraId="7AD00A92">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（四）围绕完成重点工作加强信息公开</w:t>
      </w:r>
    </w:p>
    <w:p w14:paraId="237D2CAB">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bCs/>
          <w:sz w:val="32"/>
          <w:szCs w:val="32"/>
          <w:lang w:val="en-US" w:eastAsia="zh-CN"/>
        </w:rPr>
        <w:t>1.加强发展“四种类型经济”、规划编制方面信息公开。</w:t>
      </w:r>
      <w:r>
        <w:rPr>
          <w:rFonts w:hint="eastAsia" w:ascii="仿宋_GB2312" w:eastAsia="仿宋_GB2312"/>
          <w:color w:val="000000" w:themeColor="text1"/>
          <w:sz w:val="32"/>
          <w:szCs w:val="32"/>
          <w:lang w:val="en-US" w:eastAsia="zh-CN"/>
          <w14:textFill>
            <w14:solidFill>
              <w14:schemeClr w14:val="tx1"/>
            </w14:solidFill>
          </w14:textFill>
        </w:rPr>
        <w:t>及时公开发展城市经济、园区经济等信息，以及公开编制项目招投标信息等。</w:t>
      </w:r>
      <w:r>
        <w:rPr>
          <w:rFonts w:hint="eastAsia" w:ascii="仿宋_GB2312" w:hAnsi="仿宋_GB2312" w:eastAsia="仿宋_GB2312" w:cs="仿宋_GB2312"/>
          <w:color w:val="auto"/>
          <w:sz w:val="32"/>
          <w:szCs w:val="32"/>
          <w:highlight w:val="none"/>
          <w:lang w:val="en-US" w:eastAsia="zh-CN"/>
        </w:rPr>
        <w:t>印发《石家庄高新区关于深入推进“4+4”现代产业发展实施意见》《石家庄高新区2020年度“4+4”现代产业发展工作要点》文件，进一步明确了“四种类型经济”以及我区“1+3”现代产业发展目标。</w:t>
      </w:r>
      <w:r>
        <w:rPr>
          <w:rFonts w:hint="eastAsia" w:ascii="仿宋_GB2312" w:hAnsi="仿宋_GB2312" w:eastAsia="仿宋_GB2312" w:cs="仿宋_GB2312"/>
          <w:b w:val="0"/>
          <w:bCs w:val="0"/>
          <w:sz w:val="32"/>
          <w:szCs w:val="32"/>
          <w:lang w:val="en-US" w:eastAsia="zh-CN"/>
        </w:rPr>
        <w:t>通过官网、微信公众号发布了相关通知百余项，</w:t>
      </w:r>
      <w:r>
        <w:rPr>
          <w:rFonts w:hint="eastAsia" w:ascii="仿宋_GB2312" w:hAnsi="仿宋_GB2312" w:eastAsia="仿宋_GB2312" w:cs="仿宋_GB2312"/>
          <w:color w:val="auto"/>
          <w:sz w:val="32"/>
          <w:szCs w:val="32"/>
          <w:highlight w:val="none"/>
          <w:lang w:val="en-US" w:eastAsia="zh-CN"/>
        </w:rPr>
        <w:t>累计组织企业（项目）330家次申报53个专项项目；</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上报省高技术产业化专项项目15个，现代服务业专项项目2个；</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申报省现代服务业与先进制造业深度融合试点2家，组织申报市级电动汽车充电基础设施建设项目4个。“十四五”规划工作有序进行，招投标工作圆满完成,高新区“十四五”规划已经提交了编制思路，并与区直各部门座谈完毕，8月按照工委管委领导分工，开展了11场专项调研。</w:t>
      </w:r>
    </w:p>
    <w:p w14:paraId="60887D10">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sz w:val="32"/>
          <w:szCs w:val="32"/>
          <w:lang w:val="en-US" w:eastAsia="zh-CN"/>
        </w:rPr>
        <w:t>2.加强打好三大攻坚战，落实“六稳”“六保”工作方面信息公开。</w:t>
      </w:r>
      <w:r>
        <w:rPr>
          <w:rFonts w:hint="eastAsia" w:ascii="仿宋_GB2312" w:eastAsia="仿宋_GB2312"/>
          <w:color w:val="000000" w:themeColor="text1"/>
          <w:sz w:val="32"/>
          <w:szCs w:val="32"/>
          <w:lang w:val="en-US" w:eastAsia="zh-CN"/>
          <w14:textFill>
            <w14:solidFill>
              <w14:schemeClr w14:val="tx1"/>
            </w14:solidFill>
          </w14:textFill>
        </w:rPr>
        <w:t>全面阐释“六稳”各项政策举措，实时发布“六保”相关政策信息。</w:t>
      </w:r>
      <w:r>
        <w:rPr>
          <w:rFonts w:hint="eastAsia" w:ascii="仿宋_GB2312" w:hAnsi="Times New Roman" w:eastAsia="仿宋_GB2312" w:cs="Times New Roman"/>
          <w:color w:val="000000" w:themeColor="text1"/>
          <w:sz w:val="32"/>
          <w:szCs w:val="32"/>
          <w:lang w:val="en-US" w:eastAsia="zh-CN"/>
          <w14:textFill>
            <w14:solidFill>
              <w14:schemeClr w14:val="tx1"/>
            </w14:solidFill>
          </w14:textFill>
        </w:rPr>
        <w:t>制定并发布了《石家庄高新区经济发展局关于进一步做好“六稳”工作落实“六保”任务细化实施方案》等文件，定期跟踪、督导落实。召开技改政策宣讲会，进一步在稳项目促投资、保产业链供应链供应等方面信息公开。</w:t>
      </w:r>
    </w:p>
    <w:p w14:paraId="2DB5497D">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sz w:val="32"/>
          <w:szCs w:val="32"/>
          <w:lang w:val="en-US" w:eastAsia="zh-CN"/>
        </w:rPr>
        <w:t>3.加强建立综合创新体系、激发高质量发展活力方面信息公开</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b w:val="0"/>
          <w:bCs w:val="0"/>
          <w:color w:val="auto"/>
          <w:sz w:val="32"/>
          <w:szCs w:val="32"/>
          <w:highlight w:val="none"/>
          <w:u w:val="none"/>
          <w:lang w:val="en-US" w:eastAsia="zh-CN"/>
        </w:rPr>
        <w:t>在官网及时公布《关于申报2021年（2020年第二批）石家庄市工业转型升级（技改）专项资金项目的通知》《关于开展2020年省“工业诊所”创建申报工作的通知》等企业转型升级、创新发展等政策文件，组织企业积极申报相关项目。发布动态信息并组织</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申报国家级企业技术中心1家、省级企业技术中心3家、省级工程研究中心2家、市级企业技术中心10家、市级工程研究中心1家。</w:t>
      </w:r>
    </w:p>
    <w:p w14:paraId="6304A194">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eastAsia="仿宋_GB2312"/>
          <w:color w:val="FF0000"/>
          <w:sz w:val="32"/>
          <w:szCs w:val="32"/>
          <w:lang w:eastAsia="zh-CN"/>
        </w:rPr>
      </w:pPr>
      <w:r>
        <w:rPr>
          <w:rFonts w:hint="eastAsia" w:ascii="仿宋_GB2312" w:hAnsi="仿宋_GB2312" w:eastAsia="仿宋_GB2312" w:cs="仿宋_GB2312"/>
          <w:b/>
          <w:bCs/>
          <w:sz w:val="32"/>
          <w:szCs w:val="32"/>
          <w:lang w:val="en-US" w:eastAsia="zh-CN"/>
        </w:rPr>
        <w:t>4.加强提升城市形象和乡村振兴方面信息公开。</w:t>
      </w:r>
      <w:r>
        <w:rPr>
          <w:rFonts w:hint="eastAsia" w:ascii="仿宋_GB2312" w:eastAsia="仿宋_GB2312"/>
          <w:color w:val="auto"/>
          <w:sz w:val="32"/>
          <w:szCs w:val="32"/>
          <w:lang w:val="en-US" w:eastAsia="zh-CN"/>
        </w:rPr>
        <w:t>及时公开县城建设品质提升信息，推进农村现代化建设。</w:t>
      </w:r>
      <w:r>
        <w:rPr>
          <w:rFonts w:hint="eastAsia" w:ascii="仿宋_GB2312" w:eastAsia="仿宋_GB2312"/>
          <w:color w:val="auto"/>
          <w:sz w:val="32"/>
          <w:szCs w:val="32"/>
        </w:rPr>
        <w:t>为了方便公民、法人和其他组织依法获取</w:t>
      </w:r>
      <w:r>
        <w:rPr>
          <w:rFonts w:hint="eastAsia" w:ascii="仿宋_GB2312" w:eastAsia="仿宋_GB2312"/>
          <w:color w:val="auto"/>
          <w:sz w:val="32"/>
          <w:szCs w:val="32"/>
          <w:lang w:eastAsia="zh-CN"/>
        </w:rPr>
        <w:t>我</w:t>
      </w:r>
      <w:r>
        <w:rPr>
          <w:rFonts w:hint="eastAsia" w:ascii="仿宋_GB2312" w:eastAsia="仿宋_GB2312"/>
          <w:color w:val="auto"/>
          <w:sz w:val="32"/>
          <w:szCs w:val="32"/>
        </w:rPr>
        <w:t>局政务信息，进一步提高工作透明度，促进依法行政，</w:t>
      </w:r>
      <w:r>
        <w:rPr>
          <w:rFonts w:hint="eastAsia" w:ascii="仿宋_GB2312" w:eastAsia="仿宋_GB2312"/>
          <w:color w:val="auto"/>
          <w:sz w:val="32"/>
          <w:szCs w:val="32"/>
          <w:lang w:eastAsia="zh-CN"/>
        </w:rPr>
        <w:t>我区</w:t>
      </w:r>
      <w:r>
        <w:rPr>
          <w:rFonts w:hint="eastAsia" w:ascii="仿宋_GB2312" w:eastAsia="仿宋_GB2312"/>
          <w:color w:val="auto"/>
          <w:sz w:val="32"/>
          <w:szCs w:val="32"/>
        </w:rPr>
        <w:t>不断完善信息公开方式，充分</w:t>
      </w:r>
      <w:r>
        <w:rPr>
          <w:rFonts w:hint="eastAsia" w:ascii="仿宋_GB2312" w:eastAsia="仿宋_GB2312"/>
          <w:sz w:val="32"/>
          <w:szCs w:val="32"/>
        </w:rPr>
        <w:t>利用高新区门户网站</w:t>
      </w:r>
      <w:r>
        <w:rPr>
          <w:rFonts w:hint="eastAsia" w:ascii="仿宋_GB2312" w:eastAsia="仿宋_GB2312"/>
          <w:sz w:val="32"/>
          <w:szCs w:val="32"/>
          <w:lang w:eastAsia="zh-CN"/>
        </w:rPr>
        <w:t>、微信公众号</w:t>
      </w:r>
      <w:r>
        <w:rPr>
          <w:rFonts w:hint="eastAsia" w:ascii="仿宋_GB2312" w:eastAsia="仿宋_GB2312"/>
          <w:sz w:val="32"/>
          <w:szCs w:val="32"/>
        </w:rPr>
        <w:t>等媒体作用，不断拓展政府信息公开渠道和覆盖面。20</w:t>
      </w:r>
      <w:r>
        <w:rPr>
          <w:rFonts w:hint="eastAsia" w:ascii="仿宋_GB2312" w:eastAsia="仿宋_GB2312"/>
          <w:sz w:val="32"/>
          <w:szCs w:val="32"/>
          <w:lang w:val="en-US" w:eastAsia="zh-CN"/>
        </w:rPr>
        <w:t>20</w:t>
      </w:r>
      <w:r>
        <w:rPr>
          <w:rFonts w:hint="eastAsia" w:ascii="仿宋_GB2312" w:eastAsia="仿宋_GB2312"/>
          <w:sz w:val="32"/>
          <w:szCs w:val="32"/>
        </w:rPr>
        <w:t>年在高新区网站</w:t>
      </w:r>
      <w:r>
        <w:rPr>
          <w:rFonts w:hint="eastAsia" w:ascii="仿宋_GB2312" w:eastAsia="仿宋_GB2312"/>
          <w:sz w:val="32"/>
          <w:szCs w:val="32"/>
          <w:lang w:eastAsia="zh-CN"/>
        </w:rPr>
        <w:t>、微信公众号</w:t>
      </w:r>
      <w:r>
        <w:rPr>
          <w:rFonts w:hint="eastAsia" w:ascii="仿宋_GB2312" w:eastAsia="仿宋_GB2312"/>
          <w:sz w:val="32"/>
          <w:szCs w:val="32"/>
        </w:rPr>
        <w:t>发布公开信息</w:t>
      </w:r>
      <w:r>
        <w:rPr>
          <w:rFonts w:hint="eastAsia" w:ascii="仿宋_GB2312" w:eastAsia="仿宋_GB2312"/>
          <w:sz w:val="32"/>
          <w:szCs w:val="32"/>
          <w:lang w:val="en-US" w:eastAsia="zh-CN"/>
        </w:rPr>
        <w:t>45</w:t>
      </w:r>
      <w:r>
        <w:rPr>
          <w:rFonts w:hint="eastAsia" w:ascii="仿宋_GB2312" w:eastAsia="仿宋_GB2312"/>
          <w:sz w:val="32"/>
          <w:szCs w:val="32"/>
        </w:rPr>
        <w:t>条</w:t>
      </w:r>
      <w:r>
        <w:rPr>
          <w:rFonts w:hint="eastAsia" w:ascii="仿宋_GB2312" w:eastAsia="仿宋_GB2312"/>
          <w:sz w:val="32"/>
          <w:szCs w:val="32"/>
          <w:lang w:eastAsia="zh-CN"/>
        </w:rPr>
        <w:t>。</w:t>
      </w:r>
    </w:p>
    <w:p w14:paraId="6A635B8F">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lang w:val="en-US" w:eastAsia="zh-CN"/>
        </w:rPr>
      </w:pPr>
      <w:r>
        <w:rPr>
          <w:rFonts w:hint="eastAsia" w:ascii="仿宋_GB2312" w:hAnsi="仿宋_GB2312" w:eastAsia="仿宋_GB2312" w:cs="仿宋_GB2312"/>
          <w:b/>
          <w:bCs/>
          <w:sz w:val="32"/>
          <w:szCs w:val="32"/>
          <w:lang w:val="en-US" w:eastAsia="zh-CN"/>
        </w:rPr>
        <w:t>5.加强保障和改善民生方面信息公开。</w:t>
      </w:r>
      <w:r>
        <w:rPr>
          <w:rFonts w:hint="eastAsia" w:ascii="仿宋_GB2312" w:eastAsia="仿宋_GB2312"/>
          <w:color w:val="000000" w:themeColor="text1"/>
          <w:sz w:val="32"/>
          <w:szCs w:val="32"/>
          <w:lang w:val="en-US" w:eastAsia="zh-CN"/>
          <w14:textFill>
            <w14:solidFill>
              <w14:schemeClr w14:val="tx1"/>
            </w14:solidFill>
          </w14:textFill>
        </w:rPr>
        <w:t>及时公开民生实事项目进展情况。</w:t>
      </w:r>
      <w:r>
        <w:rPr>
          <w:rFonts w:hint="eastAsia" w:ascii="仿宋_GB2312" w:hAnsi="仿宋_GB2312" w:eastAsia="仿宋_GB2312" w:cs="仿宋_GB2312"/>
          <w:snapToGrid w:val="0"/>
          <w:color w:val="000000"/>
          <w:kern w:val="32"/>
          <w:sz w:val="32"/>
          <w:lang w:val="en-US" w:eastAsia="zh-CN"/>
        </w:rPr>
        <w:t>每月按时公开城市最低生活保障金、特困人员供养金、高龄津贴、孤儿和事实无人抚养儿童补贴等各类资金。</w:t>
      </w:r>
      <w:r>
        <w:rPr>
          <w:rFonts w:hint="eastAsia" w:ascii="仿宋_GB2312" w:hAnsi="仿宋_GB2312" w:eastAsia="仿宋_GB2312" w:cs="仿宋_GB2312"/>
          <w:sz w:val="32"/>
          <w:szCs w:val="32"/>
          <w:lang w:eastAsia="zh-CN"/>
        </w:rPr>
        <w:t>通过退役军人服务在线平台宣传退役军人就业创业相关政策，</w:t>
      </w:r>
      <w:r>
        <w:rPr>
          <w:rFonts w:hint="eastAsia" w:ascii="仿宋_GB2312" w:hAnsi="仿宋_GB2312" w:eastAsia="仿宋_GB2312" w:cs="仿宋_GB2312"/>
          <w:sz w:val="32"/>
          <w:szCs w:val="32"/>
          <w:lang w:val="en-US" w:eastAsia="zh-CN"/>
        </w:rPr>
        <w:t>帮助符合条件的1名退役军人领取就业补贴10000元。收集并上报辖区2名退役士兵参加培训。及时转发市退役军人事务局适应性培训和技能培训通知，帮助2020年自主就业退役士兵12人和14人分别参加适应性培训和技能培训。</w:t>
      </w:r>
    </w:p>
    <w:p w14:paraId="484FB7CA">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（五）推进公开平台规范化建设</w:t>
      </w:r>
    </w:p>
    <w:p w14:paraId="3CBCC08B">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sz w:val="32"/>
          <w:szCs w:val="32"/>
          <w:lang w:val="en-US" w:eastAsia="zh-CN"/>
        </w:rPr>
        <w:t>1.政府信息公开平台改版升级，政府网站规范化建设。</w:t>
      </w:r>
      <w:r>
        <w:rPr>
          <w:rFonts w:hint="eastAsia" w:ascii="仿宋_GB2312" w:eastAsia="仿宋_GB2312"/>
          <w:color w:val="000000" w:themeColor="text1"/>
          <w:sz w:val="32"/>
          <w:szCs w:val="32"/>
          <w:lang w:val="en-US" w:eastAsia="zh-CN"/>
          <w14:textFill>
            <w14:solidFill>
              <w14:schemeClr w14:val="tx1"/>
            </w14:solidFill>
          </w14:textFill>
        </w:rPr>
        <w:t>按照《河北省政务公开办公室关于规范政府信息公开平台建设有关事项的通知》要求，完成政府信息公开平台改版升级工作，按照要求对网站内容进行及时更新维护，</w:t>
      </w:r>
      <w:r>
        <w:rPr>
          <w:rFonts w:hint="eastAsia" w:ascii="仿宋_GB2312" w:eastAsia="仿宋_GB2312"/>
          <w:b w:val="0"/>
          <w:bCs w:val="0"/>
          <w:color w:val="000000" w:themeColor="text1"/>
          <w:sz w:val="32"/>
          <w:szCs w:val="32"/>
          <w:lang w:val="en-US" w:eastAsia="zh-CN"/>
          <w14:textFill>
            <w14:solidFill>
              <w14:schemeClr w14:val="tx1"/>
            </w14:solidFill>
          </w14:textFill>
        </w:rPr>
        <w:t>扎实推进政府网站规范建设。</w:t>
      </w:r>
      <w:r>
        <w:rPr>
          <w:rFonts w:hint="eastAsia" w:ascii="仿宋_GB2312" w:eastAsia="仿宋_GB2312"/>
          <w:b w:val="0"/>
          <w:bCs w:val="0"/>
          <w:color w:val="auto"/>
          <w:sz w:val="32"/>
          <w:szCs w:val="32"/>
          <w:lang w:val="en-US" w:eastAsia="zh-CN"/>
        </w:rPr>
        <w:t>通过微信公众号，及时发布有关市场监管活动信息，将主要活动进行公开。</w:t>
      </w:r>
    </w:p>
    <w:p w14:paraId="43086AEA">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sz w:val="32"/>
          <w:szCs w:val="32"/>
          <w:lang w:val="en-US" w:eastAsia="zh-CN"/>
        </w:rPr>
        <w:t>2.政务新媒体健康有序发展。</w:t>
      </w:r>
      <w:r>
        <w:rPr>
          <w:rFonts w:hint="eastAsia" w:ascii="仿宋" w:hAnsi="仿宋" w:eastAsia="仿宋" w:cs="仿宋"/>
          <w:color w:val="000000"/>
          <w:kern w:val="0"/>
          <w:sz w:val="32"/>
          <w:szCs w:val="32"/>
          <w:shd w:val="clear" w:color="auto" w:fill="FFFFFF"/>
          <w:lang w:val="en-US" w:eastAsia="zh-CN" w:bidi="ar-SA"/>
        </w:rPr>
        <w:t>按照《石家庄市人民政府办公室印发关于推进政务新媒体健康有序发展实施方案的通知》要求，</w:t>
      </w:r>
      <w:r>
        <w:rPr>
          <w:rFonts w:hint="eastAsia" w:ascii="仿宋_GB2312" w:eastAsia="仿宋_GB2312"/>
          <w:b w:val="0"/>
          <w:bCs w:val="0"/>
          <w:color w:val="000000" w:themeColor="text1"/>
          <w:sz w:val="32"/>
          <w:szCs w:val="32"/>
          <w:lang w:val="en-US" w:eastAsia="zh-CN"/>
          <w14:textFill>
            <w14:solidFill>
              <w14:schemeClr w14:val="tx1"/>
            </w14:solidFill>
          </w14:textFill>
        </w:rPr>
        <w:t>印发《关于进一步规范新媒体平台信息发布的通知》、《高新区政务新媒体信息审核发布管理制度》等文件。开通高新区官方微信公众号“石家庄国家高新技术产业开发区”，今年以来，共发布文章1000余篇，发布信息频次约4篇/工作日，关注人数9305人。</w:t>
      </w:r>
      <w:r>
        <w:rPr>
          <w:rFonts w:hint="eastAsia" w:ascii="仿宋_GB2312" w:hAnsi="仿宋" w:eastAsia="仿宋_GB2312" w:cs="仿宋"/>
          <w:sz w:val="32"/>
          <w:szCs w:val="32"/>
          <w:lang w:val="en-US" w:eastAsia="zh-CN"/>
        </w:rPr>
        <w:t>截止到11月，政府信息公开平台政策法规栏目更新3条；规划信息栏目更新1条；行政许可栏目14条；处罚/强制栏目7条；行政事业性收费栏目1条；政府采购栏目2条；重大项目栏目2条；重大民生栏目2条。</w:t>
      </w:r>
    </w:p>
    <w:p w14:paraId="5AB5A04F">
      <w:pPr>
        <w:pStyle w:val="2"/>
        <w:keepNext w:val="0"/>
        <w:keepLines w:val="0"/>
        <w:pageBreakBefore w:val="0"/>
        <w:widowControl w:val="0"/>
        <w:kinsoku/>
        <w:wordWrap/>
        <w:overflowPunct/>
        <w:topLinePunct w:val="0"/>
        <w:autoSpaceDE/>
        <w:autoSpaceDN/>
        <w:bidi w:val="0"/>
        <w:adjustRightInd/>
        <w:snapToGrid/>
        <w:spacing w:after="0" w:afterLines="0" w:line="600" w:lineRule="exact"/>
        <w:ind w:left="0" w:leftChars="0" w:right="0" w:rightChars="0" w:firstLine="640" w:firstLineChars="200"/>
        <w:jc w:val="both"/>
        <w:textAlignment w:val="auto"/>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t>（六）加强政策宣传解读。</w:t>
      </w:r>
    </w:p>
    <w:p w14:paraId="1AE05B9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cs="仿宋"/>
          <w:color w:val="000000"/>
          <w:kern w:val="0"/>
          <w:sz w:val="32"/>
          <w:szCs w:val="32"/>
          <w:shd w:val="clear" w:color="auto" w:fill="FFFFFF"/>
          <w:lang w:val="en-US" w:eastAsia="zh-CN" w:bidi="ar-SA"/>
        </w:rPr>
        <w:t>针对政策实施和重大项目推进过程中，按照属地管理、分级负责、谁主管谁负责的原则，及时回应，解疑释惑。</w:t>
      </w:r>
      <w:r>
        <w:rPr>
          <w:rFonts w:hint="eastAsia" w:ascii="仿宋_GB2312" w:hAnsi="仿宋_GB2312" w:eastAsia="仿宋_GB2312" w:cs="仿宋_GB2312"/>
          <w:sz w:val="32"/>
          <w:szCs w:val="32"/>
        </w:rPr>
        <w:t>及时开展政策落实情况调研，采取多种方式深入分析疫情对经济的影响，广泛了解企业的诉求，破解政策落实难点，疏通堵点。</w:t>
      </w:r>
      <w:r>
        <w:rPr>
          <w:rFonts w:hint="eastAsia" w:ascii="仿宋_GB2312" w:hAnsi="仿宋_GB2312" w:eastAsia="仿宋_GB2312" w:cs="仿宋_GB2312"/>
          <w:sz w:val="32"/>
          <w:szCs w:val="32"/>
          <w:lang w:val="en-US" w:eastAsia="zh-CN"/>
        </w:rPr>
        <w:t>在微信公众号公布最新政策信息，对防控期间缓缴各项社会保险费的有关问题进行解读，及时解答企业的疑问，共发送21条政策信息。</w:t>
      </w:r>
    </w:p>
    <w:p w14:paraId="2FBBBB1D">
      <w:pPr>
        <w:keepNext w:val="0"/>
        <w:keepLines w:val="0"/>
        <w:pageBreakBefore w:val="0"/>
        <w:numPr>
          <w:ilvl w:val="0"/>
          <w:numId w:val="2"/>
        </w:numPr>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t>规范政府信息依申请公开办理。</w:t>
      </w:r>
    </w:p>
    <w:p w14:paraId="7AED78A4">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kern w:val="0"/>
          <w:sz w:val="32"/>
          <w:szCs w:val="32"/>
          <w:shd w:val="clear" w:color="auto" w:fill="FFFFFF"/>
          <w:lang w:val="en-US" w:eastAsia="zh-CN" w:bidi="ar-SA"/>
        </w:rPr>
        <w:t>按照要求畅通政府信息申请受理渠道，提高依申请公开网上办理能力。2020年，我区受理政府信息公开答复案件共计9件，均</w:t>
      </w:r>
      <w:r>
        <w:rPr>
          <w:rFonts w:hint="eastAsia" w:ascii="仿宋_GB2312" w:hAnsi="仿宋_GB2312" w:eastAsia="仿宋_GB2312" w:cs="仿宋_GB2312"/>
          <w:color w:val="auto"/>
          <w:sz w:val="32"/>
          <w:szCs w:val="32"/>
        </w:rPr>
        <w:t>严格要求按照法定时限答复，</w:t>
      </w:r>
      <w:r>
        <w:rPr>
          <w:rFonts w:hint="eastAsia" w:ascii="仿宋_GB2312" w:hAnsi="仿宋_GB2312" w:eastAsia="仿宋_GB2312" w:cs="仿宋_GB2312"/>
          <w:color w:val="auto"/>
          <w:sz w:val="32"/>
          <w:szCs w:val="32"/>
          <w:lang w:eastAsia="zh-CN"/>
        </w:rPr>
        <w:t>提高</w:t>
      </w:r>
      <w:r>
        <w:rPr>
          <w:rFonts w:hint="eastAsia" w:ascii="仿宋_GB2312" w:hAnsi="仿宋_GB2312" w:eastAsia="仿宋_GB2312" w:cs="仿宋_GB2312"/>
          <w:color w:val="auto"/>
          <w:sz w:val="32"/>
          <w:szCs w:val="32"/>
        </w:rPr>
        <w:t>了答复内容针对性和答复形式规范性</w:t>
      </w:r>
      <w:r>
        <w:rPr>
          <w:rFonts w:hint="eastAsia" w:ascii="仿宋_GB2312" w:hAnsi="仿宋_GB2312" w:eastAsia="仿宋_GB2312" w:cs="仿宋_GB2312"/>
          <w:color w:val="auto"/>
          <w:sz w:val="32"/>
          <w:szCs w:val="32"/>
          <w:lang w:eastAsia="zh-CN"/>
        </w:rPr>
        <w:t>。切实做到以公开为常态，不公开为例外。</w:t>
      </w:r>
    </w:p>
    <w:p w14:paraId="5D296415">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二、主动公开政府信息情况</w:t>
      </w:r>
    </w:p>
    <w:tbl>
      <w:tblPr>
        <w:tblStyle w:val="9"/>
        <w:tblW w:w="8222"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7"/>
        <w:gridCol w:w="1701"/>
        <w:gridCol w:w="142"/>
        <w:gridCol w:w="1321"/>
        <w:gridCol w:w="2081"/>
      </w:tblGrid>
      <w:tr w14:paraId="22890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95" w:hRule="atLeast"/>
        </w:trPr>
        <w:tc>
          <w:tcPr>
            <w:tcW w:w="8222" w:type="dxa"/>
            <w:gridSpan w:val="5"/>
            <w:vAlign w:val="center"/>
          </w:tcPr>
          <w:p w14:paraId="2829E3C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第二十条第（一）项</w:t>
            </w:r>
          </w:p>
        </w:tc>
      </w:tr>
      <w:tr w14:paraId="7E718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trPr>
        <w:tc>
          <w:tcPr>
            <w:tcW w:w="2977" w:type="dxa"/>
            <w:vAlign w:val="center"/>
          </w:tcPr>
          <w:p w14:paraId="2DC7A28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信息内容</w:t>
            </w:r>
          </w:p>
        </w:tc>
        <w:tc>
          <w:tcPr>
            <w:tcW w:w="1701" w:type="dxa"/>
            <w:vAlign w:val="center"/>
          </w:tcPr>
          <w:p w14:paraId="455BE28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本年新制作数量</w:t>
            </w:r>
          </w:p>
        </w:tc>
        <w:tc>
          <w:tcPr>
            <w:tcW w:w="1463" w:type="dxa"/>
            <w:gridSpan w:val="2"/>
            <w:vAlign w:val="center"/>
          </w:tcPr>
          <w:p w14:paraId="1F9EEF1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本年新公开数量</w:t>
            </w:r>
          </w:p>
        </w:tc>
        <w:tc>
          <w:tcPr>
            <w:tcW w:w="2081" w:type="dxa"/>
            <w:vAlign w:val="center"/>
          </w:tcPr>
          <w:p w14:paraId="0CD3846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对外公开总数量</w:t>
            </w:r>
          </w:p>
        </w:tc>
      </w:tr>
      <w:tr w14:paraId="76C85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2977" w:type="dxa"/>
            <w:vAlign w:val="top"/>
          </w:tcPr>
          <w:p w14:paraId="37661772">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规章</w:t>
            </w:r>
          </w:p>
        </w:tc>
        <w:tc>
          <w:tcPr>
            <w:tcW w:w="1701" w:type="dxa"/>
            <w:vAlign w:val="top"/>
          </w:tcPr>
          <w:p w14:paraId="6C7FBB06">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c>
          <w:tcPr>
            <w:tcW w:w="1463" w:type="dxa"/>
            <w:gridSpan w:val="2"/>
            <w:vAlign w:val="top"/>
          </w:tcPr>
          <w:p w14:paraId="70C845D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c>
          <w:tcPr>
            <w:tcW w:w="2081" w:type="dxa"/>
            <w:vAlign w:val="top"/>
          </w:tcPr>
          <w:p w14:paraId="0A51065D">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r>
      <w:tr w14:paraId="31E2A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2977" w:type="dxa"/>
            <w:vAlign w:val="top"/>
          </w:tcPr>
          <w:p w14:paraId="5B995C6B">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规范性文件</w:t>
            </w:r>
          </w:p>
        </w:tc>
        <w:tc>
          <w:tcPr>
            <w:tcW w:w="1701" w:type="dxa"/>
            <w:vAlign w:val="top"/>
          </w:tcPr>
          <w:p w14:paraId="00D7562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c>
          <w:tcPr>
            <w:tcW w:w="1463" w:type="dxa"/>
            <w:gridSpan w:val="2"/>
            <w:vAlign w:val="top"/>
          </w:tcPr>
          <w:p w14:paraId="70C74B5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c>
          <w:tcPr>
            <w:tcW w:w="2081" w:type="dxa"/>
            <w:vAlign w:val="top"/>
          </w:tcPr>
          <w:p w14:paraId="5F04665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r>
      <w:tr w14:paraId="35A63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2" w:type="dxa"/>
            <w:gridSpan w:val="5"/>
            <w:vAlign w:val="top"/>
          </w:tcPr>
          <w:p w14:paraId="43B372E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第二十条第（五）项</w:t>
            </w:r>
          </w:p>
        </w:tc>
      </w:tr>
      <w:tr w14:paraId="059B4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center"/>
          </w:tcPr>
          <w:p w14:paraId="710DD39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信息内容</w:t>
            </w:r>
          </w:p>
        </w:tc>
        <w:tc>
          <w:tcPr>
            <w:tcW w:w="1843" w:type="dxa"/>
            <w:gridSpan w:val="2"/>
            <w:vAlign w:val="center"/>
          </w:tcPr>
          <w:p w14:paraId="6E290EF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上一年项目数量</w:t>
            </w:r>
          </w:p>
        </w:tc>
        <w:tc>
          <w:tcPr>
            <w:tcW w:w="1321" w:type="dxa"/>
            <w:vAlign w:val="center"/>
          </w:tcPr>
          <w:p w14:paraId="62D30E6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本年增/减</w:t>
            </w:r>
          </w:p>
        </w:tc>
        <w:tc>
          <w:tcPr>
            <w:tcW w:w="2081" w:type="dxa"/>
            <w:vAlign w:val="center"/>
          </w:tcPr>
          <w:p w14:paraId="3610F4B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处理决定数量</w:t>
            </w:r>
          </w:p>
        </w:tc>
      </w:tr>
      <w:tr w14:paraId="7FAE7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top"/>
          </w:tcPr>
          <w:p w14:paraId="393EE7F8">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行政许可</w:t>
            </w:r>
          </w:p>
        </w:tc>
        <w:tc>
          <w:tcPr>
            <w:tcW w:w="1843" w:type="dxa"/>
            <w:gridSpan w:val="2"/>
            <w:vAlign w:val="top"/>
          </w:tcPr>
          <w:p w14:paraId="2DB1C747">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81</w:t>
            </w:r>
          </w:p>
        </w:tc>
        <w:tc>
          <w:tcPr>
            <w:tcW w:w="1321" w:type="dxa"/>
            <w:vAlign w:val="top"/>
          </w:tcPr>
          <w:p w14:paraId="638CFBDB">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+1472</w:t>
            </w:r>
          </w:p>
        </w:tc>
        <w:tc>
          <w:tcPr>
            <w:tcW w:w="2081" w:type="dxa"/>
            <w:vAlign w:val="top"/>
          </w:tcPr>
          <w:p w14:paraId="4EA1E702">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19278</w:t>
            </w:r>
          </w:p>
        </w:tc>
      </w:tr>
      <w:tr w14:paraId="31D99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top"/>
          </w:tcPr>
          <w:p w14:paraId="302AF1A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其他对外管理服务事项</w:t>
            </w:r>
          </w:p>
        </w:tc>
        <w:tc>
          <w:tcPr>
            <w:tcW w:w="1843" w:type="dxa"/>
            <w:gridSpan w:val="2"/>
            <w:vAlign w:val="top"/>
          </w:tcPr>
          <w:p w14:paraId="4350348E">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9</w:t>
            </w:r>
          </w:p>
        </w:tc>
        <w:tc>
          <w:tcPr>
            <w:tcW w:w="1321" w:type="dxa"/>
            <w:vAlign w:val="top"/>
          </w:tcPr>
          <w:p w14:paraId="18ABB7C1">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-1</w:t>
            </w:r>
          </w:p>
        </w:tc>
        <w:tc>
          <w:tcPr>
            <w:tcW w:w="2081" w:type="dxa"/>
            <w:vAlign w:val="top"/>
          </w:tcPr>
          <w:p w14:paraId="2FB40B6E">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2414</w:t>
            </w:r>
          </w:p>
        </w:tc>
      </w:tr>
      <w:tr w14:paraId="27A68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2" w:type="dxa"/>
            <w:gridSpan w:val="5"/>
            <w:vAlign w:val="center"/>
          </w:tcPr>
          <w:p w14:paraId="1F7F907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第二十条第（六）项</w:t>
            </w:r>
          </w:p>
        </w:tc>
      </w:tr>
      <w:tr w14:paraId="58685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center"/>
          </w:tcPr>
          <w:p w14:paraId="23A1097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信息内容</w:t>
            </w:r>
          </w:p>
        </w:tc>
        <w:tc>
          <w:tcPr>
            <w:tcW w:w="1843" w:type="dxa"/>
            <w:gridSpan w:val="2"/>
            <w:vAlign w:val="center"/>
          </w:tcPr>
          <w:p w14:paraId="1E61AAC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上一年项目数量</w:t>
            </w:r>
          </w:p>
        </w:tc>
        <w:tc>
          <w:tcPr>
            <w:tcW w:w="1321" w:type="dxa"/>
            <w:vAlign w:val="center"/>
          </w:tcPr>
          <w:p w14:paraId="7FB179D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本年增/减</w:t>
            </w:r>
          </w:p>
        </w:tc>
        <w:tc>
          <w:tcPr>
            <w:tcW w:w="2081" w:type="dxa"/>
            <w:vAlign w:val="center"/>
          </w:tcPr>
          <w:p w14:paraId="691DB63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处理决定数量</w:t>
            </w:r>
          </w:p>
        </w:tc>
      </w:tr>
      <w:tr w14:paraId="65946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top"/>
          </w:tcPr>
          <w:p w14:paraId="091B3CD2">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行政处罚</w:t>
            </w:r>
          </w:p>
        </w:tc>
        <w:tc>
          <w:tcPr>
            <w:tcW w:w="1843" w:type="dxa"/>
            <w:gridSpan w:val="2"/>
            <w:vAlign w:val="top"/>
          </w:tcPr>
          <w:p w14:paraId="7F4417D4">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837</w:t>
            </w:r>
          </w:p>
        </w:tc>
        <w:tc>
          <w:tcPr>
            <w:tcW w:w="1321" w:type="dxa"/>
            <w:vAlign w:val="top"/>
          </w:tcPr>
          <w:p w14:paraId="5CE96B38">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+180</w:t>
            </w:r>
          </w:p>
        </w:tc>
        <w:tc>
          <w:tcPr>
            <w:tcW w:w="2081" w:type="dxa"/>
            <w:vAlign w:val="top"/>
          </w:tcPr>
          <w:p w14:paraId="45D529F9">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1016</w:t>
            </w:r>
          </w:p>
        </w:tc>
      </w:tr>
      <w:tr w14:paraId="30086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top"/>
          </w:tcPr>
          <w:p w14:paraId="6FEC68E2">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行政强制</w:t>
            </w:r>
          </w:p>
        </w:tc>
        <w:tc>
          <w:tcPr>
            <w:tcW w:w="1843" w:type="dxa"/>
            <w:gridSpan w:val="2"/>
            <w:vAlign w:val="top"/>
          </w:tcPr>
          <w:p w14:paraId="1829EA0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c>
          <w:tcPr>
            <w:tcW w:w="1321" w:type="dxa"/>
            <w:vAlign w:val="top"/>
          </w:tcPr>
          <w:p w14:paraId="4D8E174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c>
          <w:tcPr>
            <w:tcW w:w="2081" w:type="dxa"/>
            <w:vAlign w:val="top"/>
          </w:tcPr>
          <w:p w14:paraId="5477DDBE">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r>
      <w:tr w14:paraId="43F4E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2" w:type="dxa"/>
            <w:gridSpan w:val="5"/>
            <w:vAlign w:val="center"/>
          </w:tcPr>
          <w:p w14:paraId="35D6B4D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第二十条第（八）项</w:t>
            </w:r>
          </w:p>
        </w:tc>
      </w:tr>
      <w:tr w14:paraId="787F7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center"/>
          </w:tcPr>
          <w:p w14:paraId="5B84049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信息内容</w:t>
            </w:r>
          </w:p>
        </w:tc>
        <w:tc>
          <w:tcPr>
            <w:tcW w:w="1843" w:type="dxa"/>
            <w:gridSpan w:val="2"/>
            <w:vAlign w:val="center"/>
          </w:tcPr>
          <w:p w14:paraId="0BE94A0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上一年项目数量</w:t>
            </w:r>
          </w:p>
        </w:tc>
        <w:tc>
          <w:tcPr>
            <w:tcW w:w="3402" w:type="dxa"/>
            <w:gridSpan w:val="2"/>
            <w:vAlign w:val="center"/>
          </w:tcPr>
          <w:p w14:paraId="179ABDC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本年增/减</w:t>
            </w:r>
          </w:p>
        </w:tc>
      </w:tr>
      <w:tr w14:paraId="03824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top"/>
          </w:tcPr>
          <w:p w14:paraId="18880403">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行政事业性收费</w:t>
            </w:r>
          </w:p>
        </w:tc>
        <w:tc>
          <w:tcPr>
            <w:tcW w:w="1843" w:type="dxa"/>
            <w:gridSpan w:val="2"/>
            <w:vAlign w:val="top"/>
          </w:tcPr>
          <w:p w14:paraId="5053815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4</w:t>
            </w:r>
          </w:p>
        </w:tc>
        <w:tc>
          <w:tcPr>
            <w:tcW w:w="3402" w:type="dxa"/>
            <w:gridSpan w:val="2"/>
            <w:vAlign w:val="top"/>
          </w:tcPr>
          <w:p w14:paraId="208B551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0</w:t>
            </w:r>
          </w:p>
        </w:tc>
      </w:tr>
      <w:tr w14:paraId="1F0CB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22" w:type="dxa"/>
            <w:gridSpan w:val="5"/>
            <w:vAlign w:val="top"/>
          </w:tcPr>
          <w:p w14:paraId="3754895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第二十条第（九）项</w:t>
            </w:r>
          </w:p>
        </w:tc>
      </w:tr>
      <w:tr w14:paraId="06C7E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top"/>
          </w:tcPr>
          <w:p w14:paraId="64BD3C9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信息内容</w:t>
            </w:r>
          </w:p>
        </w:tc>
        <w:tc>
          <w:tcPr>
            <w:tcW w:w="1843" w:type="dxa"/>
            <w:gridSpan w:val="2"/>
            <w:vAlign w:val="top"/>
          </w:tcPr>
          <w:p w14:paraId="584C6D2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采购项目数量</w:t>
            </w:r>
          </w:p>
        </w:tc>
        <w:tc>
          <w:tcPr>
            <w:tcW w:w="3402" w:type="dxa"/>
            <w:gridSpan w:val="2"/>
            <w:vAlign w:val="top"/>
          </w:tcPr>
          <w:p w14:paraId="29091C9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采购总金额</w:t>
            </w:r>
          </w:p>
        </w:tc>
      </w:tr>
      <w:tr w14:paraId="679B8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77" w:type="dxa"/>
            <w:vAlign w:val="top"/>
          </w:tcPr>
          <w:p w14:paraId="50209F26">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政府集中采购</w:t>
            </w:r>
          </w:p>
        </w:tc>
        <w:tc>
          <w:tcPr>
            <w:tcW w:w="1843" w:type="dxa"/>
            <w:gridSpan w:val="2"/>
            <w:vAlign w:val="top"/>
          </w:tcPr>
          <w:p w14:paraId="5AF026CE">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155</w:t>
            </w:r>
          </w:p>
        </w:tc>
        <w:tc>
          <w:tcPr>
            <w:tcW w:w="3402" w:type="dxa"/>
            <w:gridSpan w:val="2"/>
            <w:vAlign w:val="top"/>
          </w:tcPr>
          <w:p w14:paraId="3E179EEB">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18035万元</w:t>
            </w:r>
          </w:p>
        </w:tc>
      </w:tr>
    </w:tbl>
    <w:p w14:paraId="3FDF0D52">
      <w:pPr>
        <w:pStyle w:val="8"/>
        <w:keepNext w:val="0"/>
        <w:keepLines w:val="0"/>
        <w:pageBreakBefore w:val="0"/>
        <w:kinsoku/>
        <w:wordWrap/>
        <w:overflowPunct/>
        <w:topLinePunct w:val="0"/>
        <w:autoSpaceDE/>
        <w:autoSpaceDN/>
        <w:bidi w:val="0"/>
        <w:adjustRightInd/>
        <w:snapToGrid/>
        <w:spacing w:after="300" w:line="600" w:lineRule="exact"/>
        <w:ind w:firstLine="640" w:firstLineChars="200"/>
        <w:jc w:val="both"/>
        <w:textAlignment w:val="auto"/>
        <w:rPr>
          <w:rFonts w:hint="eastAsia" w:ascii="黑体" w:hAnsi="黑体" w:eastAsia="黑体" w:cs="Times New Roman"/>
          <w:kern w:val="2"/>
          <w:sz w:val="32"/>
          <w:szCs w:val="32"/>
        </w:rPr>
      </w:pPr>
      <w:r>
        <w:rPr>
          <w:rFonts w:hint="eastAsia" w:ascii="黑体" w:hAnsi="黑体" w:eastAsia="黑体" w:cs="Times New Roman"/>
          <w:kern w:val="2"/>
          <w:sz w:val="32"/>
          <w:szCs w:val="32"/>
        </w:rPr>
        <w:t>三、收到和处理政府信息公开申请情况</w:t>
      </w:r>
    </w:p>
    <w:tbl>
      <w:tblPr>
        <w:tblStyle w:val="9"/>
        <w:tblW w:w="8171" w:type="dxa"/>
        <w:jc w:val="center"/>
        <w:tblLayout w:type="fixed"/>
        <w:tblCellMar>
          <w:top w:w="0" w:type="dxa"/>
          <w:left w:w="0" w:type="dxa"/>
          <w:bottom w:w="0" w:type="dxa"/>
          <w:right w:w="0" w:type="dxa"/>
        </w:tblCellMar>
      </w:tblPr>
      <w:tblGrid>
        <w:gridCol w:w="858"/>
        <w:gridCol w:w="1169"/>
        <w:gridCol w:w="1832"/>
        <w:gridCol w:w="517"/>
        <w:gridCol w:w="567"/>
        <w:gridCol w:w="709"/>
        <w:gridCol w:w="567"/>
        <w:gridCol w:w="851"/>
        <w:gridCol w:w="567"/>
        <w:gridCol w:w="534"/>
      </w:tblGrid>
      <w:tr w14:paraId="588EBADA">
        <w:tblPrEx>
          <w:tblCellMar>
            <w:top w:w="0" w:type="dxa"/>
            <w:left w:w="0" w:type="dxa"/>
            <w:bottom w:w="0" w:type="dxa"/>
            <w:right w:w="0" w:type="dxa"/>
          </w:tblCellMar>
        </w:tblPrEx>
        <w:trPr>
          <w:trHeight w:val="354" w:hRule="atLeast"/>
          <w:jc w:val="center"/>
        </w:trPr>
        <w:tc>
          <w:tcPr>
            <w:tcW w:w="3859" w:type="dxa"/>
            <w:gridSpan w:val="3"/>
            <w:vMerge w:val="restart"/>
            <w:tcBorders>
              <w:top w:val="single" w:color="auto" w:sz="6" w:space="0"/>
              <w:left w:val="single" w:color="auto" w:sz="6" w:space="0"/>
              <w:bottom w:val="single" w:color="auto" w:sz="6" w:space="0"/>
              <w:right w:val="single" w:color="auto" w:sz="6" w:space="0"/>
            </w:tcBorders>
            <w:vAlign w:val="center"/>
          </w:tcPr>
          <w:p w14:paraId="4204AF7A">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eastAsia="仿宋_GB2312"/>
                <w:sz w:val="24"/>
                <w:szCs w:val="24"/>
              </w:rPr>
            </w:pPr>
            <w:r>
              <w:rPr>
                <w:rFonts w:hint="eastAsia" w:ascii="仿宋_GB2312" w:eastAsia="仿宋_GB2312"/>
                <w:sz w:val="24"/>
                <w:szCs w:val="24"/>
              </w:rPr>
              <w:t>　　（本列数据的勾稽关系为：第一项加第二项之和，等于第三项加第四项之和）</w:t>
            </w:r>
          </w:p>
        </w:tc>
        <w:tc>
          <w:tcPr>
            <w:tcW w:w="4312" w:type="dxa"/>
            <w:gridSpan w:val="7"/>
            <w:tcBorders>
              <w:top w:val="single" w:color="auto" w:sz="6" w:space="0"/>
              <w:left w:val="nil"/>
              <w:bottom w:val="single" w:color="auto" w:sz="6" w:space="0"/>
              <w:right w:val="single" w:color="auto" w:sz="6" w:space="0"/>
            </w:tcBorders>
            <w:vAlign w:val="center"/>
          </w:tcPr>
          <w:p w14:paraId="0C9789D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申请人情况</w:t>
            </w:r>
          </w:p>
        </w:tc>
      </w:tr>
      <w:tr w14:paraId="7D975ED3">
        <w:tblPrEx>
          <w:tblCellMar>
            <w:top w:w="0" w:type="dxa"/>
            <w:left w:w="0" w:type="dxa"/>
            <w:bottom w:w="0" w:type="dxa"/>
            <w:right w:w="0" w:type="dxa"/>
          </w:tblCellMar>
        </w:tblPrEx>
        <w:trPr>
          <w:trHeight w:val="557" w:hRule="atLeast"/>
          <w:jc w:val="center"/>
        </w:trPr>
        <w:tc>
          <w:tcPr>
            <w:tcW w:w="3859" w:type="dxa"/>
            <w:gridSpan w:val="3"/>
            <w:vMerge w:val="continue"/>
            <w:tcBorders>
              <w:top w:val="single" w:color="auto" w:sz="6" w:space="0"/>
              <w:left w:val="single" w:color="auto" w:sz="6" w:space="0"/>
              <w:bottom w:val="single" w:color="auto" w:sz="6" w:space="0"/>
              <w:right w:val="single" w:color="auto" w:sz="6" w:space="0"/>
            </w:tcBorders>
            <w:vAlign w:val="center"/>
          </w:tcPr>
          <w:p w14:paraId="79D536A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17" w:type="dxa"/>
            <w:vMerge w:val="restart"/>
            <w:tcBorders>
              <w:top w:val="nil"/>
              <w:left w:val="nil"/>
              <w:bottom w:val="single" w:color="auto" w:sz="6" w:space="0"/>
              <w:right w:val="single" w:color="auto" w:sz="6" w:space="0"/>
            </w:tcBorders>
            <w:vAlign w:val="center"/>
          </w:tcPr>
          <w:p w14:paraId="3EEFC71A">
            <w:pPr>
              <w:keepNext w:val="0"/>
              <w:keepLines w:val="0"/>
              <w:pageBreakBefore w:val="0"/>
              <w:kinsoku/>
              <w:wordWrap/>
              <w:overflowPunct/>
              <w:topLinePunct w:val="0"/>
              <w:autoSpaceDE/>
              <w:autoSpaceDN/>
              <w:bidi w:val="0"/>
              <w:adjustRightInd/>
              <w:snapToGrid/>
              <w:spacing w:after="300" w:line="600" w:lineRule="exact"/>
              <w:jc w:val="center"/>
              <w:textAlignment w:val="auto"/>
              <w:rPr>
                <w:rFonts w:hint="eastAsia" w:ascii="仿宋_GB2312" w:eastAsia="仿宋_GB2312"/>
                <w:sz w:val="24"/>
                <w:szCs w:val="24"/>
              </w:rPr>
            </w:pPr>
            <w:r>
              <w:rPr>
                <w:rFonts w:hint="eastAsia" w:ascii="仿宋_GB2312" w:eastAsia="仿宋_GB2312"/>
                <w:sz w:val="24"/>
                <w:szCs w:val="24"/>
              </w:rPr>
              <w:t>自然人</w:t>
            </w:r>
          </w:p>
        </w:tc>
        <w:tc>
          <w:tcPr>
            <w:tcW w:w="3261" w:type="dxa"/>
            <w:gridSpan w:val="5"/>
            <w:tcBorders>
              <w:top w:val="single" w:color="auto" w:sz="6" w:space="0"/>
              <w:left w:val="nil"/>
              <w:bottom w:val="single" w:color="auto" w:sz="6" w:space="0"/>
              <w:right w:val="single" w:color="auto" w:sz="6" w:space="0"/>
            </w:tcBorders>
            <w:vAlign w:val="center"/>
          </w:tcPr>
          <w:p w14:paraId="2549089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法人或其他组织</w:t>
            </w:r>
          </w:p>
        </w:tc>
        <w:tc>
          <w:tcPr>
            <w:tcW w:w="534" w:type="dxa"/>
            <w:vMerge w:val="restart"/>
            <w:tcBorders>
              <w:top w:val="single" w:color="auto" w:sz="6" w:space="0"/>
              <w:left w:val="nil"/>
              <w:bottom w:val="single" w:color="auto" w:sz="6" w:space="0"/>
              <w:right w:val="single" w:color="auto" w:sz="6" w:space="0"/>
            </w:tcBorders>
            <w:vAlign w:val="center"/>
          </w:tcPr>
          <w:p w14:paraId="320B0D58">
            <w:pPr>
              <w:keepNext w:val="0"/>
              <w:keepLines w:val="0"/>
              <w:pageBreakBefore w:val="0"/>
              <w:kinsoku/>
              <w:wordWrap/>
              <w:overflowPunct/>
              <w:topLinePunct w:val="0"/>
              <w:autoSpaceDE/>
              <w:autoSpaceDN/>
              <w:bidi w:val="0"/>
              <w:adjustRightInd/>
              <w:snapToGrid/>
              <w:spacing w:after="300" w:line="600" w:lineRule="exact"/>
              <w:jc w:val="center"/>
              <w:textAlignment w:val="auto"/>
              <w:rPr>
                <w:rFonts w:hint="eastAsia" w:ascii="仿宋_GB2312" w:eastAsia="仿宋_GB2312"/>
                <w:sz w:val="24"/>
                <w:szCs w:val="24"/>
              </w:rPr>
            </w:pPr>
            <w:r>
              <w:rPr>
                <w:rFonts w:hint="eastAsia" w:ascii="仿宋_GB2312" w:eastAsia="仿宋_GB2312"/>
                <w:sz w:val="24"/>
                <w:szCs w:val="24"/>
              </w:rPr>
              <w:t>　　总计</w:t>
            </w:r>
          </w:p>
        </w:tc>
      </w:tr>
      <w:tr w14:paraId="20CE8FE6">
        <w:tblPrEx>
          <w:tblCellMar>
            <w:top w:w="0" w:type="dxa"/>
            <w:left w:w="0" w:type="dxa"/>
            <w:bottom w:w="0" w:type="dxa"/>
            <w:right w:w="0" w:type="dxa"/>
          </w:tblCellMar>
        </w:tblPrEx>
        <w:trPr>
          <w:trHeight w:val="753" w:hRule="atLeast"/>
          <w:jc w:val="center"/>
        </w:trPr>
        <w:tc>
          <w:tcPr>
            <w:tcW w:w="3859" w:type="dxa"/>
            <w:gridSpan w:val="3"/>
            <w:vMerge w:val="continue"/>
            <w:tcBorders>
              <w:top w:val="single" w:color="auto" w:sz="6" w:space="0"/>
              <w:left w:val="single" w:color="auto" w:sz="6" w:space="0"/>
              <w:bottom w:val="single" w:color="auto" w:sz="6" w:space="0"/>
              <w:right w:val="single" w:color="auto" w:sz="6" w:space="0"/>
            </w:tcBorders>
            <w:vAlign w:val="center"/>
          </w:tcPr>
          <w:p w14:paraId="12D3D16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17" w:type="dxa"/>
            <w:vMerge w:val="continue"/>
            <w:tcBorders>
              <w:top w:val="nil"/>
              <w:left w:val="nil"/>
              <w:bottom w:val="single" w:color="auto" w:sz="6" w:space="0"/>
              <w:right w:val="single" w:color="auto" w:sz="6" w:space="0"/>
            </w:tcBorders>
            <w:vAlign w:val="center"/>
          </w:tcPr>
          <w:p w14:paraId="3698E0B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DD399C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商业企业</w:t>
            </w:r>
          </w:p>
        </w:tc>
        <w:tc>
          <w:tcPr>
            <w:tcW w:w="709" w:type="dxa"/>
            <w:tcBorders>
              <w:top w:val="nil"/>
              <w:left w:val="nil"/>
              <w:bottom w:val="single" w:color="auto" w:sz="6" w:space="0"/>
              <w:right w:val="single" w:color="auto" w:sz="6" w:space="0"/>
            </w:tcBorders>
            <w:vAlign w:val="center"/>
          </w:tcPr>
          <w:p w14:paraId="6858A4E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科研机构</w:t>
            </w:r>
          </w:p>
        </w:tc>
        <w:tc>
          <w:tcPr>
            <w:tcW w:w="567" w:type="dxa"/>
            <w:tcBorders>
              <w:top w:val="single" w:color="auto" w:sz="6" w:space="0"/>
              <w:left w:val="nil"/>
              <w:bottom w:val="single" w:color="auto" w:sz="6" w:space="0"/>
              <w:right w:val="single" w:color="auto" w:sz="6" w:space="0"/>
            </w:tcBorders>
            <w:vAlign w:val="center"/>
          </w:tcPr>
          <w:p w14:paraId="41EAE67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社会公益组织</w:t>
            </w:r>
          </w:p>
        </w:tc>
        <w:tc>
          <w:tcPr>
            <w:tcW w:w="851" w:type="dxa"/>
            <w:tcBorders>
              <w:top w:val="single" w:color="auto" w:sz="6" w:space="0"/>
              <w:left w:val="nil"/>
              <w:bottom w:val="single" w:color="auto" w:sz="6" w:space="0"/>
              <w:right w:val="single" w:color="auto" w:sz="6" w:space="0"/>
            </w:tcBorders>
            <w:vAlign w:val="center"/>
          </w:tcPr>
          <w:p w14:paraId="18D8D12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法律服务机构</w:t>
            </w:r>
          </w:p>
        </w:tc>
        <w:tc>
          <w:tcPr>
            <w:tcW w:w="567" w:type="dxa"/>
            <w:tcBorders>
              <w:top w:val="single" w:color="auto" w:sz="6" w:space="0"/>
              <w:left w:val="nil"/>
              <w:bottom w:val="single" w:color="auto" w:sz="6" w:space="0"/>
              <w:right w:val="single" w:color="auto" w:sz="6" w:space="0"/>
            </w:tcBorders>
            <w:vAlign w:val="center"/>
          </w:tcPr>
          <w:p w14:paraId="1A713FE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r>
              <w:rPr>
                <w:rFonts w:hint="eastAsia" w:ascii="仿宋_GB2312" w:eastAsia="仿宋_GB2312"/>
                <w:sz w:val="24"/>
                <w:szCs w:val="24"/>
              </w:rPr>
              <w:t>其他</w:t>
            </w:r>
          </w:p>
        </w:tc>
        <w:tc>
          <w:tcPr>
            <w:tcW w:w="534" w:type="dxa"/>
            <w:vMerge w:val="continue"/>
            <w:tcBorders>
              <w:top w:val="single" w:color="auto" w:sz="6" w:space="0"/>
              <w:left w:val="nil"/>
              <w:bottom w:val="single" w:color="auto" w:sz="6" w:space="0"/>
              <w:right w:val="single" w:color="auto" w:sz="6" w:space="0"/>
            </w:tcBorders>
            <w:vAlign w:val="center"/>
          </w:tcPr>
          <w:p w14:paraId="2F414A9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64532DB7">
        <w:tblPrEx>
          <w:tblCellMar>
            <w:top w:w="0" w:type="dxa"/>
            <w:left w:w="0" w:type="dxa"/>
            <w:bottom w:w="0" w:type="dxa"/>
            <w:right w:w="0" w:type="dxa"/>
          </w:tblCellMar>
        </w:tblPrEx>
        <w:trPr>
          <w:jc w:val="center"/>
        </w:trPr>
        <w:tc>
          <w:tcPr>
            <w:tcW w:w="3859" w:type="dxa"/>
            <w:gridSpan w:val="3"/>
            <w:tcBorders>
              <w:top w:val="nil"/>
              <w:left w:val="single" w:color="auto" w:sz="6" w:space="0"/>
              <w:bottom w:val="single" w:color="auto" w:sz="6" w:space="0"/>
              <w:right w:val="single" w:color="auto" w:sz="6" w:space="0"/>
            </w:tcBorders>
            <w:vAlign w:val="center"/>
          </w:tcPr>
          <w:p w14:paraId="2D8414D6">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一、本年新收政府信息公开申请数量</w:t>
            </w:r>
          </w:p>
        </w:tc>
        <w:tc>
          <w:tcPr>
            <w:tcW w:w="517" w:type="dxa"/>
            <w:tcBorders>
              <w:top w:val="nil"/>
              <w:left w:val="nil"/>
              <w:bottom w:val="single" w:color="auto" w:sz="6" w:space="0"/>
              <w:right w:val="single" w:color="auto" w:sz="6" w:space="0"/>
            </w:tcBorders>
            <w:vAlign w:val="center"/>
          </w:tcPr>
          <w:p w14:paraId="4339367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9</w:t>
            </w:r>
          </w:p>
        </w:tc>
        <w:tc>
          <w:tcPr>
            <w:tcW w:w="567" w:type="dxa"/>
            <w:tcBorders>
              <w:top w:val="nil"/>
              <w:left w:val="nil"/>
              <w:bottom w:val="single" w:color="auto" w:sz="6" w:space="0"/>
              <w:right w:val="single" w:color="auto" w:sz="6" w:space="0"/>
            </w:tcBorders>
            <w:vAlign w:val="center"/>
          </w:tcPr>
          <w:p w14:paraId="199253D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236FA19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5851E4D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7C799E6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5EC818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67FCA87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9</w:t>
            </w:r>
          </w:p>
        </w:tc>
      </w:tr>
      <w:tr w14:paraId="3A42B340">
        <w:tblPrEx>
          <w:tblCellMar>
            <w:top w:w="0" w:type="dxa"/>
            <w:left w:w="0" w:type="dxa"/>
            <w:bottom w:w="0" w:type="dxa"/>
            <w:right w:w="0" w:type="dxa"/>
          </w:tblCellMar>
        </w:tblPrEx>
        <w:trPr>
          <w:jc w:val="center"/>
        </w:trPr>
        <w:tc>
          <w:tcPr>
            <w:tcW w:w="3859" w:type="dxa"/>
            <w:gridSpan w:val="3"/>
            <w:tcBorders>
              <w:top w:val="nil"/>
              <w:left w:val="single" w:color="auto" w:sz="6" w:space="0"/>
              <w:bottom w:val="single" w:color="auto" w:sz="6" w:space="0"/>
              <w:right w:val="single" w:color="auto" w:sz="6" w:space="0"/>
            </w:tcBorders>
            <w:vAlign w:val="center"/>
          </w:tcPr>
          <w:p w14:paraId="70599158">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二、上年结转政府信息公开申请数量</w:t>
            </w:r>
          </w:p>
        </w:tc>
        <w:tc>
          <w:tcPr>
            <w:tcW w:w="517" w:type="dxa"/>
            <w:tcBorders>
              <w:top w:val="nil"/>
              <w:left w:val="nil"/>
              <w:bottom w:val="single" w:color="auto" w:sz="6" w:space="0"/>
              <w:right w:val="single" w:color="auto" w:sz="6" w:space="0"/>
            </w:tcBorders>
            <w:vAlign w:val="center"/>
          </w:tcPr>
          <w:p w14:paraId="23B7999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A4409D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61A4453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D0E425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6D943D6E">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1AEC27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662C7E9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3B5016ED">
        <w:tblPrEx>
          <w:tblCellMar>
            <w:top w:w="0" w:type="dxa"/>
            <w:left w:w="0" w:type="dxa"/>
            <w:bottom w:w="0" w:type="dxa"/>
            <w:right w:w="0" w:type="dxa"/>
          </w:tblCellMar>
        </w:tblPrEx>
        <w:trPr>
          <w:jc w:val="center"/>
        </w:trPr>
        <w:tc>
          <w:tcPr>
            <w:tcW w:w="858" w:type="dxa"/>
            <w:vMerge w:val="restart"/>
            <w:tcBorders>
              <w:top w:val="nil"/>
              <w:left w:val="single" w:color="auto" w:sz="6" w:space="0"/>
              <w:bottom w:val="single" w:color="auto" w:sz="6" w:space="0"/>
              <w:right w:val="single" w:color="auto" w:sz="6" w:space="0"/>
            </w:tcBorders>
            <w:vAlign w:val="center"/>
          </w:tcPr>
          <w:p w14:paraId="5BD7ED0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三、本年度办理结果</w:t>
            </w:r>
          </w:p>
        </w:tc>
        <w:tc>
          <w:tcPr>
            <w:tcW w:w="3001" w:type="dxa"/>
            <w:gridSpan w:val="2"/>
            <w:tcBorders>
              <w:top w:val="nil"/>
              <w:left w:val="nil"/>
              <w:bottom w:val="single" w:color="auto" w:sz="6" w:space="0"/>
              <w:right w:val="single" w:color="auto" w:sz="6" w:space="0"/>
            </w:tcBorders>
            <w:vAlign w:val="center"/>
          </w:tcPr>
          <w:p w14:paraId="101E1FCE">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（一）予以公开</w:t>
            </w:r>
          </w:p>
        </w:tc>
        <w:tc>
          <w:tcPr>
            <w:tcW w:w="517" w:type="dxa"/>
            <w:tcBorders>
              <w:top w:val="nil"/>
              <w:left w:val="nil"/>
              <w:bottom w:val="single" w:color="auto" w:sz="6" w:space="0"/>
              <w:right w:val="single" w:color="auto" w:sz="6" w:space="0"/>
            </w:tcBorders>
            <w:vAlign w:val="center"/>
          </w:tcPr>
          <w:p w14:paraId="6AE49BB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F3C98B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172191E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C2E635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555134E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027B29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single" w:color="auto" w:sz="6" w:space="0"/>
              <w:left w:val="nil"/>
              <w:bottom w:val="single" w:color="auto" w:sz="6" w:space="0"/>
              <w:right w:val="single" w:color="auto" w:sz="6" w:space="0"/>
            </w:tcBorders>
            <w:vAlign w:val="center"/>
          </w:tcPr>
          <w:p w14:paraId="0116928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6</w:t>
            </w:r>
          </w:p>
        </w:tc>
      </w:tr>
      <w:tr w14:paraId="57EA8C2C">
        <w:tblPrEx>
          <w:tblCellMar>
            <w:top w:w="0" w:type="dxa"/>
            <w:left w:w="0" w:type="dxa"/>
            <w:bottom w:w="0" w:type="dxa"/>
            <w:right w:w="0" w:type="dxa"/>
          </w:tblCellMar>
        </w:tblPrEx>
        <w:trPr>
          <w:trHeight w:val="1041" w:hRule="atLeast"/>
          <w:jc w:val="center"/>
        </w:trPr>
        <w:tc>
          <w:tcPr>
            <w:tcW w:w="858" w:type="dxa"/>
            <w:vMerge w:val="continue"/>
            <w:tcBorders>
              <w:top w:val="nil"/>
              <w:left w:val="single" w:color="auto" w:sz="6" w:space="0"/>
              <w:bottom w:val="single" w:color="auto" w:sz="6" w:space="0"/>
              <w:right w:val="single" w:color="auto" w:sz="6" w:space="0"/>
            </w:tcBorders>
            <w:vAlign w:val="center"/>
          </w:tcPr>
          <w:p w14:paraId="1C37139F">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3001" w:type="dxa"/>
            <w:gridSpan w:val="2"/>
            <w:tcBorders>
              <w:top w:val="nil"/>
              <w:left w:val="nil"/>
              <w:bottom w:val="single" w:color="auto" w:sz="6" w:space="0"/>
              <w:right w:val="single" w:color="auto" w:sz="6" w:space="0"/>
            </w:tcBorders>
            <w:vAlign w:val="center"/>
          </w:tcPr>
          <w:p w14:paraId="0F2210D8">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（二）部分公开（区分处理的，只计这一情形，不计其他情形）</w:t>
            </w:r>
          </w:p>
        </w:tc>
        <w:tc>
          <w:tcPr>
            <w:tcW w:w="517" w:type="dxa"/>
            <w:tcBorders>
              <w:top w:val="nil"/>
              <w:left w:val="nil"/>
              <w:bottom w:val="single" w:color="auto" w:sz="6" w:space="0"/>
              <w:right w:val="single" w:color="auto" w:sz="6" w:space="0"/>
            </w:tcBorders>
            <w:vAlign w:val="center"/>
          </w:tcPr>
          <w:p w14:paraId="6F22046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6AF201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37F10BF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C68A0F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0384D25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4715CB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47EB1E2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1</w:t>
            </w:r>
          </w:p>
        </w:tc>
      </w:tr>
      <w:tr w14:paraId="679C20A2">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4533F75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restart"/>
            <w:tcBorders>
              <w:top w:val="nil"/>
              <w:left w:val="nil"/>
              <w:bottom w:val="single" w:color="auto" w:sz="6" w:space="0"/>
              <w:right w:val="single" w:color="auto" w:sz="6" w:space="0"/>
            </w:tcBorders>
            <w:vAlign w:val="center"/>
          </w:tcPr>
          <w:p w14:paraId="0D66880F">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（三）不予公开</w:t>
            </w:r>
          </w:p>
        </w:tc>
        <w:tc>
          <w:tcPr>
            <w:tcW w:w="1832" w:type="dxa"/>
            <w:tcBorders>
              <w:top w:val="nil"/>
              <w:left w:val="nil"/>
              <w:bottom w:val="single" w:color="auto" w:sz="6" w:space="0"/>
              <w:right w:val="single" w:color="auto" w:sz="6" w:space="0"/>
            </w:tcBorders>
            <w:vAlign w:val="center"/>
          </w:tcPr>
          <w:p w14:paraId="1EB5CE3A">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1.属于国家秘密</w:t>
            </w:r>
          </w:p>
        </w:tc>
        <w:tc>
          <w:tcPr>
            <w:tcW w:w="517" w:type="dxa"/>
            <w:tcBorders>
              <w:top w:val="nil"/>
              <w:left w:val="nil"/>
              <w:bottom w:val="single" w:color="auto" w:sz="6" w:space="0"/>
              <w:right w:val="single" w:color="auto" w:sz="6" w:space="0"/>
            </w:tcBorders>
            <w:vAlign w:val="center"/>
          </w:tcPr>
          <w:p w14:paraId="0DDEDAF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901AE0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7307A82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78A8D56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18B8DF2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786CC2A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single" w:color="auto" w:sz="6" w:space="0"/>
              <w:left w:val="nil"/>
              <w:bottom w:val="single" w:color="auto" w:sz="6" w:space="0"/>
              <w:right w:val="single" w:color="auto" w:sz="6" w:space="0"/>
            </w:tcBorders>
            <w:vAlign w:val="center"/>
          </w:tcPr>
          <w:p w14:paraId="77B8524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1</w:t>
            </w:r>
          </w:p>
        </w:tc>
      </w:tr>
      <w:tr w14:paraId="1034633B">
        <w:tblPrEx>
          <w:tblCellMar>
            <w:top w:w="0" w:type="dxa"/>
            <w:left w:w="0" w:type="dxa"/>
            <w:bottom w:w="0" w:type="dxa"/>
            <w:right w:w="0" w:type="dxa"/>
          </w:tblCellMar>
        </w:tblPrEx>
        <w:trPr>
          <w:trHeight w:val="791" w:hRule="atLeast"/>
          <w:jc w:val="center"/>
        </w:trPr>
        <w:tc>
          <w:tcPr>
            <w:tcW w:w="858" w:type="dxa"/>
            <w:vMerge w:val="continue"/>
            <w:tcBorders>
              <w:top w:val="nil"/>
              <w:left w:val="single" w:color="auto" w:sz="6" w:space="0"/>
              <w:bottom w:val="single" w:color="auto" w:sz="6" w:space="0"/>
              <w:right w:val="single" w:color="auto" w:sz="6" w:space="0"/>
            </w:tcBorders>
            <w:vAlign w:val="center"/>
          </w:tcPr>
          <w:p w14:paraId="76D8DA3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02A093FE">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4B41409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2.其他法律行政法规禁止公开</w:t>
            </w:r>
          </w:p>
        </w:tc>
        <w:tc>
          <w:tcPr>
            <w:tcW w:w="517" w:type="dxa"/>
            <w:tcBorders>
              <w:top w:val="nil"/>
              <w:left w:val="nil"/>
              <w:bottom w:val="single" w:color="auto" w:sz="6" w:space="0"/>
              <w:right w:val="single" w:color="auto" w:sz="6" w:space="0"/>
            </w:tcBorders>
            <w:vAlign w:val="center"/>
          </w:tcPr>
          <w:p w14:paraId="06C9F38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F8BF15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541A3E5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4A2AAB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16D0A28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AAF623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1A321EF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7B86AA75">
        <w:tblPrEx>
          <w:tblCellMar>
            <w:top w:w="0" w:type="dxa"/>
            <w:left w:w="0" w:type="dxa"/>
            <w:bottom w:w="0" w:type="dxa"/>
            <w:right w:w="0" w:type="dxa"/>
          </w:tblCellMar>
        </w:tblPrEx>
        <w:trPr>
          <w:trHeight w:val="690" w:hRule="atLeast"/>
          <w:jc w:val="center"/>
        </w:trPr>
        <w:tc>
          <w:tcPr>
            <w:tcW w:w="858" w:type="dxa"/>
            <w:vMerge w:val="continue"/>
            <w:tcBorders>
              <w:top w:val="nil"/>
              <w:left w:val="single" w:color="auto" w:sz="6" w:space="0"/>
              <w:bottom w:val="single" w:color="auto" w:sz="6" w:space="0"/>
              <w:right w:val="single" w:color="auto" w:sz="6" w:space="0"/>
            </w:tcBorders>
            <w:vAlign w:val="center"/>
          </w:tcPr>
          <w:p w14:paraId="2E21330B">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35317D8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74204783">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3.危及“三安全一稳定”</w:t>
            </w:r>
          </w:p>
        </w:tc>
        <w:tc>
          <w:tcPr>
            <w:tcW w:w="517" w:type="dxa"/>
            <w:tcBorders>
              <w:top w:val="nil"/>
              <w:left w:val="nil"/>
              <w:bottom w:val="single" w:color="auto" w:sz="6" w:space="0"/>
              <w:right w:val="single" w:color="auto" w:sz="6" w:space="0"/>
            </w:tcBorders>
            <w:vAlign w:val="center"/>
          </w:tcPr>
          <w:p w14:paraId="6DC1C9A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B891E2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6BCDEBF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6D4D220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22B2117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92AF43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4F776B9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11ADEF62">
        <w:tblPrEx>
          <w:tblCellMar>
            <w:top w:w="0" w:type="dxa"/>
            <w:left w:w="0" w:type="dxa"/>
            <w:bottom w:w="0" w:type="dxa"/>
            <w:right w:w="0" w:type="dxa"/>
          </w:tblCellMar>
        </w:tblPrEx>
        <w:trPr>
          <w:trHeight w:val="836" w:hRule="atLeast"/>
          <w:jc w:val="center"/>
        </w:trPr>
        <w:tc>
          <w:tcPr>
            <w:tcW w:w="858" w:type="dxa"/>
            <w:vMerge w:val="continue"/>
            <w:tcBorders>
              <w:top w:val="nil"/>
              <w:left w:val="single" w:color="auto" w:sz="6" w:space="0"/>
              <w:bottom w:val="single" w:color="auto" w:sz="6" w:space="0"/>
              <w:right w:val="single" w:color="auto" w:sz="6" w:space="0"/>
            </w:tcBorders>
            <w:vAlign w:val="center"/>
          </w:tcPr>
          <w:p w14:paraId="6A61AAB3">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194DB016">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4AA88D3D">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4.保护第三方合法权益</w:t>
            </w:r>
          </w:p>
        </w:tc>
        <w:tc>
          <w:tcPr>
            <w:tcW w:w="517" w:type="dxa"/>
            <w:tcBorders>
              <w:top w:val="nil"/>
              <w:left w:val="nil"/>
              <w:bottom w:val="single" w:color="auto" w:sz="6" w:space="0"/>
              <w:right w:val="single" w:color="auto" w:sz="6" w:space="0"/>
            </w:tcBorders>
            <w:vAlign w:val="center"/>
          </w:tcPr>
          <w:p w14:paraId="067C337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57789E8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583FA21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737B34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5539547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7A57FC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542AD27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5036F22B">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093D84EA">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0BAF4174">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571361B2">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5.属于三类内部事务信息</w:t>
            </w:r>
          </w:p>
        </w:tc>
        <w:tc>
          <w:tcPr>
            <w:tcW w:w="517" w:type="dxa"/>
            <w:tcBorders>
              <w:top w:val="nil"/>
              <w:left w:val="nil"/>
              <w:bottom w:val="single" w:color="auto" w:sz="6" w:space="0"/>
              <w:right w:val="single" w:color="auto" w:sz="6" w:space="0"/>
            </w:tcBorders>
            <w:vAlign w:val="center"/>
          </w:tcPr>
          <w:p w14:paraId="00737E0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F66B5D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6F1D981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1CB2E22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5D886C7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54891EE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57F8909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4D9F9CB2">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1AA3CE8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4694384C">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0347A3D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6.属于四类过程性信息</w:t>
            </w:r>
          </w:p>
        </w:tc>
        <w:tc>
          <w:tcPr>
            <w:tcW w:w="517" w:type="dxa"/>
            <w:tcBorders>
              <w:top w:val="nil"/>
              <w:left w:val="nil"/>
              <w:bottom w:val="single" w:color="auto" w:sz="6" w:space="0"/>
              <w:right w:val="single" w:color="auto" w:sz="6" w:space="0"/>
            </w:tcBorders>
            <w:vAlign w:val="center"/>
          </w:tcPr>
          <w:p w14:paraId="1F155A1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67447E9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1B7A320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BDE690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394C6F2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25935F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73D4A2E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7FF53FC9">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7592D540">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4D8389BA">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7BBE919D">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7.属于行政执法案卷</w:t>
            </w:r>
          </w:p>
        </w:tc>
        <w:tc>
          <w:tcPr>
            <w:tcW w:w="517" w:type="dxa"/>
            <w:tcBorders>
              <w:top w:val="nil"/>
              <w:left w:val="nil"/>
              <w:bottom w:val="single" w:color="auto" w:sz="6" w:space="0"/>
              <w:right w:val="single" w:color="auto" w:sz="6" w:space="0"/>
            </w:tcBorders>
            <w:vAlign w:val="center"/>
          </w:tcPr>
          <w:p w14:paraId="5174883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63DD89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225DCA8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7EB517E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52F8F76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20A445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2DDAED7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7DE0C540">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603756D8">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30A29881">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6E4C65E1">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8.属于行政查询事项</w:t>
            </w:r>
          </w:p>
        </w:tc>
        <w:tc>
          <w:tcPr>
            <w:tcW w:w="517" w:type="dxa"/>
            <w:tcBorders>
              <w:top w:val="nil"/>
              <w:left w:val="nil"/>
              <w:bottom w:val="single" w:color="auto" w:sz="6" w:space="0"/>
              <w:right w:val="single" w:color="auto" w:sz="6" w:space="0"/>
            </w:tcBorders>
            <w:vAlign w:val="center"/>
          </w:tcPr>
          <w:p w14:paraId="6550B5C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F6482F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1C60E4E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CB6438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5FFB275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DB5C17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34D0723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24551D93">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76A36C11">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restart"/>
            <w:tcBorders>
              <w:top w:val="nil"/>
              <w:left w:val="nil"/>
              <w:bottom w:val="single" w:color="auto" w:sz="6" w:space="0"/>
              <w:right w:val="single" w:color="auto" w:sz="6" w:space="0"/>
            </w:tcBorders>
            <w:vAlign w:val="center"/>
          </w:tcPr>
          <w:p w14:paraId="6F9D1B8A">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（四）无法提供</w:t>
            </w:r>
          </w:p>
        </w:tc>
        <w:tc>
          <w:tcPr>
            <w:tcW w:w="1832" w:type="dxa"/>
            <w:tcBorders>
              <w:top w:val="nil"/>
              <w:left w:val="nil"/>
              <w:bottom w:val="single" w:color="auto" w:sz="6" w:space="0"/>
              <w:right w:val="single" w:color="auto" w:sz="6" w:space="0"/>
            </w:tcBorders>
            <w:vAlign w:val="center"/>
          </w:tcPr>
          <w:p w14:paraId="508BF405">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1.本机关不掌握相关政府信息</w:t>
            </w:r>
          </w:p>
        </w:tc>
        <w:tc>
          <w:tcPr>
            <w:tcW w:w="517" w:type="dxa"/>
            <w:tcBorders>
              <w:top w:val="nil"/>
              <w:left w:val="nil"/>
              <w:bottom w:val="single" w:color="auto" w:sz="6" w:space="0"/>
              <w:right w:val="single" w:color="auto" w:sz="6" w:space="0"/>
            </w:tcBorders>
            <w:vAlign w:val="center"/>
          </w:tcPr>
          <w:p w14:paraId="4C9C9C5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1B1113D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28C66C4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68659A2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1D28E4C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6F8C48A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399500A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20236501">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05019E34">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67E0E7F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7841F677">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2.没有现成信息需要另行制作</w:t>
            </w:r>
          </w:p>
        </w:tc>
        <w:tc>
          <w:tcPr>
            <w:tcW w:w="517" w:type="dxa"/>
            <w:tcBorders>
              <w:top w:val="nil"/>
              <w:left w:val="nil"/>
              <w:bottom w:val="single" w:color="auto" w:sz="6" w:space="0"/>
              <w:right w:val="single" w:color="auto" w:sz="6" w:space="0"/>
            </w:tcBorders>
            <w:vAlign w:val="center"/>
          </w:tcPr>
          <w:p w14:paraId="36E8094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04A30C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235D01B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B93AD8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34D4F6C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5B49549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4443599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4BD0D986">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5D147610">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2AC2578D">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65013F9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3.补正后申请内容仍不明确</w:t>
            </w:r>
          </w:p>
        </w:tc>
        <w:tc>
          <w:tcPr>
            <w:tcW w:w="517" w:type="dxa"/>
            <w:tcBorders>
              <w:top w:val="nil"/>
              <w:left w:val="nil"/>
              <w:bottom w:val="single" w:color="auto" w:sz="6" w:space="0"/>
              <w:right w:val="single" w:color="auto" w:sz="6" w:space="0"/>
            </w:tcBorders>
            <w:vAlign w:val="center"/>
          </w:tcPr>
          <w:p w14:paraId="5A91CD6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E1E517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247DB37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131C4FD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71C03DC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A004AF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7E612D9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31C36E6E">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059F0B80">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restart"/>
            <w:tcBorders>
              <w:top w:val="nil"/>
              <w:left w:val="nil"/>
              <w:bottom w:val="single" w:color="auto" w:sz="6" w:space="0"/>
              <w:right w:val="single" w:color="auto" w:sz="6" w:space="0"/>
            </w:tcBorders>
            <w:vAlign w:val="center"/>
          </w:tcPr>
          <w:p w14:paraId="5757A724">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（五）不予处理</w:t>
            </w:r>
          </w:p>
        </w:tc>
        <w:tc>
          <w:tcPr>
            <w:tcW w:w="1832" w:type="dxa"/>
            <w:tcBorders>
              <w:top w:val="nil"/>
              <w:left w:val="nil"/>
              <w:bottom w:val="single" w:color="auto" w:sz="6" w:space="0"/>
              <w:right w:val="single" w:color="auto" w:sz="6" w:space="0"/>
            </w:tcBorders>
            <w:vAlign w:val="center"/>
          </w:tcPr>
          <w:p w14:paraId="745937AC">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1.信访举报投诉类申请</w:t>
            </w:r>
          </w:p>
        </w:tc>
        <w:tc>
          <w:tcPr>
            <w:tcW w:w="517" w:type="dxa"/>
            <w:tcBorders>
              <w:top w:val="nil"/>
              <w:left w:val="nil"/>
              <w:bottom w:val="single" w:color="auto" w:sz="6" w:space="0"/>
              <w:right w:val="single" w:color="auto" w:sz="6" w:space="0"/>
            </w:tcBorders>
            <w:vAlign w:val="center"/>
          </w:tcPr>
          <w:p w14:paraId="447317F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650F319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4592D80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9D173C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57E88A3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16C85D8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0A25621E">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71FF975D">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42A0C127">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6FA1AB8B">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33092D7E">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2.重复申请</w:t>
            </w:r>
          </w:p>
        </w:tc>
        <w:tc>
          <w:tcPr>
            <w:tcW w:w="517" w:type="dxa"/>
            <w:tcBorders>
              <w:top w:val="nil"/>
              <w:left w:val="nil"/>
              <w:bottom w:val="single" w:color="auto" w:sz="6" w:space="0"/>
              <w:right w:val="single" w:color="auto" w:sz="6" w:space="0"/>
            </w:tcBorders>
            <w:vAlign w:val="center"/>
          </w:tcPr>
          <w:p w14:paraId="3C7E76B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5FB1AD7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752A9ED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F3CDD3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06E89C2E">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4B6B8C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43E19F5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311329F2">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7C362792">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0DFEA092">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1C039C6C">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3.要求提供公开出版物</w:t>
            </w:r>
          </w:p>
        </w:tc>
        <w:tc>
          <w:tcPr>
            <w:tcW w:w="517" w:type="dxa"/>
            <w:tcBorders>
              <w:top w:val="nil"/>
              <w:left w:val="nil"/>
              <w:bottom w:val="single" w:color="auto" w:sz="6" w:space="0"/>
              <w:right w:val="single" w:color="auto" w:sz="6" w:space="0"/>
            </w:tcBorders>
            <w:vAlign w:val="center"/>
          </w:tcPr>
          <w:p w14:paraId="2AD5126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BD3997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0E338CB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0A72622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263686D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1116D14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67C7904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0B18C1D7">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4FC8497B">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13E32D82">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7D18F52F">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4.无正当理由大量反复申请</w:t>
            </w:r>
          </w:p>
        </w:tc>
        <w:tc>
          <w:tcPr>
            <w:tcW w:w="517" w:type="dxa"/>
            <w:tcBorders>
              <w:top w:val="nil"/>
              <w:left w:val="nil"/>
              <w:bottom w:val="single" w:color="auto" w:sz="6" w:space="0"/>
              <w:right w:val="single" w:color="auto" w:sz="6" w:space="0"/>
            </w:tcBorders>
            <w:vAlign w:val="center"/>
          </w:tcPr>
          <w:p w14:paraId="469A214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FE9670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61D1CFF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BA7B64E">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724C936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9D9DAA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25EEA24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3D0401CE">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02F9B314">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169" w:type="dxa"/>
            <w:vMerge w:val="continue"/>
            <w:tcBorders>
              <w:top w:val="nil"/>
              <w:left w:val="nil"/>
              <w:bottom w:val="single" w:color="auto" w:sz="6" w:space="0"/>
              <w:right w:val="single" w:color="auto" w:sz="6" w:space="0"/>
            </w:tcBorders>
            <w:vAlign w:val="center"/>
          </w:tcPr>
          <w:p w14:paraId="33420C4E">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1832" w:type="dxa"/>
            <w:tcBorders>
              <w:top w:val="nil"/>
              <w:left w:val="nil"/>
              <w:bottom w:val="single" w:color="auto" w:sz="6" w:space="0"/>
              <w:right w:val="single" w:color="auto" w:sz="6" w:space="0"/>
            </w:tcBorders>
            <w:vAlign w:val="center"/>
          </w:tcPr>
          <w:p w14:paraId="23541688">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5.要求行政机关确认或重新出具已获取信息</w:t>
            </w:r>
          </w:p>
        </w:tc>
        <w:tc>
          <w:tcPr>
            <w:tcW w:w="517" w:type="dxa"/>
            <w:tcBorders>
              <w:top w:val="nil"/>
              <w:left w:val="nil"/>
              <w:bottom w:val="single" w:color="auto" w:sz="6" w:space="0"/>
              <w:right w:val="single" w:color="auto" w:sz="6" w:space="0"/>
            </w:tcBorders>
            <w:vAlign w:val="center"/>
          </w:tcPr>
          <w:p w14:paraId="694B3FF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71A688A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7C9AA90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F4B1D0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1519D1B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2C6F18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701D76C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r w14:paraId="7E22C8DC">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096170EC">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3001" w:type="dxa"/>
            <w:gridSpan w:val="2"/>
            <w:tcBorders>
              <w:top w:val="nil"/>
              <w:left w:val="nil"/>
              <w:bottom w:val="single" w:color="auto" w:sz="6" w:space="0"/>
              <w:right w:val="single" w:color="auto" w:sz="6" w:space="0"/>
            </w:tcBorders>
            <w:vAlign w:val="center"/>
          </w:tcPr>
          <w:p w14:paraId="2A82277C">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（六）其他处理</w:t>
            </w:r>
          </w:p>
        </w:tc>
        <w:tc>
          <w:tcPr>
            <w:tcW w:w="517" w:type="dxa"/>
            <w:tcBorders>
              <w:top w:val="nil"/>
              <w:left w:val="nil"/>
              <w:bottom w:val="single" w:color="auto" w:sz="6" w:space="0"/>
              <w:right w:val="single" w:color="auto" w:sz="6" w:space="0"/>
            </w:tcBorders>
            <w:vAlign w:val="center"/>
          </w:tcPr>
          <w:p w14:paraId="4B041DB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7A47B09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1F2F91A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AF6C73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7675AC5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FC17FC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45E9C81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1</w:t>
            </w:r>
          </w:p>
        </w:tc>
      </w:tr>
      <w:tr w14:paraId="2A232506">
        <w:tblPrEx>
          <w:tblCellMar>
            <w:top w:w="0" w:type="dxa"/>
            <w:left w:w="0" w:type="dxa"/>
            <w:bottom w:w="0" w:type="dxa"/>
            <w:right w:w="0" w:type="dxa"/>
          </w:tblCellMar>
        </w:tblPrEx>
        <w:trPr>
          <w:jc w:val="center"/>
        </w:trPr>
        <w:tc>
          <w:tcPr>
            <w:tcW w:w="858" w:type="dxa"/>
            <w:vMerge w:val="continue"/>
            <w:tcBorders>
              <w:top w:val="nil"/>
              <w:left w:val="single" w:color="auto" w:sz="6" w:space="0"/>
              <w:bottom w:val="single" w:color="auto" w:sz="6" w:space="0"/>
              <w:right w:val="single" w:color="auto" w:sz="6" w:space="0"/>
            </w:tcBorders>
            <w:vAlign w:val="center"/>
          </w:tcPr>
          <w:p w14:paraId="00B4EBA8">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p>
        </w:tc>
        <w:tc>
          <w:tcPr>
            <w:tcW w:w="3001" w:type="dxa"/>
            <w:gridSpan w:val="2"/>
            <w:tcBorders>
              <w:top w:val="nil"/>
              <w:left w:val="nil"/>
              <w:bottom w:val="single" w:color="auto" w:sz="6" w:space="0"/>
              <w:right w:val="single" w:color="auto" w:sz="6" w:space="0"/>
            </w:tcBorders>
            <w:vAlign w:val="center"/>
          </w:tcPr>
          <w:p w14:paraId="4E803EE7">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（七）总计</w:t>
            </w:r>
          </w:p>
        </w:tc>
        <w:tc>
          <w:tcPr>
            <w:tcW w:w="517" w:type="dxa"/>
            <w:tcBorders>
              <w:top w:val="nil"/>
              <w:left w:val="nil"/>
              <w:bottom w:val="single" w:color="auto" w:sz="6" w:space="0"/>
              <w:right w:val="single" w:color="auto" w:sz="6" w:space="0"/>
            </w:tcBorders>
            <w:vAlign w:val="center"/>
          </w:tcPr>
          <w:p w14:paraId="37A4521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9</w:t>
            </w:r>
          </w:p>
        </w:tc>
        <w:tc>
          <w:tcPr>
            <w:tcW w:w="567" w:type="dxa"/>
            <w:tcBorders>
              <w:top w:val="nil"/>
              <w:left w:val="nil"/>
              <w:bottom w:val="single" w:color="auto" w:sz="6" w:space="0"/>
              <w:right w:val="single" w:color="auto" w:sz="6" w:space="0"/>
            </w:tcBorders>
            <w:vAlign w:val="center"/>
          </w:tcPr>
          <w:p w14:paraId="24D912E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6E91F27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CBF128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2C4AE38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50D1151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07961BD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9</w:t>
            </w:r>
          </w:p>
        </w:tc>
      </w:tr>
      <w:tr w14:paraId="5960F9EF">
        <w:tblPrEx>
          <w:tblCellMar>
            <w:top w:w="0" w:type="dxa"/>
            <w:left w:w="0" w:type="dxa"/>
            <w:bottom w:w="0" w:type="dxa"/>
            <w:right w:w="0" w:type="dxa"/>
          </w:tblCellMar>
        </w:tblPrEx>
        <w:trPr>
          <w:jc w:val="center"/>
        </w:trPr>
        <w:tc>
          <w:tcPr>
            <w:tcW w:w="3859" w:type="dxa"/>
            <w:gridSpan w:val="3"/>
            <w:tcBorders>
              <w:top w:val="nil"/>
              <w:left w:val="single" w:color="auto" w:sz="6" w:space="0"/>
              <w:bottom w:val="single" w:color="auto" w:sz="6" w:space="0"/>
              <w:right w:val="single" w:color="auto" w:sz="6" w:space="0"/>
            </w:tcBorders>
            <w:vAlign w:val="center"/>
          </w:tcPr>
          <w:p w14:paraId="5E5FCBD7">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sz w:val="24"/>
                <w:szCs w:val="24"/>
              </w:rPr>
            </w:pPr>
            <w:r>
              <w:rPr>
                <w:rFonts w:hint="eastAsia" w:ascii="仿宋_GB2312" w:eastAsia="仿宋_GB2312"/>
                <w:sz w:val="24"/>
                <w:szCs w:val="24"/>
              </w:rPr>
              <w:t>四、结转下年度继续办理</w:t>
            </w:r>
          </w:p>
        </w:tc>
        <w:tc>
          <w:tcPr>
            <w:tcW w:w="517" w:type="dxa"/>
            <w:tcBorders>
              <w:top w:val="nil"/>
              <w:left w:val="nil"/>
              <w:bottom w:val="single" w:color="auto" w:sz="6" w:space="0"/>
              <w:right w:val="single" w:color="auto" w:sz="6" w:space="0"/>
            </w:tcBorders>
            <w:vAlign w:val="center"/>
          </w:tcPr>
          <w:p w14:paraId="1AF3526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21786BD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709" w:type="dxa"/>
            <w:tcBorders>
              <w:top w:val="nil"/>
              <w:left w:val="nil"/>
              <w:bottom w:val="single" w:color="auto" w:sz="6" w:space="0"/>
              <w:right w:val="single" w:color="auto" w:sz="6" w:space="0"/>
            </w:tcBorders>
            <w:vAlign w:val="center"/>
          </w:tcPr>
          <w:p w14:paraId="4340926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32A067E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851" w:type="dxa"/>
            <w:tcBorders>
              <w:top w:val="nil"/>
              <w:left w:val="nil"/>
              <w:bottom w:val="single" w:color="auto" w:sz="6" w:space="0"/>
              <w:right w:val="single" w:color="auto" w:sz="6" w:space="0"/>
            </w:tcBorders>
            <w:vAlign w:val="center"/>
          </w:tcPr>
          <w:p w14:paraId="2C5F4E2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67" w:type="dxa"/>
            <w:tcBorders>
              <w:top w:val="nil"/>
              <w:left w:val="nil"/>
              <w:bottom w:val="single" w:color="auto" w:sz="6" w:space="0"/>
              <w:right w:val="single" w:color="auto" w:sz="6" w:space="0"/>
            </w:tcBorders>
            <w:vAlign w:val="center"/>
          </w:tcPr>
          <w:p w14:paraId="48C6D4D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c>
          <w:tcPr>
            <w:tcW w:w="534" w:type="dxa"/>
            <w:tcBorders>
              <w:top w:val="nil"/>
              <w:left w:val="nil"/>
              <w:bottom w:val="single" w:color="auto" w:sz="6" w:space="0"/>
              <w:right w:val="single" w:color="auto" w:sz="6" w:space="0"/>
            </w:tcBorders>
            <w:vAlign w:val="center"/>
          </w:tcPr>
          <w:p w14:paraId="3FE1072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eastAsia="仿宋_GB2312"/>
                <w:sz w:val="24"/>
                <w:szCs w:val="24"/>
              </w:rPr>
            </w:pPr>
          </w:p>
        </w:tc>
      </w:tr>
    </w:tbl>
    <w:p w14:paraId="53688BB6">
      <w:pPr>
        <w:pStyle w:val="8"/>
        <w:keepNext w:val="0"/>
        <w:keepLines w:val="0"/>
        <w:pageBreakBefore w:val="0"/>
        <w:kinsoku/>
        <w:wordWrap/>
        <w:overflowPunct/>
        <w:topLinePunct w:val="0"/>
        <w:autoSpaceDE/>
        <w:autoSpaceDN/>
        <w:bidi w:val="0"/>
        <w:adjustRightInd/>
        <w:snapToGrid/>
        <w:spacing w:after="300" w:line="600" w:lineRule="exact"/>
        <w:ind w:firstLine="640" w:firstLineChars="200"/>
        <w:jc w:val="both"/>
        <w:textAlignment w:val="auto"/>
        <w:rPr>
          <w:rFonts w:hint="eastAsia" w:ascii="黑体" w:hAnsi="黑体" w:eastAsia="黑体" w:cs="Times New Roman"/>
          <w:kern w:val="2"/>
          <w:sz w:val="32"/>
          <w:szCs w:val="32"/>
        </w:rPr>
      </w:pPr>
      <w:r>
        <w:rPr>
          <w:rFonts w:hint="eastAsia" w:ascii="黑体" w:hAnsi="黑体" w:eastAsia="黑体" w:cs="Times New Roman"/>
          <w:kern w:val="2"/>
          <w:sz w:val="32"/>
          <w:szCs w:val="32"/>
        </w:rPr>
        <w:t>四、信息公开行政复议和行政诉讼情况</w:t>
      </w:r>
    </w:p>
    <w:tbl>
      <w:tblPr>
        <w:tblStyle w:val="9"/>
        <w:tblW w:w="8130" w:type="dxa"/>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
        <w:gridCol w:w="425"/>
        <w:gridCol w:w="567"/>
        <w:gridCol w:w="567"/>
        <w:gridCol w:w="305"/>
        <w:gridCol w:w="536"/>
        <w:gridCol w:w="536"/>
        <w:gridCol w:w="536"/>
        <w:gridCol w:w="680"/>
        <w:gridCol w:w="680"/>
        <w:gridCol w:w="646"/>
        <w:gridCol w:w="556"/>
        <w:gridCol w:w="557"/>
        <w:gridCol w:w="557"/>
        <w:gridCol w:w="557"/>
      </w:tblGrid>
      <w:tr w14:paraId="6511B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gridSpan w:val="5"/>
            <w:vAlign w:val="center"/>
          </w:tcPr>
          <w:p w14:paraId="4B5B2B6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行政复议</w:t>
            </w:r>
          </w:p>
        </w:tc>
        <w:tc>
          <w:tcPr>
            <w:tcW w:w="5841" w:type="dxa"/>
            <w:gridSpan w:val="10"/>
            <w:vAlign w:val="center"/>
          </w:tcPr>
          <w:p w14:paraId="58C722BF">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行政诉讼</w:t>
            </w:r>
          </w:p>
        </w:tc>
      </w:tr>
      <w:tr w14:paraId="50678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 w:type="dxa"/>
            <w:vMerge w:val="restart"/>
            <w:vAlign w:val="center"/>
          </w:tcPr>
          <w:p w14:paraId="69831B8E">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结果维持</w:t>
            </w:r>
          </w:p>
        </w:tc>
        <w:tc>
          <w:tcPr>
            <w:tcW w:w="425" w:type="dxa"/>
            <w:vMerge w:val="restart"/>
            <w:vAlign w:val="center"/>
          </w:tcPr>
          <w:p w14:paraId="40F4ACF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结果纠正</w:t>
            </w:r>
          </w:p>
        </w:tc>
        <w:tc>
          <w:tcPr>
            <w:tcW w:w="567" w:type="dxa"/>
            <w:vMerge w:val="restart"/>
            <w:vAlign w:val="center"/>
          </w:tcPr>
          <w:p w14:paraId="26DABF8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其他结果</w:t>
            </w:r>
          </w:p>
        </w:tc>
        <w:tc>
          <w:tcPr>
            <w:tcW w:w="567" w:type="dxa"/>
            <w:vMerge w:val="restart"/>
            <w:vAlign w:val="center"/>
          </w:tcPr>
          <w:p w14:paraId="2A9C7A1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尚未审结</w:t>
            </w:r>
          </w:p>
        </w:tc>
        <w:tc>
          <w:tcPr>
            <w:tcW w:w="305" w:type="dxa"/>
            <w:vMerge w:val="restart"/>
            <w:vAlign w:val="center"/>
          </w:tcPr>
          <w:p w14:paraId="26AE937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总计</w:t>
            </w:r>
          </w:p>
        </w:tc>
        <w:tc>
          <w:tcPr>
            <w:tcW w:w="2968" w:type="dxa"/>
            <w:gridSpan w:val="5"/>
            <w:vAlign w:val="center"/>
          </w:tcPr>
          <w:p w14:paraId="2657FB5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未经复议直接起诉</w:t>
            </w:r>
          </w:p>
        </w:tc>
        <w:tc>
          <w:tcPr>
            <w:tcW w:w="2873" w:type="dxa"/>
            <w:gridSpan w:val="5"/>
            <w:vAlign w:val="center"/>
          </w:tcPr>
          <w:p w14:paraId="230D90B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复议后起诉</w:t>
            </w:r>
          </w:p>
        </w:tc>
      </w:tr>
      <w:tr w14:paraId="257B5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 w:type="dxa"/>
            <w:vMerge w:val="continue"/>
            <w:vAlign w:val="center"/>
          </w:tcPr>
          <w:p w14:paraId="06270FE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425" w:type="dxa"/>
            <w:vMerge w:val="continue"/>
            <w:vAlign w:val="center"/>
          </w:tcPr>
          <w:p w14:paraId="752AAEED">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67" w:type="dxa"/>
            <w:vMerge w:val="continue"/>
            <w:vAlign w:val="center"/>
          </w:tcPr>
          <w:p w14:paraId="5C17858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67" w:type="dxa"/>
            <w:vMerge w:val="continue"/>
            <w:vAlign w:val="center"/>
          </w:tcPr>
          <w:p w14:paraId="7A69068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305" w:type="dxa"/>
            <w:vMerge w:val="continue"/>
            <w:vAlign w:val="center"/>
          </w:tcPr>
          <w:p w14:paraId="7C28A62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36" w:type="dxa"/>
            <w:vAlign w:val="center"/>
          </w:tcPr>
          <w:p w14:paraId="65489BB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结果维持</w:t>
            </w:r>
          </w:p>
        </w:tc>
        <w:tc>
          <w:tcPr>
            <w:tcW w:w="536" w:type="dxa"/>
            <w:vAlign w:val="center"/>
          </w:tcPr>
          <w:p w14:paraId="1E724F46">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结果纠正</w:t>
            </w:r>
          </w:p>
        </w:tc>
        <w:tc>
          <w:tcPr>
            <w:tcW w:w="536" w:type="dxa"/>
            <w:vAlign w:val="center"/>
          </w:tcPr>
          <w:p w14:paraId="0F008DF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其他结果</w:t>
            </w:r>
          </w:p>
        </w:tc>
        <w:tc>
          <w:tcPr>
            <w:tcW w:w="680" w:type="dxa"/>
            <w:vAlign w:val="center"/>
          </w:tcPr>
          <w:p w14:paraId="2CA7A0B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尚未审结</w:t>
            </w:r>
          </w:p>
        </w:tc>
        <w:tc>
          <w:tcPr>
            <w:tcW w:w="680" w:type="dxa"/>
            <w:vAlign w:val="center"/>
          </w:tcPr>
          <w:p w14:paraId="1F6D6B1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总计</w:t>
            </w:r>
          </w:p>
        </w:tc>
        <w:tc>
          <w:tcPr>
            <w:tcW w:w="646" w:type="dxa"/>
            <w:vAlign w:val="center"/>
          </w:tcPr>
          <w:p w14:paraId="4112D56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结果维持</w:t>
            </w:r>
          </w:p>
        </w:tc>
        <w:tc>
          <w:tcPr>
            <w:tcW w:w="556" w:type="dxa"/>
            <w:vAlign w:val="center"/>
          </w:tcPr>
          <w:p w14:paraId="1F3FC984">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结果纠正</w:t>
            </w:r>
          </w:p>
        </w:tc>
        <w:tc>
          <w:tcPr>
            <w:tcW w:w="557" w:type="dxa"/>
            <w:vAlign w:val="center"/>
          </w:tcPr>
          <w:p w14:paraId="4DE6CA3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其他结果</w:t>
            </w:r>
          </w:p>
        </w:tc>
        <w:tc>
          <w:tcPr>
            <w:tcW w:w="557" w:type="dxa"/>
            <w:vAlign w:val="center"/>
          </w:tcPr>
          <w:p w14:paraId="075BC67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尚未审结</w:t>
            </w:r>
          </w:p>
        </w:tc>
        <w:tc>
          <w:tcPr>
            <w:tcW w:w="557" w:type="dxa"/>
            <w:vAlign w:val="center"/>
          </w:tcPr>
          <w:p w14:paraId="66BDAA85">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r>
              <w:rPr>
                <w:rFonts w:hint="eastAsia" w:ascii="仿宋_GB2312" w:hAnsi="黑体" w:eastAsia="仿宋_GB2312"/>
                <w:sz w:val="24"/>
                <w:szCs w:val="24"/>
              </w:rPr>
              <w:t>总计</w:t>
            </w:r>
          </w:p>
        </w:tc>
      </w:tr>
      <w:tr w14:paraId="065FC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 w:type="dxa"/>
            <w:vAlign w:val="center"/>
          </w:tcPr>
          <w:p w14:paraId="3599424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425" w:type="dxa"/>
            <w:vAlign w:val="center"/>
          </w:tcPr>
          <w:p w14:paraId="55104B0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67" w:type="dxa"/>
            <w:vAlign w:val="center"/>
          </w:tcPr>
          <w:p w14:paraId="7C5C4087">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67" w:type="dxa"/>
            <w:vAlign w:val="center"/>
          </w:tcPr>
          <w:p w14:paraId="4530D74A">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305" w:type="dxa"/>
            <w:vAlign w:val="center"/>
          </w:tcPr>
          <w:p w14:paraId="7B0180E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36" w:type="dxa"/>
            <w:vAlign w:val="center"/>
          </w:tcPr>
          <w:p w14:paraId="5672B300">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36" w:type="dxa"/>
            <w:vAlign w:val="center"/>
          </w:tcPr>
          <w:p w14:paraId="59E80C4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36" w:type="dxa"/>
            <w:vAlign w:val="center"/>
          </w:tcPr>
          <w:p w14:paraId="459BBF49">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lang w:val="en-US" w:eastAsia="zh-CN"/>
              </w:rPr>
            </w:pPr>
            <w:r>
              <w:rPr>
                <w:rFonts w:hint="eastAsia" w:ascii="仿宋_GB2312" w:hAnsi="黑体" w:eastAsia="仿宋_GB2312"/>
                <w:sz w:val="24"/>
                <w:szCs w:val="24"/>
                <w:lang w:val="en-US" w:eastAsia="zh-CN"/>
              </w:rPr>
              <w:t>1</w:t>
            </w:r>
          </w:p>
        </w:tc>
        <w:tc>
          <w:tcPr>
            <w:tcW w:w="680" w:type="dxa"/>
            <w:vAlign w:val="center"/>
          </w:tcPr>
          <w:p w14:paraId="51F535CE">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680" w:type="dxa"/>
            <w:vAlign w:val="center"/>
          </w:tcPr>
          <w:p w14:paraId="609F1C42">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lang w:val="en-US" w:eastAsia="zh-CN"/>
              </w:rPr>
            </w:pPr>
            <w:r>
              <w:rPr>
                <w:rFonts w:hint="eastAsia" w:ascii="仿宋_GB2312" w:hAnsi="黑体" w:eastAsia="仿宋_GB2312"/>
                <w:sz w:val="24"/>
                <w:szCs w:val="24"/>
                <w:lang w:val="en-US" w:eastAsia="zh-CN"/>
              </w:rPr>
              <w:t>1</w:t>
            </w:r>
          </w:p>
        </w:tc>
        <w:tc>
          <w:tcPr>
            <w:tcW w:w="646" w:type="dxa"/>
            <w:vAlign w:val="center"/>
          </w:tcPr>
          <w:p w14:paraId="25223CA8">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56" w:type="dxa"/>
            <w:vAlign w:val="center"/>
          </w:tcPr>
          <w:p w14:paraId="0539C8FC">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57" w:type="dxa"/>
            <w:vAlign w:val="center"/>
          </w:tcPr>
          <w:p w14:paraId="664E3A13">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57" w:type="dxa"/>
            <w:vAlign w:val="center"/>
          </w:tcPr>
          <w:p w14:paraId="18C5F681">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c>
          <w:tcPr>
            <w:tcW w:w="557" w:type="dxa"/>
            <w:vAlign w:val="center"/>
          </w:tcPr>
          <w:p w14:paraId="5C61F60B">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黑体" w:eastAsia="仿宋_GB2312"/>
                <w:sz w:val="24"/>
                <w:szCs w:val="24"/>
              </w:rPr>
            </w:pPr>
          </w:p>
        </w:tc>
      </w:tr>
    </w:tbl>
    <w:p w14:paraId="737AEC3F">
      <w:pPr>
        <w:keepNext w:val="0"/>
        <w:keepLines w:val="0"/>
        <w:pageBreakBefore w:val="0"/>
        <w:numPr>
          <w:ilvl w:val="0"/>
          <w:numId w:val="3"/>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存在的主要问题及改进情况</w:t>
      </w:r>
    </w:p>
    <w:p w14:paraId="24A3598E">
      <w:pPr>
        <w:pStyle w:val="2"/>
        <w:keepNext w:val="0"/>
        <w:keepLines w:val="0"/>
        <w:pageBreakBefore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2020年，我区政府信息公开在工委、管委的正确领导下，做了大量工作，取得了一定的成绩，</w:t>
      </w:r>
      <w:r>
        <w:rPr>
          <w:rFonts w:hint="eastAsia" w:ascii="仿宋_GB2312" w:hAnsi="黑体" w:eastAsia="仿宋_GB2312"/>
          <w:sz w:val="32"/>
          <w:szCs w:val="32"/>
        </w:rPr>
        <w:t>但也存在一些不足之处。</w:t>
      </w:r>
      <w:r>
        <w:rPr>
          <w:rFonts w:hint="eastAsia" w:ascii="仿宋_GB2312" w:hAnsi="黑体" w:eastAsia="仿宋_GB2312" w:cs="Times New Roman"/>
          <w:b/>
          <w:kern w:val="2"/>
          <w:sz w:val="32"/>
          <w:szCs w:val="32"/>
          <w:lang w:val="en-US" w:eastAsia="zh-CN" w:bidi="ar-SA"/>
        </w:rPr>
        <w:t>一是</w:t>
      </w:r>
      <w:r>
        <w:rPr>
          <w:rFonts w:hint="eastAsia" w:ascii="仿宋_GB2312" w:hAnsi="仿宋_GB2312" w:eastAsia="仿宋_GB2312" w:cs="仿宋_GB2312"/>
          <w:sz w:val="32"/>
          <w:szCs w:val="32"/>
          <w:lang w:val="en-US" w:eastAsia="zh-CN"/>
        </w:rPr>
        <w:t>工作任务重，信息公开不够全面，更新不及时。</w:t>
      </w:r>
      <w:r>
        <w:rPr>
          <w:rFonts w:hint="eastAsia" w:ascii="仿宋_GB2312" w:hAnsi="黑体" w:eastAsia="仿宋_GB2312" w:cs="Times New Roman"/>
          <w:b/>
          <w:kern w:val="2"/>
          <w:sz w:val="32"/>
          <w:szCs w:val="32"/>
          <w:lang w:val="en-US" w:eastAsia="zh-CN" w:bidi="ar-SA"/>
        </w:rPr>
        <w:t>二是</w:t>
      </w:r>
      <w:r>
        <w:rPr>
          <w:rFonts w:hint="eastAsia" w:ascii="仿宋_GB2312" w:hAnsi="仿宋_GB2312" w:eastAsia="仿宋_GB2312" w:cs="仿宋_GB2312"/>
          <w:sz w:val="32"/>
          <w:szCs w:val="32"/>
          <w:lang w:val="en-US" w:eastAsia="zh-CN"/>
        </w:rPr>
        <w:t>信息人员相对匮乏，上报信息量不足、内容还不够全面。为进一步促进政府信息公开工作，将在以下几点努力：</w:t>
      </w:r>
    </w:p>
    <w:p w14:paraId="6835E346">
      <w:pPr>
        <w:pStyle w:val="2"/>
        <w:keepNext w:val="0"/>
        <w:keepLines w:val="0"/>
        <w:pageBreakBefore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第一充实公开内容。按照“以公开为原则，不公开为例外”的总体要求，进一步完善主动公开的政府信息目录，确保应公开的政务信息全部公开。</w:t>
      </w:r>
    </w:p>
    <w:p w14:paraId="698AD2F6">
      <w:pPr>
        <w:pStyle w:val="2"/>
        <w:keepNext w:val="0"/>
        <w:keepLines w:val="0"/>
        <w:pageBreakBefore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健全规章制度。通过规章制度的建立健全，确保政府信息公开工作的制度化、规范化，做到信息公开及时、真实、完整。同时严把质量关、保密审查关，依据有关法律、法规严格审核公开内容，确保政府信息公开不影响国家安全、公共安全和社会稳定，真正体现公开、公平、公正。</w:t>
      </w:r>
    </w:p>
    <w:p w14:paraId="005D975B">
      <w:pPr>
        <w:pStyle w:val="2"/>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第三加强学习培训。充实政府信息公开工作队伍，争取增派专职人员。积极参与组织的各类学习培训，重点开展政府信息公开工作的学习培训，不断提升工作和服务水平；学习借鉴其他</w:t>
      </w:r>
      <w:r>
        <w:rPr>
          <w:rFonts w:hint="eastAsia" w:ascii="仿宋_GB2312" w:eastAsia="仿宋_GB2312"/>
          <w:color w:val="auto"/>
          <w:sz w:val="32"/>
          <w:szCs w:val="32"/>
        </w:rPr>
        <w:t>区县</w:t>
      </w:r>
      <w:r>
        <w:rPr>
          <w:rFonts w:hint="eastAsia" w:ascii="仿宋_GB2312" w:hAnsi="仿宋_GB2312" w:eastAsia="仿宋_GB2312" w:cs="仿宋_GB2312"/>
          <w:sz w:val="32"/>
          <w:szCs w:val="32"/>
          <w:lang w:val="en-US" w:eastAsia="zh-CN"/>
        </w:rPr>
        <w:t>的好做法，加强与相关部门的沟通，</w:t>
      </w:r>
      <w:r>
        <w:rPr>
          <w:rFonts w:hint="eastAsia" w:ascii="仿宋_GB2312" w:eastAsia="仿宋_GB2312"/>
          <w:color w:val="auto"/>
          <w:sz w:val="32"/>
          <w:szCs w:val="32"/>
        </w:rPr>
        <w:t>总结新经验</w:t>
      </w:r>
      <w:r>
        <w:rPr>
          <w:rFonts w:hint="eastAsia" w:ascii="仿宋_GB2312" w:eastAsia="仿宋_GB2312"/>
          <w:color w:val="auto"/>
          <w:sz w:val="32"/>
          <w:szCs w:val="32"/>
          <w:lang w:eastAsia="zh-CN"/>
        </w:rPr>
        <w:t>，</w:t>
      </w:r>
      <w:r>
        <w:rPr>
          <w:rFonts w:hint="eastAsia" w:ascii="仿宋_GB2312" w:hAnsi="仿宋_GB2312" w:eastAsia="仿宋_GB2312" w:cs="仿宋_GB2312"/>
          <w:sz w:val="32"/>
          <w:szCs w:val="32"/>
          <w:lang w:val="en-US" w:eastAsia="zh-CN"/>
        </w:rPr>
        <w:t xml:space="preserve">进一步提高政府信息公开工作水平。 </w:t>
      </w:r>
    </w:p>
    <w:p w14:paraId="555E64C3">
      <w:pPr>
        <w:pStyle w:val="2"/>
        <w:keepNext w:val="0"/>
        <w:keepLines w:val="0"/>
        <w:pageBreakBefore w:val="0"/>
        <w:kinsoku/>
        <w:wordWrap/>
        <w:overflowPunct/>
        <w:topLinePunct w:val="0"/>
        <w:autoSpaceDE/>
        <w:autoSpaceDN/>
        <w:bidi w:val="0"/>
        <w:adjustRightInd/>
        <w:snapToGrid/>
        <w:spacing w:line="600" w:lineRule="exact"/>
        <w:ind w:firstLine="64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bCs/>
          <w:kern w:val="2"/>
          <w:sz w:val="32"/>
          <w:szCs w:val="32"/>
          <w:lang w:val="en-US" w:eastAsia="zh-CN" w:bidi="ar-SA"/>
        </w:rPr>
        <w:t>第四</w:t>
      </w:r>
      <w:r>
        <w:rPr>
          <w:rFonts w:hint="eastAsia" w:ascii="仿宋_GB2312" w:hAnsi="仿宋_GB2312" w:eastAsia="仿宋_GB2312" w:cs="仿宋_GB2312"/>
          <w:b w:val="0"/>
          <w:bCs/>
          <w:sz w:val="32"/>
          <w:szCs w:val="32"/>
          <w:lang w:val="en-US" w:eastAsia="zh-CN"/>
        </w:rPr>
        <w:t>创新公</w:t>
      </w:r>
      <w:r>
        <w:rPr>
          <w:rFonts w:hint="eastAsia" w:ascii="仿宋_GB2312" w:hAnsi="仿宋_GB2312" w:eastAsia="仿宋_GB2312" w:cs="仿宋_GB2312"/>
          <w:sz w:val="32"/>
          <w:szCs w:val="32"/>
          <w:lang w:val="en-US" w:eastAsia="zh-CN"/>
        </w:rPr>
        <w:t>开形式。积极探索信息公开新途径，不断探索和提高政务公开工作的质量和服务水平，以制度化、规范化、科学化为着力点，努力构建政府信息公开的长效机制。</w:t>
      </w:r>
    </w:p>
    <w:p w14:paraId="09310903">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sz w:val="32"/>
          <w:szCs w:val="32"/>
          <w:lang w:eastAsia="zh-CN"/>
        </w:rPr>
      </w:pPr>
      <w:r>
        <w:rPr>
          <w:rFonts w:hint="eastAsia" w:ascii="黑体" w:hAnsi="黑体" w:eastAsia="黑体"/>
          <w:sz w:val="32"/>
          <w:szCs w:val="32"/>
          <w:lang w:eastAsia="zh-CN"/>
        </w:rPr>
        <w:t>六、其他需要报告的事项</w:t>
      </w:r>
    </w:p>
    <w:p w14:paraId="4312D72B">
      <w:pPr>
        <w:pStyle w:val="2"/>
        <w:keepNext w:val="0"/>
        <w:keepLines w:val="0"/>
        <w:pageBreakBefore w:val="0"/>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b w:val="0"/>
          <w:bCs/>
          <w:kern w:val="2"/>
          <w:sz w:val="32"/>
          <w:szCs w:val="32"/>
          <w:lang w:val="en-US" w:eastAsia="zh-CN" w:bidi="ar-SA"/>
        </w:rPr>
      </w:pPr>
      <w:r>
        <w:rPr>
          <w:rFonts w:hint="eastAsia" w:ascii="仿宋_GB2312" w:hAnsi="仿宋_GB2312" w:eastAsia="仿宋_GB2312" w:cs="仿宋_GB2312"/>
          <w:b w:val="0"/>
          <w:bCs/>
          <w:kern w:val="2"/>
          <w:sz w:val="32"/>
          <w:szCs w:val="32"/>
          <w:lang w:val="en-US" w:eastAsia="zh-CN" w:bidi="ar-SA"/>
        </w:rPr>
        <w:t>无其他报告的事项。</w:t>
      </w:r>
    </w:p>
    <w:p w14:paraId="4465394C">
      <w:pPr>
        <w:keepNext w:val="0"/>
        <w:keepLines w:val="0"/>
        <w:pageBreakBefore w:val="0"/>
        <w:kinsoku/>
        <w:wordWrap/>
        <w:overflowPunct/>
        <w:topLinePunct w:val="0"/>
        <w:autoSpaceDE/>
        <w:autoSpaceDN/>
        <w:bidi w:val="0"/>
        <w:adjustRightInd/>
        <w:snapToGrid/>
        <w:spacing w:line="600" w:lineRule="exact"/>
        <w:textAlignment w:val="auto"/>
        <w:rPr>
          <w:rFonts w:hint="default"/>
          <w:lang w:val="en-US" w:eastAsia="zh-CN"/>
        </w:rPr>
      </w:pPr>
    </w:p>
    <w:sectPr>
      <w:footerReference r:id="rId3" w:type="default"/>
      <w:pgSz w:w="11906" w:h="16838"/>
      <w:pgMar w:top="1984" w:right="1587"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001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F0FC95">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1CEC1B">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F1CEC1B">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12467F"/>
    <w:multiLevelType w:val="singleLevel"/>
    <w:tmpl w:val="8512467F"/>
    <w:lvl w:ilvl="0" w:tentative="0">
      <w:start w:val="7"/>
      <w:numFmt w:val="chineseCounting"/>
      <w:suff w:val="nothing"/>
      <w:lvlText w:val="（%1）"/>
      <w:lvlJc w:val="left"/>
      <w:rPr>
        <w:rFonts w:hint="eastAsia"/>
      </w:rPr>
    </w:lvl>
  </w:abstractNum>
  <w:abstractNum w:abstractNumId="1">
    <w:nsid w:val="D70FB2A7"/>
    <w:multiLevelType w:val="singleLevel"/>
    <w:tmpl w:val="D70FB2A7"/>
    <w:lvl w:ilvl="0" w:tentative="0">
      <w:start w:val="5"/>
      <w:numFmt w:val="chineseCounting"/>
      <w:suff w:val="nothing"/>
      <w:lvlText w:val="%1、"/>
      <w:lvlJc w:val="left"/>
      <w:rPr>
        <w:rFonts w:hint="eastAsia"/>
      </w:rPr>
    </w:lvl>
  </w:abstractNum>
  <w:abstractNum w:abstractNumId="2">
    <w:nsid w:val="7A26B683"/>
    <w:multiLevelType w:val="singleLevel"/>
    <w:tmpl w:val="7A26B683"/>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D6185C"/>
    <w:rsid w:val="01395D52"/>
    <w:rsid w:val="013E14A2"/>
    <w:rsid w:val="01884507"/>
    <w:rsid w:val="021352F0"/>
    <w:rsid w:val="054038F2"/>
    <w:rsid w:val="07D775EA"/>
    <w:rsid w:val="083E0D27"/>
    <w:rsid w:val="08C12D1A"/>
    <w:rsid w:val="099B0125"/>
    <w:rsid w:val="09CF4016"/>
    <w:rsid w:val="0A734007"/>
    <w:rsid w:val="0B3D38BC"/>
    <w:rsid w:val="0CA7340D"/>
    <w:rsid w:val="0E124A0B"/>
    <w:rsid w:val="0E332140"/>
    <w:rsid w:val="0F132908"/>
    <w:rsid w:val="0F2512BD"/>
    <w:rsid w:val="1005481F"/>
    <w:rsid w:val="100A15E8"/>
    <w:rsid w:val="1073711E"/>
    <w:rsid w:val="10C9769E"/>
    <w:rsid w:val="11EC705A"/>
    <w:rsid w:val="138F5A4D"/>
    <w:rsid w:val="13925989"/>
    <w:rsid w:val="13B03CF2"/>
    <w:rsid w:val="13C37016"/>
    <w:rsid w:val="14F04C79"/>
    <w:rsid w:val="15326F78"/>
    <w:rsid w:val="166A5365"/>
    <w:rsid w:val="169E07DA"/>
    <w:rsid w:val="17583105"/>
    <w:rsid w:val="188A387E"/>
    <w:rsid w:val="18AA6EDA"/>
    <w:rsid w:val="19EF472A"/>
    <w:rsid w:val="1A735C72"/>
    <w:rsid w:val="1B78604B"/>
    <w:rsid w:val="1C3C1AEB"/>
    <w:rsid w:val="1CC10EEE"/>
    <w:rsid w:val="1D010102"/>
    <w:rsid w:val="1E51793F"/>
    <w:rsid w:val="1E9E62DF"/>
    <w:rsid w:val="1EEF1D0D"/>
    <w:rsid w:val="1F275153"/>
    <w:rsid w:val="1FA070AF"/>
    <w:rsid w:val="22127266"/>
    <w:rsid w:val="23CA0EAA"/>
    <w:rsid w:val="24C64C71"/>
    <w:rsid w:val="27774A90"/>
    <w:rsid w:val="2A710CC0"/>
    <w:rsid w:val="2C0A127C"/>
    <w:rsid w:val="2C0E7581"/>
    <w:rsid w:val="2D2F71DE"/>
    <w:rsid w:val="2E6044EF"/>
    <w:rsid w:val="2E6E2AAB"/>
    <w:rsid w:val="2F402ADE"/>
    <w:rsid w:val="2F771671"/>
    <w:rsid w:val="2F8149D8"/>
    <w:rsid w:val="319A2E63"/>
    <w:rsid w:val="31A30DBF"/>
    <w:rsid w:val="33A2209F"/>
    <w:rsid w:val="348C3CFA"/>
    <w:rsid w:val="34EC7203"/>
    <w:rsid w:val="34F01AFF"/>
    <w:rsid w:val="356143D8"/>
    <w:rsid w:val="35BB0E93"/>
    <w:rsid w:val="364E151C"/>
    <w:rsid w:val="38472A53"/>
    <w:rsid w:val="38632ACF"/>
    <w:rsid w:val="39650203"/>
    <w:rsid w:val="3A1049B5"/>
    <w:rsid w:val="3A3A099A"/>
    <w:rsid w:val="3AD0445E"/>
    <w:rsid w:val="3B6119C4"/>
    <w:rsid w:val="3F4F5CFD"/>
    <w:rsid w:val="402D04CA"/>
    <w:rsid w:val="4054651C"/>
    <w:rsid w:val="40804062"/>
    <w:rsid w:val="41E42B2A"/>
    <w:rsid w:val="439F24E4"/>
    <w:rsid w:val="44A54099"/>
    <w:rsid w:val="45344AEA"/>
    <w:rsid w:val="453748C8"/>
    <w:rsid w:val="45480F14"/>
    <w:rsid w:val="46AF3EE9"/>
    <w:rsid w:val="485F5939"/>
    <w:rsid w:val="489D189B"/>
    <w:rsid w:val="495076BA"/>
    <w:rsid w:val="49597C2B"/>
    <w:rsid w:val="4A04597C"/>
    <w:rsid w:val="4A766407"/>
    <w:rsid w:val="4AC309E8"/>
    <w:rsid w:val="4CFD1A5F"/>
    <w:rsid w:val="4D3E5E67"/>
    <w:rsid w:val="4D442CDA"/>
    <w:rsid w:val="532B54DF"/>
    <w:rsid w:val="53D6185C"/>
    <w:rsid w:val="542D6711"/>
    <w:rsid w:val="54FA797D"/>
    <w:rsid w:val="55793959"/>
    <w:rsid w:val="558B72F8"/>
    <w:rsid w:val="5712082A"/>
    <w:rsid w:val="58263FE2"/>
    <w:rsid w:val="5B814C72"/>
    <w:rsid w:val="5CFE1CDE"/>
    <w:rsid w:val="5D483D69"/>
    <w:rsid w:val="5EA6766C"/>
    <w:rsid w:val="5F18389B"/>
    <w:rsid w:val="5F3C08FB"/>
    <w:rsid w:val="5F580018"/>
    <w:rsid w:val="610D70B6"/>
    <w:rsid w:val="61CE7693"/>
    <w:rsid w:val="65332C28"/>
    <w:rsid w:val="6B8973AB"/>
    <w:rsid w:val="6C2759CA"/>
    <w:rsid w:val="6C594767"/>
    <w:rsid w:val="6D1A4D3E"/>
    <w:rsid w:val="6D5226DA"/>
    <w:rsid w:val="6DAE128B"/>
    <w:rsid w:val="6DBE6B34"/>
    <w:rsid w:val="6F8C7F48"/>
    <w:rsid w:val="738D04C3"/>
    <w:rsid w:val="73D35126"/>
    <w:rsid w:val="746C056C"/>
    <w:rsid w:val="74D31A8A"/>
    <w:rsid w:val="74DA1774"/>
    <w:rsid w:val="75756DE6"/>
    <w:rsid w:val="76CC2E3B"/>
    <w:rsid w:val="782D53AA"/>
    <w:rsid w:val="788A6324"/>
    <w:rsid w:val="793C0BCE"/>
    <w:rsid w:val="79C976DF"/>
    <w:rsid w:val="7B7F04E6"/>
    <w:rsid w:val="7BD1284C"/>
    <w:rsid w:val="7C686E07"/>
    <w:rsid w:val="7DD51C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afterLines="0" w:afterAutospacing="0"/>
    </w:pPr>
  </w:style>
  <w:style w:type="paragraph" w:styleId="4">
    <w:name w:val="Normal Indent"/>
    <w:basedOn w:val="1"/>
    <w:next w:val="5"/>
    <w:qFormat/>
    <w:uiPriority w:val="0"/>
    <w:pPr>
      <w:ind w:firstLine="420" w:firstLineChars="200"/>
    </w:pPr>
    <w:rPr>
      <w:rFonts w:eastAsia="仿宋_GB2312"/>
      <w:sz w:val="30"/>
    </w:rPr>
  </w:style>
  <w:style w:type="paragraph" w:styleId="5">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customStyle="1" w:styleId="11">
    <w:name w:val="p0"/>
    <w:basedOn w:val="1"/>
    <w:qFormat/>
    <w:uiPriority w:val="0"/>
    <w:pPr>
      <w:widowControl/>
    </w:pPr>
    <w:rPr>
      <w:rFonts w:ascii="Calibri" w:hAnsi="Calibri" w:cs="Calibri"/>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2904</Words>
  <Characters>2978</Characters>
  <Lines>0</Lines>
  <Paragraphs>0</Paragraphs>
  <TotalTime>44</TotalTime>
  <ScaleCrop>false</ScaleCrop>
  <LinksUpToDate>false</LinksUpToDate>
  <CharactersWithSpaces>2978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2020-11-17T06:30:00Z</dcterms:created>
  <dc:creator>lenovo</dc:creator>
  <cp:lastModifiedBy>小子</cp:lastModifiedBy>
  <dcterms:modified xsi:type="dcterms:W3CDTF">2025-04-21T01:41:42Z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eyJoZGlkIjoiYmQ4YjQ4YWU0OTBmMGI4ZWNiOTUyYTc1NzQ4MWM4YjQiLCJ1c2VySWQiOiI1MzA3NDkxMDAifQ==</vt:lpwstr>
  </property>
  <property fmtid="{D5CDD505-2E9C-101B-9397-08002B2CF9AE}" pid="4" name="ICV">
    <vt:lpwstr>14A2DAE830EB49DBA8A04A627FF21F81_12</vt:lpwstr>
  </property>
</Properties>
</file>